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5CBCB">
      <w:pPr>
        <w:jc w:val="center"/>
        <w:rPr>
          <w:rFonts w:hint="eastAsia" w:eastAsiaTheme="minorEastAsia"/>
          <w:b/>
          <w:bCs/>
          <w:sz w:val="40"/>
          <w:szCs w:val="48"/>
          <w:lang w:eastAsia="zh-CN"/>
        </w:rPr>
      </w:pPr>
      <w:r>
        <w:rPr>
          <w:rFonts w:hint="eastAsia" w:eastAsiaTheme="minorEastAsia"/>
          <w:b/>
          <w:bCs/>
          <w:sz w:val="40"/>
          <w:szCs w:val="48"/>
          <w:lang w:eastAsia="zh-CN"/>
        </w:rPr>
        <w:drawing>
          <wp:inline distT="0" distB="0" distL="114300" distR="114300">
            <wp:extent cx="5271135" cy="7430135"/>
            <wp:effectExtent l="0" t="0" r="5715" b="18415"/>
            <wp:docPr id="1" name="图片 1" descr="封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封皮"/>
                    <pic:cNvPicPr>
                      <a:picLocks noChangeAspect="1"/>
                    </pic:cNvPicPr>
                  </pic:nvPicPr>
                  <pic:blipFill>
                    <a:blip r:embed="rId8"/>
                    <a:stretch>
                      <a:fillRect/>
                    </a:stretch>
                  </pic:blipFill>
                  <pic:spPr>
                    <a:xfrm>
                      <a:off x="0" y="0"/>
                      <a:ext cx="5271135" cy="7430135"/>
                    </a:xfrm>
                    <a:prstGeom prst="rect">
                      <a:avLst/>
                    </a:prstGeom>
                  </pic:spPr>
                </pic:pic>
              </a:graphicData>
            </a:graphic>
          </wp:inline>
        </w:drawing>
      </w:r>
      <w:bookmarkStart w:id="188" w:name="_GoBack"/>
      <w:bookmarkEnd w:id="188"/>
    </w:p>
    <w:p w14:paraId="63618609">
      <w:pPr>
        <w:pStyle w:val="2"/>
        <w:rPr>
          <w:rFonts w:hint="eastAsia" w:eastAsiaTheme="minorEastAsia"/>
          <w:b/>
          <w:bCs/>
          <w:sz w:val="40"/>
          <w:szCs w:val="48"/>
          <w:lang w:eastAsia="zh-CN"/>
        </w:rPr>
      </w:pPr>
    </w:p>
    <w:p w14:paraId="5292C430">
      <w:pPr>
        <w:rPr>
          <w:rFonts w:hint="eastAsia" w:eastAsiaTheme="minorEastAsia"/>
          <w:b/>
          <w:bCs/>
          <w:sz w:val="40"/>
          <w:szCs w:val="48"/>
          <w:lang w:eastAsia="zh-CN"/>
        </w:rPr>
      </w:pPr>
    </w:p>
    <w:p w14:paraId="2AC5A061">
      <w:pPr>
        <w:pStyle w:val="2"/>
        <w:rPr>
          <w:rFonts w:hint="eastAsia" w:eastAsiaTheme="minorEastAsia"/>
          <w:b/>
          <w:bCs/>
          <w:sz w:val="40"/>
          <w:szCs w:val="48"/>
          <w:lang w:eastAsia="zh-CN"/>
        </w:rPr>
      </w:pPr>
    </w:p>
    <w:p w14:paraId="04872FA5">
      <w:pPr>
        <w:rPr>
          <w:rFonts w:hint="eastAsia" w:eastAsiaTheme="minorEastAsia"/>
          <w:b/>
          <w:bCs/>
          <w:sz w:val="40"/>
          <w:szCs w:val="48"/>
          <w:lang w:eastAsia="zh-CN"/>
        </w:rPr>
      </w:pPr>
    </w:p>
    <w:p w14:paraId="1590AAAE">
      <w:pPr>
        <w:jc w:val="center"/>
        <w:rPr>
          <w:b/>
          <w:bCs/>
          <w:sz w:val="40"/>
          <w:szCs w:val="48"/>
        </w:rPr>
      </w:pPr>
      <w:r>
        <w:rPr>
          <w:rFonts w:hint="eastAsia"/>
          <w:b/>
          <w:bCs/>
          <w:sz w:val="40"/>
          <w:szCs w:val="48"/>
        </w:rPr>
        <w:t>义马市消防救援大队义马大队食堂主副食品采购项目</w:t>
      </w:r>
    </w:p>
    <w:p w14:paraId="46B8349D">
      <w:pPr>
        <w:jc w:val="center"/>
        <w:rPr>
          <w:b/>
          <w:bCs/>
          <w:sz w:val="40"/>
          <w:szCs w:val="48"/>
        </w:rPr>
      </w:pPr>
    </w:p>
    <w:p w14:paraId="2214CD5C">
      <w:pPr>
        <w:jc w:val="center"/>
        <w:rPr>
          <w:b/>
          <w:bCs/>
          <w:sz w:val="40"/>
          <w:szCs w:val="48"/>
        </w:rPr>
      </w:pPr>
      <w:r>
        <w:rPr>
          <w:rFonts w:hint="eastAsia"/>
          <w:b/>
          <w:bCs/>
          <w:sz w:val="40"/>
          <w:szCs w:val="48"/>
        </w:rPr>
        <w:t>竞争性磋商文件</w:t>
      </w:r>
    </w:p>
    <w:p w14:paraId="7CEAB236">
      <w:pPr>
        <w:jc w:val="center"/>
        <w:rPr>
          <w:b/>
          <w:bCs/>
          <w:sz w:val="40"/>
          <w:szCs w:val="48"/>
        </w:rPr>
      </w:pPr>
    </w:p>
    <w:p w14:paraId="2795D561">
      <w:pPr>
        <w:pStyle w:val="2"/>
      </w:pPr>
    </w:p>
    <w:p w14:paraId="6B7EF6BA">
      <w:pPr>
        <w:jc w:val="center"/>
        <w:rPr>
          <w:rFonts w:hint="eastAsia" w:ascii="宋体" w:hAnsi="宋体" w:eastAsia="宋体" w:cs="宋体"/>
          <w:b/>
          <w:bCs/>
          <w:sz w:val="40"/>
          <w:szCs w:val="48"/>
        </w:rPr>
      </w:pPr>
      <w:r>
        <w:rPr>
          <w:rFonts w:hint="eastAsia" w:ascii="宋体" w:hAnsi="宋体" w:eastAsia="宋体" w:cs="宋体"/>
          <w:b/>
          <w:bCs/>
          <w:sz w:val="40"/>
          <w:szCs w:val="48"/>
          <w:lang w:val="en-US" w:eastAsia="zh-CN"/>
        </w:rPr>
        <w:t>采购</w:t>
      </w:r>
      <w:r>
        <w:rPr>
          <w:rFonts w:hint="eastAsia" w:ascii="宋体" w:hAnsi="宋体" w:eastAsia="宋体" w:cs="宋体"/>
          <w:b/>
          <w:bCs/>
          <w:sz w:val="40"/>
          <w:szCs w:val="48"/>
        </w:rPr>
        <w:t>编号：义马竞磋采购-2025-31</w:t>
      </w:r>
    </w:p>
    <w:p w14:paraId="23D5DB83">
      <w:pPr>
        <w:jc w:val="center"/>
        <w:rPr>
          <w:rFonts w:hint="eastAsia" w:ascii="宋体" w:hAnsi="宋体" w:eastAsia="宋体" w:cs="宋体"/>
          <w:b/>
          <w:bCs/>
          <w:sz w:val="40"/>
          <w:szCs w:val="48"/>
          <w:lang w:val="en-US" w:eastAsia="zh-CN"/>
        </w:rPr>
      </w:pPr>
      <w:r>
        <w:rPr>
          <w:rFonts w:hint="eastAsia" w:ascii="宋体" w:hAnsi="宋体" w:eastAsia="宋体" w:cs="宋体"/>
          <w:b/>
          <w:bCs/>
          <w:sz w:val="40"/>
          <w:szCs w:val="48"/>
          <w:lang w:val="en-US" w:eastAsia="zh-CN"/>
        </w:rPr>
        <w:t>项目编号：YMGZ[2025]068-ZC045</w:t>
      </w:r>
    </w:p>
    <w:p w14:paraId="55354860">
      <w:pPr>
        <w:jc w:val="center"/>
        <w:rPr>
          <w:b/>
          <w:bCs/>
          <w:color w:val="FF0000"/>
          <w:sz w:val="40"/>
          <w:szCs w:val="48"/>
        </w:rPr>
      </w:pPr>
    </w:p>
    <w:p w14:paraId="3B53E628">
      <w:pPr>
        <w:jc w:val="center"/>
      </w:pPr>
    </w:p>
    <w:p w14:paraId="7F999540">
      <w:pPr>
        <w:jc w:val="center"/>
      </w:pPr>
    </w:p>
    <w:p w14:paraId="4196ADF5">
      <w:pPr>
        <w:jc w:val="center"/>
      </w:pPr>
    </w:p>
    <w:p w14:paraId="5E85CAC9">
      <w:pPr>
        <w:jc w:val="center"/>
      </w:pPr>
    </w:p>
    <w:p w14:paraId="32D47AA2">
      <w:pPr>
        <w:jc w:val="center"/>
      </w:pPr>
    </w:p>
    <w:p w14:paraId="3FFEE44F">
      <w:pPr>
        <w:jc w:val="center"/>
      </w:pPr>
    </w:p>
    <w:p w14:paraId="46F3B689">
      <w:pPr>
        <w:rPr>
          <w:b/>
          <w:bCs/>
          <w:sz w:val="44"/>
          <w:szCs w:val="52"/>
        </w:rPr>
      </w:pPr>
    </w:p>
    <w:p w14:paraId="70BA181F">
      <w:pPr>
        <w:ind w:firstLine="964" w:firstLineChars="300"/>
        <w:rPr>
          <w:b/>
          <w:bCs/>
          <w:sz w:val="32"/>
          <w:szCs w:val="40"/>
        </w:rPr>
      </w:pPr>
      <w:r>
        <w:rPr>
          <w:rFonts w:hint="eastAsia"/>
          <w:b/>
          <w:bCs/>
          <w:sz w:val="32"/>
          <w:szCs w:val="40"/>
        </w:rPr>
        <w:t>采购人：义马市消防救援大队</w:t>
      </w:r>
    </w:p>
    <w:p w14:paraId="64D60330">
      <w:pPr>
        <w:ind w:firstLine="964" w:firstLineChars="300"/>
        <w:jc w:val="both"/>
        <w:rPr>
          <w:rFonts w:hint="default"/>
          <w:b/>
          <w:bCs/>
          <w:sz w:val="32"/>
          <w:szCs w:val="40"/>
          <w:lang w:val="en-US"/>
        </w:rPr>
      </w:pPr>
      <w:r>
        <w:rPr>
          <w:rFonts w:hint="eastAsia"/>
          <w:b/>
          <w:bCs/>
          <w:sz w:val="32"/>
          <w:szCs w:val="40"/>
        </w:rPr>
        <w:t>代理机构：</w:t>
      </w:r>
      <w:r>
        <w:rPr>
          <w:rFonts w:hint="eastAsia"/>
          <w:b/>
          <w:bCs/>
          <w:sz w:val="32"/>
          <w:szCs w:val="40"/>
          <w:lang w:val="en-US" w:eastAsia="zh-CN"/>
        </w:rPr>
        <w:t>河南友拓工程管理有限公司</w:t>
      </w:r>
    </w:p>
    <w:p w14:paraId="7D1E8FFA">
      <w:pPr>
        <w:ind w:firstLine="964" w:firstLineChars="300"/>
        <w:rPr>
          <w:b/>
          <w:bCs/>
          <w:sz w:val="32"/>
          <w:szCs w:val="40"/>
        </w:rPr>
      </w:pPr>
      <w:r>
        <w:rPr>
          <w:rFonts w:hint="eastAsia"/>
          <w:b/>
          <w:bCs/>
          <w:sz w:val="32"/>
          <w:szCs w:val="40"/>
        </w:rPr>
        <w:t>日期：二〇二五年</w:t>
      </w:r>
      <w:r>
        <w:rPr>
          <w:rFonts w:hint="eastAsia"/>
          <w:b/>
          <w:bCs/>
          <w:color w:val="auto"/>
          <w:sz w:val="32"/>
          <w:szCs w:val="40"/>
          <w:highlight w:val="none"/>
          <w:lang w:val="en-US" w:eastAsia="zh-CN"/>
        </w:rPr>
        <w:t>六</w:t>
      </w:r>
      <w:r>
        <w:rPr>
          <w:rFonts w:hint="eastAsia"/>
          <w:b/>
          <w:bCs/>
          <w:color w:val="auto"/>
          <w:sz w:val="32"/>
          <w:szCs w:val="40"/>
          <w:highlight w:val="none"/>
        </w:rPr>
        <w:t>月</w:t>
      </w:r>
    </w:p>
    <w:p w14:paraId="7F44CC0D">
      <w:pPr>
        <w:rPr>
          <w:b/>
          <w:bCs/>
          <w:sz w:val="32"/>
          <w:szCs w:val="40"/>
        </w:rPr>
      </w:pPr>
    </w:p>
    <w:p w14:paraId="39A29690">
      <w:pPr>
        <w:rPr>
          <w:b/>
          <w:bCs/>
          <w:sz w:val="32"/>
          <w:szCs w:val="40"/>
        </w:rPr>
      </w:pPr>
    </w:p>
    <w:p w14:paraId="4436D72C">
      <w:pPr>
        <w:jc w:val="center"/>
        <w:rPr>
          <w:b/>
          <w:bCs/>
          <w:sz w:val="32"/>
          <w:szCs w:val="40"/>
        </w:rPr>
        <w:sectPr>
          <w:pgSz w:w="11906" w:h="16838"/>
          <w:pgMar w:top="1440" w:right="1800" w:bottom="1440" w:left="1800" w:header="851" w:footer="992" w:gutter="0"/>
          <w:cols w:space="425" w:num="1"/>
          <w:docGrid w:type="lines" w:linePitch="312" w:charSpace="0"/>
        </w:sectPr>
      </w:pPr>
    </w:p>
    <w:p w14:paraId="7A837580">
      <w:pPr>
        <w:jc w:val="center"/>
        <w:rPr>
          <w:b/>
          <w:bCs/>
          <w:sz w:val="32"/>
          <w:szCs w:val="40"/>
        </w:rPr>
      </w:pPr>
      <w:r>
        <w:rPr>
          <w:rFonts w:hint="eastAsia"/>
          <w:b/>
          <w:bCs/>
          <w:sz w:val="32"/>
          <w:szCs w:val="40"/>
        </w:rPr>
        <w:t>目录</w:t>
      </w:r>
    </w:p>
    <w:p w14:paraId="5C6968C7">
      <w:pPr>
        <w:pStyle w:val="14"/>
        <w:rPr>
          <w:b/>
          <w:bCs/>
          <w:sz w:val="32"/>
          <w:szCs w:val="40"/>
        </w:rPr>
      </w:pPr>
    </w:p>
    <w:p w14:paraId="0C93ED94">
      <w:pPr>
        <w:pStyle w:val="16"/>
        <w:tabs>
          <w:tab w:val="right" w:leader="dot" w:pos="8730"/>
        </w:tabs>
        <w:spacing w:line="480" w:lineRule="auto"/>
        <w:rPr>
          <w:rFonts w:ascii="宋体" w:hAnsi="宋体" w:eastAsia="宋体" w:cs="宋体"/>
          <w:b/>
          <w:bCs/>
          <w:sz w:val="28"/>
          <w:szCs w:val="28"/>
        </w:rPr>
      </w:pPr>
      <w:r>
        <w:fldChar w:fldCharType="begin"/>
      </w:r>
      <w:r>
        <w:instrText xml:space="preserve"> HYPERLINK \l "_Toc14410" </w:instrText>
      </w:r>
      <w:r>
        <w:fldChar w:fldCharType="separate"/>
      </w:r>
      <w:r>
        <w:rPr>
          <w:rFonts w:hint="eastAsia" w:ascii="宋体" w:hAnsi="宋体" w:eastAsia="宋体" w:cs="宋体"/>
          <w:b/>
          <w:bCs/>
          <w:sz w:val="28"/>
          <w:szCs w:val="28"/>
        </w:rPr>
        <w:t>第一章 竞争性磋商公告</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2</w:t>
      </w:r>
      <w:r>
        <w:rPr>
          <w:rFonts w:hint="eastAsia" w:ascii="宋体" w:hAnsi="宋体" w:eastAsia="宋体" w:cs="宋体"/>
          <w:b/>
          <w:bCs/>
          <w:sz w:val="28"/>
          <w:szCs w:val="28"/>
        </w:rPr>
        <w:fldChar w:fldCharType="end"/>
      </w:r>
    </w:p>
    <w:p w14:paraId="792DE337">
      <w:pPr>
        <w:pStyle w:val="16"/>
        <w:tabs>
          <w:tab w:val="right" w:leader="dot" w:pos="8730"/>
        </w:tabs>
        <w:spacing w:line="480" w:lineRule="auto"/>
        <w:rPr>
          <w:rFonts w:hint="eastAsia" w:ascii="宋体" w:hAnsi="宋体" w:eastAsia="宋体" w:cs="宋体"/>
          <w:b/>
          <w:bCs/>
          <w:sz w:val="28"/>
          <w:szCs w:val="28"/>
          <w:lang w:val="en-US" w:eastAsia="zh-CN"/>
        </w:rPr>
      </w:pPr>
      <w:r>
        <w:fldChar w:fldCharType="begin"/>
      </w:r>
      <w:r>
        <w:instrText xml:space="preserve"> HYPERLINK \l "_Toc9946" </w:instrText>
      </w:r>
      <w:r>
        <w:fldChar w:fldCharType="separate"/>
      </w:r>
      <w:r>
        <w:rPr>
          <w:rFonts w:hint="eastAsia" w:ascii="宋体" w:hAnsi="宋体" w:eastAsia="宋体" w:cs="宋体"/>
          <w:b/>
          <w:bCs/>
          <w:sz w:val="28"/>
          <w:szCs w:val="28"/>
        </w:rPr>
        <w:t>第二章 供应商须知</w:t>
      </w:r>
      <w:r>
        <w:rPr>
          <w:rFonts w:hint="eastAsia" w:ascii="宋体" w:hAnsi="宋体" w:eastAsia="宋体" w:cs="宋体"/>
          <w:b/>
          <w:bCs/>
          <w:sz w:val="28"/>
          <w:szCs w:val="28"/>
        </w:rPr>
        <w:tab/>
      </w:r>
      <w:r>
        <w:rPr>
          <w:rFonts w:hint="eastAsia" w:ascii="宋体" w:hAnsi="宋体" w:eastAsia="宋体" w:cs="宋体"/>
          <w:b/>
          <w:bCs/>
          <w:sz w:val="28"/>
          <w:szCs w:val="28"/>
        </w:rPr>
        <w:fldChar w:fldCharType="end"/>
      </w:r>
      <w:r>
        <w:rPr>
          <w:rFonts w:hint="eastAsia" w:ascii="宋体" w:hAnsi="宋体" w:eastAsia="宋体" w:cs="宋体"/>
          <w:b/>
          <w:bCs/>
          <w:sz w:val="28"/>
          <w:szCs w:val="28"/>
          <w:lang w:val="en-US" w:eastAsia="zh-CN"/>
        </w:rPr>
        <w:t>6</w:t>
      </w:r>
    </w:p>
    <w:p w14:paraId="08646EB7">
      <w:pPr>
        <w:pStyle w:val="16"/>
        <w:tabs>
          <w:tab w:val="right" w:leader="dot" w:pos="8730"/>
        </w:tabs>
        <w:spacing w:line="480" w:lineRule="auto"/>
        <w:rPr>
          <w:rFonts w:ascii="宋体" w:hAnsi="宋体" w:eastAsia="宋体" w:cs="宋体"/>
          <w:b/>
          <w:bCs/>
          <w:sz w:val="28"/>
          <w:szCs w:val="28"/>
        </w:rPr>
      </w:pPr>
      <w:r>
        <w:fldChar w:fldCharType="begin"/>
      </w:r>
      <w:r>
        <w:instrText xml:space="preserve"> HYPERLINK \l "_Toc29854" </w:instrText>
      </w:r>
      <w:r>
        <w:fldChar w:fldCharType="separate"/>
      </w:r>
      <w:r>
        <w:rPr>
          <w:rFonts w:hint="eastAsia" w:ascii="宋体" w:hAnsi="宋体" w:eastAsia="宋体" w:cs="宋体"/>
          <w:b/>
          <w:bCs/>
          <w:sz w:val="28"/>
          <w:szCs w:val="28"/>
        </w:rPr>
        <w:t>第三章 评审办法</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_Toc29854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22</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4E5425B9">
      <w:pPr>
        <w:pStyle w:val="16"/>
        <w:tabs>
          <w:tab w:val="right" w:leader="dot" w:pos="8730"/>
        </w:tabs>
        <w:spacing w:line="480" w:lineRule="auto"/>
        <w:rPr>
          <w:rFonts w:ascii="宋体" w:hAnsi="宋体" w:eastAsia="宋体" w:cs="宋体"/>
          <w:b/>
          <w:bCs/>
          <w:sz w:val="28"/>
          <w:szCs w:val="28"/>
        </w:rPr>
      </w:pPr>
      <w:r>
        <w:fldChar w:fldCharType="begin"/>
      </w:r>
      <w:r>
        <w:instrText xml:space="preserve"> HYPERLINK \l "_Toc22499" </w:instrText>
      </w:r>
      <w:r>
        <w:fldChar w:fldCharType="separate"/>
      </w:r>
      <w:r>
        <w:rPr>
          <w:rFonts w:hint="eastAsia" w:ascii="宋体" w:hAnsi="宋体" w:eastAsia="宋体" w:cs="宋体"/>
          <w:b/>
          <w:bCs/>
          <w:sz w:val="28"/>
          <w:szCs w:val="28"/>
        </w:rPr>
        <w:t>第四章 服务内容及要求</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31</w:t>
      </w:r>
      <w:r>
        <w:rPr>
          <w:rFonts w:hint="eastAsia" w:ascii="宋体" w:hAnsi="宋体" w:eastAsia="宋体" w:cs="宋体"/>
          <w:b/>
          <w:bCs/>
          <w:sz w:val="28"/>
          <w:szCs w:val="28"/>
        </w:rPr>
        <w:fldChar w:fldCharType="end"/>
      </w:r>
    </w:p>
    <w:p w14:paraId="097B8164">
      <w:pPr>
        <w:pStyle w:val="16"/>
        <w:tabs>
          <w:tab w:val="right" w:leader="dot" w:pos="8730"/>
        </w:tabs>
        <w:spacing w:line="480" w:lineRule="auto"/>
        <w:rPr>
          <w:rFonts w:hint="eastAsia" w:ascii="宋体" w:hAnsi="宋体" w:eastAsia="宋体" w:cs="宋体"/>
          <w:b/>
          <w:bCs/>
          <w:sz w:val="28"/>
          <w:szCs w:val="28"/>
          <w:lang w:val="en-US" w:eastAsia="zh-CN"/>
        </w:rPr>
      </w:pPr>
      <w:r>
        <w:fldChar w:fldCharType="begin"/>
      </w:r>
      <w:r>
        <w:instrText xml:space="preserve"> HYPERLINK \l "_Toc22329" </w:instrText>
      </w:r>
      <w:r>
        <w:fldChar w:fldCharType="separate"/>
      </w:r>
      <w:r>
        <w:rPr>
          <w:rFonts w:hint="eastAsia" w:ascii="宋体" w:hAnsi="宋体" w:eastAsia="宋体" w:cs="宋体"/>
          <w:b/>
          <w:bCs/>
          <w:sz w:val="28"/>
          <w:szCs w:val="28"/>
        </w:rPr>
        <w:t>第五章 合同条款及格式（范本）</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r>
        <w:rPr>
          <w:rFonts w:hint="eastAsia" w:ascii="宋体" w:hAnsi="宋体" w:eastAsia="宋体" w:cs="宋体"/>
          <w:b/>
          <w:bCs/>
          <w:sz w:val="28"/>
          <w:szCs w:val="28"/>
          <w:lang w:val="en-US" w:eastAsia="zh-CN"/>
        </w:rPr>
        <w:t>5</w:t>
      </w:r>
    </w:p>
    <w:p w14:paraId="0835FFDB">
      <w:pPr>
        <w:pStyle w:val="16"/>
        <w:tabs>
          <w:tab w:val="right" w:leader="dot" w:pos="8730"/>
        </w:tabs>
        <w:spacing w:line="480" w:lineRule="auto"/>
        <w:rPr>
          <w:rFonts w:hint="eastAsia" w:ascii="宋体" w:hAnsi="宋体" w:eastAsia="宋体" w:cs="宋体"/>
          <w:b/>
          <w:bCs/>
          <w:sz w:val="28"/>
          <w:szCs w:val="28"/>
          <w:lang w:val="en-US" w:eastAsia="zh-CN"/>
        </w:rPr>
      </w:pPr>
      <w:r>
        <w:fldChar w:fldCharType="begin"/>
      </w:r>
      <w:r>
        <w:instrText xml:space="preserve"> HYPERLINK \l "_Toc1561" </w:instrText>
      </w:r>
      <w:r>
        <w:fldChar w:fldCharType="separate"/>
      </w:r>
      <w:r>
        <w:rPr>
          <w:rFonts w:hint="eastAsia" w:ascii="宋体" w:hAnsi="宋体" w:eastAsia="宋体" w:cs="宋体"/>
          <w:b/>
          <w:bCs/>
          <w:sz w:val="28"/>
          <w:szCs w:val="28"/>
        </w:rPr>
        <w:t>第六章 响应文件格式</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4</w:t>
      </w:r>
      <w:r>
        <w:rPr>
          <w:rFonts w:hint="eastAsia" w:ascii="宋体" w:hAnsi="宋体" w:eastAsia="宋体" w:cs="宋体"/>
          <w:b/>
          <w:bCs/>
          <w:sz w:val="28"/>
          <w:szCs w:val="28"/>
        </w:rPr>
        <w:fldChar w:fldCharType="end"/>
      </w:r>
      <w:r>
        <w:rPr>
          <w:rFonts w:hint="eastAsia" w:ascii="宋体" w:hAnsi="宋体" w:eastAsia="宋体" w:cs="宋体"/>
          <w:b/>
          <w:bCs/>
          <w:sz w:val="28"/>
          <w:szCs w:val="28"/>
          <w:lang w:val="en-US" w:eastAsia="zh-CN"/>
        </w:rPr>
        <w:t>2</w:t>
      </w:r>
    </w:p>
    <w:p w14:paraId="21046388">
      <w:pPr>
        <w:pStyle w:val="14"/>
        <w:rPr>
          <w:b/>
          <w:bCs/>
          <w:sz w:val="32"/>
          <w:szCs w:val="40"/>
        </w:rPr>
      </w:pPr>
    </w:p>
    <w:p w14:paraId="760514A8">
      <w:pPr>
        <w:pStyle w:val="14"/>
        <w:rPr>
          <w:b/>
          <w:bCs/>
          <w:sz w:val="32"/>
          <w:szCs w:val="40"/>
        </w:rPr>
      </w:pPr>
    </w:p>
    <w:p w14:paraId="7C1BB72C">
      <w:pPr>
        <w:pStyle w:val="14"/>
        <w:rPr>
          <w:b/>
          <w:bCs/>
          <w:sz w:val="32"/>
          <w:szCs w:val="40"/>
        </w:rPr>
      </w:pPr>
    </w:p>
    <w:p w14:paraId="31B1448E">
      <w:pPr>
        <w:pStyle w:val="14"/>
        <w:rPr>
          <w:b/>
          <w:bCs/>
          <w:sz w:val="32"/>
          <w:szCs w:val="40"/>
        </w:rPr>
      </w:pPr>
    </w:p>
    <w:p w14:paraId="5DFF238C">
      <w:pPr>
        <w:pStyle w:val="14"/>
        <w:rPr>
          <w:b/>
          <w:bCs/>
          <w:sz w:val="32"/>
          <w:szCs w:val="40"/>
        </w:rPr>
      </w:pPr>
    </w:p>
    <w:p w14:paraId="58FF2ED0">
      <w:pPr>
        <w:pStyle w:val="14"/>
        <w:rPr>
          <w:b/>
          <w:bCs/>
          <w:sz w:val="32"/>
          <w:szCs w:val="40"/>
        </w:rPr>
      </w:pPr>
    </w:p>
    <w:p w14:paraId="35545157">
      <w:pPr>
        <w:pStyle w:val="14"/>
        <w:rPr>
          <w:b/>
          <w:bCs/>
          <w:sz w:val="32"/>
          <w:szCs w:val="40"/>
        </w:rPr>
      </w:pPr>
    </w:p>
    <w:p w14:paraId="6EC38F9A">
      <w:pPr>
        <w:pStyle w:val="14"/>
        <w:rPr>
          <w:b/>
          <w:bCs/>
          <w:sz w:val="32"/>
          <w:szCs w:val="40"/>
        </w:rPr>
      </w:pPr>
    </w:p>
    <w:p w14:paraId="60949E04">
      <w:pPr>
        <w:pStyle w:val="14"/>
        <w:rPr>
          <w:b/>
          <w:bCs/>
          <w:sz w:val="32"/>
          <w:szCs w:val="40"/>
        </w:rPr>
      </w:pPr>
    </w:p>
    <w:p w14:paraId="3E8A521C">
      <w:pPr>
        <w:pStyle w:val="14"/>
        <w:rPr>
          <w:b/>
          <w:bCs/>
          <w:sz w:val="32"/>
          <w:szCs w:val="40"/>
        </w:rPr>
      </w:pPr>
    </w:p>
    <w:p w14:paraId="53394076">
      <w:pPr>
        <w:pStyle w:val="14"/>
        <w:rPr>
          <w:b/>
          <w:bCs/>
          <w:sz w:val="32"/>
          <w:szCs w:val="40"/>
        </w:rPr>
      </w:pPr>
    </w:p>
    <w:p w14:paraId="668487D8">
      <w:pPr>
        <w:pStyle w:val="14"/>
        <w:rPr>
          <w:b/>
          <w:bCs/>
          <w:sz w:val="32"/>
          <w:szCs w:val="40"/>
        </w:rPr>
      </w:pPr>
    </w:p>
    <w:p w14:paraId="51E7DAAD">
      <w:pPr>
        <w:pStyle w:val="14"/>
        <w:rPr>
          <w:b/>
          <w:bCs/>
          <w:sz w:val="32"/>
          <w:szCs w:val="40"/>
        </w:rPr>
      </w:pPr>
    </w:p>
    <w:p w14:paraId="02548EEC">
      <w:pPr>
        <w:pStyle w:val="14"/>
        <w:rPr>
          <w:b/>
          <w:bCs/>
          <w:sz w:val="32"/>
          <w:szCs w:val="40"/>
        </w:rPr>
      </w:pPr>
    </w:p>
    <w:p w14:paraId="478A6F1D">
      <w:pPr>
        <w:pStyle w:val="14"/>
        <w:rPr>
          <w:b/>
          <w:bCs/>
          <w:sz w:val="32"/>
          <w:szCs w:val="40"/>
        </w:rPr>
      </w:pPr>
    </w:p>
    <w:p w14:paraId="22FE0422">
      <w:pPr>
        <w:pStyle w:val="14"/>
        <w:rPr>
          <w:b/>
          <w:bCs/>
          <w:sz w:val="32"/>
          <w:szCs w:val="40"/>
        </w:rPr>
      </w:pPr>
    </w:p>
    <w:p w14:paraId="3CC9D810">
      <w:pPr>
        <w:pStyle w:val="14"/>
        <w:rPr>
          <w:b/>
          <w:bCs/>
          <w:sz w:val="32"/>
          <w:szCs w:val="40"/>
        </w:rPr>
      </w:pPr>
    </w:p>
    <w:p w14:paraId="50C6F643">
      <w:pPr>
        <w:pStyle w:val="14"/>
        <w:rPr>
          <w:b/>
          <w:bCs/>
          <w:sz w:val="32"/>
          <w:szCs w:val="40"/>
        </w:rPr>
      </w:pPr>
    </w:p>
    <w:p w14:paraId="08A86CDB">
      <w:pPr>
        <w:pStyle w:val="14"/>
        <w:rPr>
          <w:b/>
          <w:bCs/>
          <w:sz w:val="32"/>
          <w:szCs w:val="40"/>
        </w:rPr>
      </w:pPr>
    </w:p>
    <w:p w14:paraId="42142D93">
      <w:pPr>
        <w:pStyle w:val="14"/>
        <w:rPr>
          <w:b/>
          <w:bCs/>
          <w:sz w:val="32"/>
          <w:szCs w:val="40"/>
        </w:rPr>
      </w:pPr>
    </w:p>
    <w:p w14:paraId="4C048E40">
      <w:pPr>
        <w:pStyle w:val="14"/>
        <w:rPr>
          <w:b/>
          <w:bCs/>
          <w:sz w:val="32"/>
          <w:szCs w:val="40"/>
        </w:rPr>
      </w:pPr>
    </w:p>
    <w:p w14:paraId="61F2CCBB">
      <w:pPr>
        <w:pStyle w:val="14"/>
        <w:rPr>
          <w:b/>
          <w:bCs/>
          <w:sz w:val="32"/>
          <w:szCs w:val="40"/>
        </w:rPr>
      </w:pPr>
    </w:p>
    <w:p w14:paraId="36A5D24A">
      <w:pPr>
        <w:jc w:val="center"/>
        <w:rPr>
          <w:rFonts w:hint="eastAsia" w:ascii="宋体" w:hAnsi="宋体"/>
          <w:b/>
          <w:sz w:val="32"/>
          <w:szCs w:val="32"/>
        </w:rPr>
        <w:sectPr>
          <w:footerReference r:id="rId3" w:type="default"/>
          <w:pgSz w:w="11905" w:h="16839"/>
          <w:pgMar w:top="1417" w:right="1417" w:bottom="1644" w:left="1417" w:header="714" w:footer="850" w:gutter="0"/>
          <w:pgNumType w:start="1"/>
          <w:cols w:space="720" w:num="1"/>
        </w:sectPr>
      </w:pPr>
    </w:p>
    <w:p w14:paraId="56027A74">
      <w:pPr>
        <w:jc w:val="center"/>
        <w:rPr>
          <w:rFonts w:ascii="宋体" w:hAnsi="宋体"/>
          <w:b/>
          <w:sz w:val="32"/>
          <w:szCs w:val="32"/>
        </w:rPr>
      </w:pPr>
      <w:r>
        <w:rPr>
          <w:rFonts w:hint="eastAsia" w:ascii="宋体" w:hAnsi="宋体"/>
          <w:b/>
          <w:sz w:val="32"/>
          <w:szCs w:val="32"/>
        </w:rPr>
        <w:t xml:space="preserve">第一章 </w:t>
      </w:r>
      <w:r>
        <w:rPr>
          <w:rFonts w:ascii="宋体" w:hAnsi="宋体"/>
          <w:b/>
          <w:sz w:val="32"/>
          <w:szCs w:val="32"/>
        </w:rPr>
        <w:t xml:space="preserve"> </w:t>
      </w:r>
      <w:r>
        <w:rPr>
          <w:rFonts w:hint="eastAsia" w:ascii="宋体" w:hAnsi="宋体"/>
          <w:b/>
          <w:sz w:val="32"/>
          <w:szCs w:val="32"/>
        </w:rPr>
        <w:t>竞争性磋商公告</w:t>
      </w:r>
    </w:p>
    <w:p w14:paraId="22B93E45">
      <w:pPr>
        <w:widowControl/>
        <w:wordWrap w:val="0"/>
        <w:spacing w:line="360" w:lineRule="auto"/>
        <w:jc w:val="center"/>
        <w:rPr>
          <w:rFonts w:ascii="宋体" w:hAnsi="宋体" w:cs="宋体"/>
          <w:b/>
          <w:kern w:val="0"/>
          <w:sz w:val="28"/>
          <w:szCs w:val="28"/>
        </w:rPr>
      </w:pPr>
    </w:p>
    <w:p w14:paraId="73739CBC">
      <w:pPr>
        <w:shd w:val="clear" w:color="auto" w:fill="FFFFFF"/>
        <w:wordWrap w:val="0"/>
        <w:spacing w:line="360" w:lineRule="auto"/>
        <w:ind w:firstLine="440" w:firstLineChars="200"/>
        <w:jc w:val="left"/>
        <w:rPr>
          <w:rFonts w:ascii="宋体" w:hAnsi="宋体" w:cs="宋体"/>
          <w:sz w:val="22"/>
          <w:szCs w:val="22"/>
        </w:rPr>
      </w:pPr>
      <w:r>
        <w:rPr>
          <w:rFonts w:hint="eastAsia" w:ascii="宋体" w:hAnsi="宋体" w:cs="宋体"/>
          <w:sz w:val="22"/>
          <w:szCs w:val="22"/>
          <w:lang w:val="en-US" w:eastAsia="zh-CN"/>
        </w:rPr>
        <w:t>河南友拓工程管理有限公司</w:t>
      </w:r>
      <w:r>
        <w:rPr>
          <w:rFonts w:hint="eastAsia" w:ascii="宋体" w:hAnsi="宋体" w:cs="宋体"/>
          <w:sz w:val="22"/>
          <w:szCs w:val="22"/>
        </w:rPr>
        <w:t>受义马市消防救援大队的委托，就义马市消防救援大队义马大队食堂主副食品采购项目进行竞争性磋商，欢迎符合资格条件的供应商参加。</w:t>
      </w:r>
    </w:p>
    <w:p w14:paraId="6DC03D8E">
      <w:pPr>
        <w:shd w:val="clear" w:color="auto" w:fill="FFFFFF"/>
        <w:wordWrap w:val="0"/>
        <w:spacing w:line="360" w:lineRule="auto"/>
        <w:ind w:firstLine="440" w:firstLineChars="200"/>
        <w:jc w:val="left"/>
        <w:rPr>
          <w:rFonts w:ascii="宋体" w:hAnsi="宋体" w:cs="宋体"/>
          <w:sz w:val="22"/>
          <w:szCs w:val="22"/>
        </w:rPr>
      </w:pPr>
      <w:r>
        <w:rPr>
          <w:rFonts w:hint="eastAsia" w:ascii="宋体" w:hAnsi="宋体" w:cs="宋体"/>
          <w:sz w:val="22"/>
          <w:szCs w:val="22"/>
        </w:rPr>
        <w:t>一、项目基本情况</w:t>
      </w:r>
    </w:p>
    <w:p w14:paraId="0FE82B3A">
      <w:pPr>
        <w:shd w:val="clear" w:color="auto" w:fill="FFFFFF"/>
        <w:wordWrap w:val="0"/>
        <w:spacing w:line="360" w:lineRule="auto"/>
        <w:ind w:firstLine="440" w:firstLineChars="200"/>
        <w:jc w:val="left"/>
        <w:rPr>
          <w:rFonts w:hint="default" w:ascii="宋体" w:hAnsi="宋体" w:cs="宋体" w:eastAsiaTheme="minorEastAsia"/>
          <w:sz w:val="22"/>
          <w:szCs w:val="22"/>
          <w:highlight w:val="none"/>
          <w:lang w:val="en-US" w:eastAsia="zh-CN"/>
        </w:rPr>
      </w:pPr>
      <w:r>
        <w:rPr>
          <w:rFonts w:hint="eastAsia" w:ascii="宋体" w:hAnsi="宋体" w:cs="宋体"/>
          <w:sz w:val="22"/>
          <w:szCs w:val="22"/>
          <w:highlight w:val="none"/>
        </w:rPr>
        <w:t>1、</w:t>
      </w:r>
      <w:r>
        <w:rPr>
          <w:rFonts w:hint="eastAsia" w:ascii="宋体" w:hAnsi="宋体" w:cs="宋体"/>
          <w:sz w:val="22"/>
          <w:szCs w:val="22"/>
          <w:highlight w:val="none"/>
          <w:lang w:val="en-US" w:eastAsia="zh-CN"/>
        </w:rPr>
        <w:t>采购</w:t>
      </w:r>
      <w:r>
        <w:rPr>
          <w:rFonts w:hint="eastAsia" w:ascii="宋体" w:hAnsi="宋体" w:cs="宋体"/>
          <w:sz w:val="22"/>
          <w:szCs w:val="22"/>
          <w:highlight w:val="none"/>
        </w:rPr>
        <w:t>编号：义马竞磋采购-2025-31</w:t>
      </w:r>
      <w:r>
        <w:rPr>
          <w:rFonts w:hint="eastAsia" w:ascii="宋体" w:hAnsi="宋体" w:cs="宋体"/>
          <w:sz w:val="22"/>
          <w:szCs w:val="22"/>
          <w:highlight w:val="none"/>
          <w:lang w:val="en-US" w:eastAsia="zh-CN"/>
        </w:rPr>
        <w:t>；项目编号：YMGZ[2025]068-ZC045</w:t>
      </w:r>
    </w:p>
    <w:p w14:paraId="26BFB408">
      <w:pPr>
        <w:shd w:val="clear" w:color="auto" w:fill="FFFFFF"/>
        <w:wordWrap w:val="0"/>
        <w:spacing w:line="360" w:lineRule="auto"/>
        <w:ind w:firstLine="440" w:firstLineChars="200"/>
        <w:jc w:val="left"/>
        <w:rPr>
          <w:rFonts w:ascii="宋体" w:hAnsi="宋体" w:cs="宋体"/>
          <w:color w:val="FF0000"/>
          <w:sz w:val="22"/>
          <w:szCs w:val="22"/>
        </w:rPr>
      </w:pPr>
      <w:r>
        <w:rPr>
          <w:rFonts w:hint="eastAsia" w:ascii="宋体" w:hAnsi="宋体" w:cs="宋体"/>
          <w:sz w:val="22"/>
          <w:szCs w:val="22"/>
        </w:rPr>
        <w:t>2、项目名称：义马市消防救援大队义马大队食堂主副食品采购项目</w:t>
      </w:r>
    </w:p>
    <w:p w14:paraId="243A7341">
      <w:pPr>
        <w:shd w:val="clear" w:color="auto" w:fill="FFFFFF"/>
        <w:wordWrap w:val="0"/>
        <w:spacing w:line="360" w:lineRule="auto"/>
        <w:ind w:firstLine="440" w:firstLineChars="200"/>
        <w:jc w:val="left"/>
        <w:rPr>
          <w:rFonts w:ascii="宋体" w:hAnsi="宋体" w:cs="宋体"/>
          <w:sz w:val="22"/>
          <w:szCs w:val="22"/>
        </w:rPr>
      </w:pPr>
      <w:r>
        <w:rPr>
          <w:rFonts w:hint="eastAsia" w:ascii="宋体" w:hAnsi="宋体" w:cs="宋体"/>
          <w:sz w:val="22"/>
          <w:szCs w:val="22"/>
        </w:rPr>
        <w:t>3、采购方式：竞争性磋商</w:t>
      </w:r>
    </w:p>
    <w:p w14:paraId="774EBA93">
      <w:pPr>
        <w:shd w:val="clear" w:color="auto" w:fill="FFFFFF"/>
        <w:wordWrap w:val="0"/>
        <w:spacing w:line="360" w:lineRule="auto"/>
        <w:ind w:firstLine="440" w:firstLineChars="200"/>
        <w:jc w:val="left"/>
        <w:rPr>
          <w:rFonts w:ascii="宋体" w:hAnsi="宋体" w:cs="宋体"/>
          <w:sz w:val="22"/>
          <w:szCs w:val="22"/>
        </w:rPr>
      </w:pPr>
      <w:r>
        <w:rPr>
          <w:rFonts w:hint="eastAsia" w:ascii="宋体" w:hAnsi="宋体" w:cs="宋体"/>
          <w:sz w:val="22"/>
          <w:szCs w:val="22"/>
        </w:rPr>
        <w:t>4、资金来源：财政资金，已落实</w:t>
      </w:r>
    </w:p>
    <w:p w14:paraId="7E8780A7">
      <w:pPr>
        <w:shd w:val="clear" w:color="auto" w:fill="FFFFFF"/>
        <w:wordWrap w:val="0"/>
        <w:spacing w:line="360" w:lineRule="auto"/>
        <w:ind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5、预算金额：</w:t>
      </w:r>
      <w:r>
        <w:rPr>
          <w:rFonts w:hint="eastAsia" w:ascii="宋体" w:hAnsi="宋体" w:cs="宋体"/>
          <w:sz w:val="22"/>
          <w:szCs w:val="22"/>
          <w:highlight w:val="none"/>
          <w:lang w:val="en-US" w:eastAsia="zh-CN"/>
        </w:rPr>
        <w:t>¥</w:t>
      </w:r>
      <w:r>
        <w:rPr>
          <w:rFonts w:hint="eastAsia" w:ascii="宋体" w:hAnsi="宋体" w:cs="宋体"/>
          <w:sz w:val="22"/>
          <w:szCs w:val="22"/>
          <w:highlight w:val="none"/>
        </w:rPr>
        <w:t>780000.00元</w:t>
      </w:r>
      <w:r>
        <w:rPr>
          <w:rFonts w:hint="eastAsia" w:ascii="宋体" w:hAnsi="宋体" w:cs="宋体"/>
          <w:sz w:val="22"/>
          <w:szCs w:val="22"/>
          <w:highlight w:val="none"/>
          <w:lang w:val="en-US" w:eastAsia="zh-CN"/>
        </w:rPr>
        <w:t>（本预算为暂定金额，以实际采购量为准，按照实际供货数量据实结算。）  </w:t>
      </w:r>
    </w:p>
    <w:tbl>
      <w:tblPr>
        <w:tblStyle w:val="22"/>
        <w:tblW w:w="9351"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1644"/>
        <w:gridCol w:w="1675"/>
        <w:gridCol w:w="1413"/>
        <w:gridCol w:w="1337"/>
        <w:gridCol w:w="1175"/>
        <w:gridCol w:w="1675"/>
      </w:tblGrid>
      <w:tr w14:paraId="2774C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432" w:type="dxa"/>
            <w:vAlign w:val="center"/>
          </w:tcPr>
          <w:p w14:paraId="6CE4DF04">
            <w:pPr>
              <w:shd w:val="clear" w:color="auto" w:fill="FFFFFF"/>
              <w:wordWrap w:val="0"/>
              <w:spacing w:line="360" w:lineRule="auto"/>
              <w:jc w:val="left"/>
              <w:rPr>
                <w:rFonts w:ascii="宋体" w:hAnsi="宋体" w:cs="宋体"/>
                <w:sz w:val="22"/>
                <w:szCs w:val="22"/>
              </w:rPr>
            </w:pPr>
            <w:r>
              <w:rPr>
                <w:rFonts w:hint="eastAsia" w:ascii="宋体" w:hAnsi="宋体" w:cs="宋体"/>
                <w:sz w:val="22"/>
                <w:szCs w:val="22"/>
              </w:rPr>
              <w:t>序号</w:t>
            </w:r>
          </w:p>
        </w:tc>
        <w:tc>
          <w:tcPr>
            <w:tcW w:w="1644" w:type="dxa"/>
            <w:vAlign w:val="center"/>
          </w:tcPr>
          <w:p w14:paraId="518A69DA">
            <w:pPr>
              <w:shd w:val="clear" w:color="auto" w:fill="FFFFFF"/>
              <w:wordWrap w:val="0"/>
              <w:spacing w:line="360" w:lineRule="auto"/>
              <w:jc w:val="left"/>
              <w:rPr>
                <w:rFonts w:ascii="宋体" w:hAnsi="宋体" w:cs="宋体"/>
                <w:sz w:val="22"/>
                <w:szCs w:val="22"/>
              </w:rPr>
            </w:pPr>
            <w:r>
              <w:rPr>
                <w:rFonts w:hint="eastAsia" w:ascii="宋体" w:hAnsi="宋体" w:cs="宋体"/>
                <w:sz w:val="22"/>
                <w:szCs w:val="22"/>
              </w:rPr>
              <w:t>包号</w:t>
            </w:r>
          </w:p>
        </w:tc>
        <w:tc>
          <w:tcPr>
            <w:tcW w:w="1675" w:type="dxa"/>
            <w:vAlign w:val="center"/>
          </w:tcPr>
          <w:p w14:paraId="240EEA02">
            <w:pPr>
              <w:shd w:val="clear" w:color="auto" w:fill="FFFFFF"/>
              <w:wordWrap w:val="0"/>
              <w:spacing w:line="360" w:lineRule="auto"/>
              <w:ind w:firstLine="440" w:firstLineChars="200"/>
              <w:jc w:val="left"/>
              <w:rPr>
                <w:rFonts w:ascii="宋体" w:hAnsi="宋体" w:cs="宋体"/>
                <w:sz w:val="22"/>
                <w:szCs w:val="22"/>
              </w:rPr>
            </w:pPr>
            <w:r>
              <w:rPr>
                <w:rFonts w:hint="eastAsia" w:ascii="宋体" w:hAnsi="宋体" w:cs="宋体"/>
                <w:sz w:val="22"/>
                <w:szCs w:val="22"/>
              </w:rPr>
              <w:t>包名称</w:t>
            </w:r>
          </w:p>
        </w:tc>
        <w:tc>
          <w:tcPr>
            <w:tcW w:w="1413" w:type="dxa"/>
            <w:vAlign w:val="center"/>
          </w:tcPr>
          <w:p w14:paraId="2598F695">
            <w:pPr>
              <w:shd w:val="clear" w:color="auto" w:fill="FFFFFF"/>
              <w:wordWrap w:val="0"/>
              <w:spacing w:line="360" w:lineRule="auto"/>
              <w:jc w:val="left"/>
              <w:rPr>
                <w:rFonts w:ascii="宋体" w:hAnsi="宋体" w:cs="宋体"/>
                <w:sz w:val="22"/>
                <w:szCs w:val="22"/>
              </w:rPr>
            </w:pPr>
            <w:r>
              <w:rPr>
                <w:rFonts w:hint="eastAsia" w:ascii="宋体" w:hAnsi="宋体" w:cs="宋体"/>
                <w:sz w:val="22"/>
                <w:szCs w:val="22"/>
              </w:rPr>
              <w:t>包预算（元）</w:t>
            </w:r>
          </w:p>
        </w:tc>
        <w:tc>
          <w:tcPr>
            <w:tcW w:w="1337" w:type="dxa"/>
            <w:vAlign w:val="center"/>
          </w:tcPr>
          <w:p w14:paraId="38981D1D">
            <w:pPr>
              <w:shd w:val="clear" w:color="auto" w:fill="FFFFFF"/>
              <w:wordWrap w:val="0"/>
              <w:spacing w:line="360" w:lineRule="auto"/>
              <w:jc w:val="left"/>
              <w:rPr>
                <w:rFonts w:ascii="宋体" w:hAnsi="宋体" w:cs="宋体"/>
                <w:sz w:val="22"/>
                <w:szCs w:val="22"/>
              </w:rPr>
            </w:pPr>
            <w:r>
              <w:rPr>
                <w:rFonts w:hint="eastAsia" w:ascii="宋体" w:hAnsi="宋体" w:cs="宋体"/>
                <w:sz w:val="22"/>
                <w:szCs w:val="22"/>
              </w:rPr>
              <w:t>包最高限价</w:t>
            </w:r>
          </w:p>
        </w:tc>
        <w:tc>
          <w:tcPr>
            <w:tcW w:w="1175" w:type="dxa"/>
            <w:vAlign w:val="center"/>
          </w:tcPr>
          <w:p w14:paraId="7E0EC2C6">
            <w:pPr>
              <w:shd w:val="clear" w:color="auto" w:fill="FFFFFF"/>
              <w:wordWrap w:val="0"/>
              <w:spacing w:line="360" w:lineRule="auto"/>
              <w:jc w:val="left"/>
              <w:rPr>
                <w:rFonts w:ascii="宋体" w:hAnsi="宋体" w:cs="宋体"/>
                <w:sz w:val="22"/>
                <w:szCs w:val="22"/>
              </w:rPr>
            </w:pPr>
            <w:r>
              <w:rPr>
                <w:rFonts w:hint="eastAsia" w:ascii="宋体" w:hAnsi="宋体" w:cs="宋体"/>
                <w:sz w:val="22"/>
                <w:szCs w:val="22"/>
              </w:rPr>
              <w:t>是否专门面向中小企业</w:t>
            </w:r>
          </w:p>
        </w:tc>
        <w:tc>
          <w:tcPr>
            <w:tcW w:w="1675" w:type="dxa"/>
            <w:vAlign w:val="center"/>
          </w:tcPr>
          <w:p w14:paraId="74EA9159">
            <w:pPr>
              <w:shd w:val="clear" w:color="auto" w:fill="FFFFFF"/>
              <w:wordWrap w:val="0"/>
              <w:spacing w:line="360" w:lineRule="auto"/>
              <w:jc w:val="left"/>
              <w:rPr>
                <w:rFonts w:ascii="宋体" w:hAnsi="宋体" w:cs="宋体"/>
                <w:sz w:val="22"/>
                <w:szCs w:val="22"/>
              </w:rPr>
            </w:pPr>
            <w:r>
              <w:rPr>
                <w:rFonts w:hint="eastAsia" w:ascii="宋体" w:hAnsi="宋体" w:cs="宋体"/>
                <w:sz w:val="22"/>
                <w:szCs w:val="22"/>
              </w:rPr>
              <w:t>采购预留金额（元）</w:t>
            </w:r>
          </w:p>
        </w:tc>
      </w:tr>
      <w:tr w14:paraId="7BBC7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trPr>
        <w:tc>
          <w:tcPr>
            <w:tcW w:w="432" w:type="dxa"/>
            <w:vAlign w:val="center"/>
          </w:tcPr>
          <w:p w14:paraId="435D84C9">
            <w:pPr>
              <w:shd w:val="clear" w:color="auto" w:fill="FFFFFF"/>
              <w:wordWrap w:val="0"/>
              <w:spacing w:line="360" w:lineRule="auto"/>
              <w:jc w:val="center"/>
              <w:rPr>
                <w:rFonts w:ascii="宋体" w:hAnsi="宋体" w:cs="宋体"/>
                <w:sz w:val="22"/>
                <w:szCs w:val="22"/>
              </w:rPr>
            </w:pPr>
            <w:r>
              <w:rPr>
                <w:rFonts w:hint="eastAsia" w:ascii="宋体" w:hAnsi="宋体" w:cs="宋体"/>
                <w:sz w:val="22"/>
                <w:szCs w:val="22"/>
              </w:rPr>
              <w:t>1</w:t>
            </w:r>
          </w:p>
        </w:tc>
        <w:tc>
          <w:tcPr>
            <w:tcW w:w="1644" w:type="dxa"/>
            <w:vAlign w:val="center"/>
          </w:tcPr>
          <w:p w14:paraId="68D011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left"/>
              <w:rPr>
                <w:rFonts w:hint="default" w:ascii="宋体" w:hAnsi="宋体" w:eastAsia="微软雅黑" w:cs="宋体"/>
                <w:sz w:val="22"/>
                <w:szCs w:val="22"/>
                <w:lang w:val="en-US" w:eastAsia="zh-CN"/>
              </w:rPr>
            </w:pPr>
            <w:r>
              <w:rPr>
                <w:rFonts w:ascii="微软雅黑" w:hAnsi="微软雅黑" w:eastAsia="微软雅黑" w:cs="微软雅黑"/>
                <w:color w:val="3D4B64"/>
                <w:sz w:val="21"/>
                <w:szCs w:val="21"/>
              </w:rPr>
              <w:t>YMGZ[2025]068-ZC045</w:t>
            </w:r>
            <w:r>
              <w:rPr>
                <w:rFonts w:hint="eastAsia" w:ascii="微软雅黑" w:hAnsi="微软雅黑" w:eastAsia="微软雅黑" w:cs="微软雅黑"/>
                <w:color w:val="3D4B64"/>
                <w:sz w:val="21"/>
                <w:szCs w:val="21"/>
                <w:lang w:val="en-US" w:eastAsia="zh-CN"/>
              </w:rPr>
              <w:t>-1</w:t>
            </w:r>
          </w:p>
        </w:tc>
        <w:tc>
          <w:tcPr>
            <w:tcW w:w="1675" w:type="dxa"/>
            <w:vAlign w:val="center"/>
          </w:tcPr>
          <w:p w14:paraId="130F5996">
            <w:pPr>
              <w:shd w:val="clear" w:color="auto" w:fill="FFFFFF"/>
              <w:wordWrap w:val="0"/>
              <w:spacing w:line="360" w:lineRule="auto"/>
              <w:jc w:val="left"/>
              <w:rPr>
                <w:rFonts w:ascii="宋体" w:hAnsi="宋体" w:cs="宋体"/>
                <w:sz w:val="22"/>
                <w:szCs w:val="22"/>
              </w:rPr>
            </w:pPr>
            <w:r>
              <w:rPr>
                <w:rFonts w:hint="eastAsia" w:ascii="宋体" w:hAnsi="宋体" w:cs="宋体"/>
                <w:sz w:val="22"/>
                <w:szCs w:val="22"/>
              </w:rPr>
              <w:t>义马市消防救援大队义马大队食堂主副食品采购项目</w:t>
            </w:r>
          </w:p>
        </w:tc>
        <w:tc>
          <w:tcPr>
            <w:tcW w:w="1413" w:type="dxa"/>
            <w:vAlign w:val="center"/>
          </w:tcPr>
          <w:p w14:paraId="74E7FE6C">
            <w:pPr>
              <w:shd w:val="clear" w:color="auto" w:fill="FFFFFF"/>
              <w:wordWrap w:val="0"/>
              <w:spacing w:line="360" w:lineRule="auto"/>
              <w:jc w:val="left"/>
              <w:rPr>
                <w:rFonts w:ascii="宋体" w:hAnsi="宋体" w:cs="宋体"/>
                <w:sz w:val="22"/>
                <w:szCs w:val="22"/>
              </w:rPr>
            </w:pPr>
            <w:r>
              <w:rPr>
                <w:rFonts w:hint="eastAsia" w:ascii="宋体" w:hAnsi="宋体" w:cs="宋体"/>
                <w:sz w:val="22"/>
                <w:szCs w:val="22"/>
                <w:lang w:val="en-US" w:eastAsia="zh-CN"/>
              </w:rPr>
              <w:t>¥</w:t>
            </w:r>
            <w:r>
              <w:rPr>
                <w:rFonts w:hint="eastAsia" w:ascii="宋体" w:hAnsi="宋体" w:cs="宋体"/>
                <w:sz w:val="22"/>
                <w:szCs w:val="22"/>
              </w:rPr>
              <w:t>780000.00</w:t>
            </w:r>
          </w:p>
        </w:tc>
        <w:tc>
          <w:tcPr>
            <w:tcW w:w="1337" w:type="dxa"/>
            <w:vAlign w:val="center"/>
          </w:tcPr>
          <w:p w14:paraId="0EFC289C">
            <w:pPr>
              <w:shd w:val="clear" w:color="auto" w:fill="FFFFFF"/>
              <w:wordWrap w:val="0"/>
              <w:spacing w:line="360" w:lineRule="auto"/>
              <w:jc w:val="left"/>
              <w:rPr>
                <w:rFonts w:ascii="宋体" w:hAnsi="宋体" w:cs="宋体"/>
                <w:sz w:val="22"/>
                <w:szCs w:val="22"/>
              </w:rPr>
            </w:pPr>
            <w:r>
              <w:rPr>
                <w:rFonts w:hint="eastAsia" w:ascii="宋体" w:hAnsi="宋体" w:cs="宋体"/>
                <w:sz w:val="22"/>
                <w:szCs w:val="22"/>
              </w:rPr>
              <w:t>报价(折扣)100%</w:t>
            </w:r>
          </w:p>
        </w:tc>
        <w:tc>
          <w:tcPr>
            <w:tcW w:w="1175" w:type="dxa"/>
            <w:vAlign w:val="center"/>
          </w:tcPr>
          <w:p w14:paraId="0D32D76D">
            <w:pPr>
              <w:shd w:val="clear" w:color="auto" w:fill="FFFFFF"/>
              <w:wordWrap w:val="0"/>
              <w:spacing w:line="360" w:lineRule="auto"/>
              <w:ind w:firstLine="440" w:firstLineChars="200"/>
              <w:jc w:val="left"/>
              <w:rPr>
                <w:rFonts w:ascii="宋体" w:hAnsi="宋体" w:cs="宋体"/>
                <w:sz w:val="22"/>
                <w:szCs w:val="22"/>
              </w:rPr>
            </w:pPr>
            <w:r>
              <w:rPr>
                <w:rFonts w:hint="eastAsia" w:ascii="宋体" w:hAnsi="宋体" w:cs="宋体"/>
                <w:sz w:val="22"/>
                <w:szCs w:val="22"/>
              </w:rPr>
              <w:t>是</w:t>
            </w:r>
          </w:p>
        </w:tc>
        <w:tc>
          <w:tcPr>
            <w:tcW w:w="1675" w:type="dxa"/>
            <w:vAlign w:val="center"/>
          </w:tcPr>
          <w:p w14:paraId="6A8EF334">
            <w:pPr>
              <w:shd w:val="clear" w:color="auto" w:fill="FFFFFF"/>
              <w:wordWrap w:val="0"/>
              <w:spacing w:line="360" w:lineRule="auto"/>
              <w:jc w:val="left"/>
              <w:rPr>
                <w:rFonts w:ascii="宋体" w:hAnsi="宋体" w:cs="宋体"/>
                <w:sz w:val="22"/>
                <w:szCs w:val="22"/>
              </w:rPr>
            </w:pPr>
            <w:r>
              <w:rPr>
                <w:rFonts w:hint="eastAsia" w:ascii="宋体" w:hAnsi="宋体" w:cs="宋体"/>
                <w:sz w:val="22"/>
                <w:szCs w:val="22"/>
                <w:lang w:val="en-US" w:eastAsia="zh-CN"/>
              </w:rPr>
              <w:t>¥</w:t>
            </w:r>
            <w:r>
              <w:rPr>
                <w:rFonts w:hint="eastAsia" w:ascii="宋体" w:hAnsi="宋体" w:cs="宋体"/>
                <w:sz w:val="22"/>
                <w:szCs w:val="22"/>
              </w:rPr>
              <w:t>780000.00元</w:t>
            </w:r>
          </w:p>
        </w:tc>
      </w:tr>
    </w:tbl>
    <w:p w14:paraId="1F11DD43">
      <w:pPr>
        <w:numPr>
          <w:ilvl w:val="0"/>
          <w:numId w:val="1"/>
        </w:numPr>
        <w:shd w:val="clear" w:color="auto" w:fill="FFFFFF"/>
        <w:wordWrap w:val="0"/>
        <w:spacing w:line="360" w:lineRule="auto"/>
        <w:ind w:firstLine="440" w:firstLineChars="200"/>
        <w:jc w:val="left"/>
        <w:rPr>
          <w:rFonts w:ascii="宋体" w:hAnsi="宋体" w:cs="宋体"/>
          <w:sz w:val="22"/>
          <w:szCs w:val="22"/>
        </w:rPr>
      </w:pPr>
      <w:r>
        <w:rPr>
          <w:rFonts w:hint="eastAsia" w:ascii="宋体" w:hAnsi="宋体" w:cs="宋体"/>
          <w:sz w:val="22"/>
          <w:szCs w:val="22"/>
        </w:rPr>
        <w:t>采购需求（包括但不限于包的名称、数量、简要技术需求或服务要求等）：</w:t>
      </w:r>
    </w:p>
    <w:p w14:paraId="1EFBBDC7">
      <w:pPr>
        <w:shd w:val="clear" w:color="auto" w:fill="FFFFFF"/>
        <w:wordWrap w:val="0"/>
        <w:spacing w:line="360" w:lineRule="auto"/>
        <w:ind w:firstLine="440" w:firstLineChars="200"/>
        <w:jc w:val="left"/>
        <w:rPr>
          <w:rFonts w:ascii="宋体" w:hAnsi="宋体" w:cs="宋体"/>
          <w:sz w:val="22"/>
          <w:szCs w:val="22"/>
        </w:rPr>
      </w:pPr>
      <w:r>
        <w:rPr>
          <w:rFonts w:hint="eastAsia" w:ascii="宋体" w:hAnsi="宋体" w:cs="宋体"/>
          <w:sz w:val="22"/>
          <w:szCs w:val="22"/>
        </w:rPr>
        <w:t>（1）采购需求：</w:t>
      </w:r>
      <w:r>
        <w:rPr>
          <w:rFonts w:hint="eastAsia" w:ascii="宋体" w:hAnsi="宋体" w:cs="宋体"/>
          <w:sz w:val="22"/>
          <w:szCs w:val="22"/>
          <w:lang w:val="en-US" w:eastAsia="zh-CN"/>
        </w:rPr>
        <w:t>本次磋商采购共一包，</w:t>
      </w:r>
      <w:r>
        <w:rPr>
          <w:rFonts w:hint="eastAsia" w:ascii="宋体" w:hAnsi="宋体" w:cs="宋体"/>
          <w:sz w:val="22"/>
          <w:szCs w:val="22"/>
        </w:rPr>
        <w:t>对义马市消防救援大队</w:t>
      </w:r>
      <w:r>
        <w:rPr>
          <w:rFonts w:hint="eastAsia" w:ascii="宋体" w:hAnsi="宋体" w:cs="宋体"/>
          <w:sz w:val="22"/>
          <w:szCs w:val="22"/>
          <w:lang w:val="en-US" w:eastAsia="zh-CN"/>
        </w:rPr>
        <w:t>提供</w:t>
      </w:r>
      <w:r>
        <w:rPr>
          <w:rFonts w:hint="eastAsia" w:ascii="宋体" w:hAnsi="宋体" w:cs="宋体"/>
          <w:sz w:val="22"/>
          <w:szCs w:val="22"/>
        </w:rPr>
        <w:t>食堂餐饮服务，供应商根据采购方规定要求与根据应急消〔2022〕152 号 文件《消防救援局关于调整提高伙食补助费标准》的通知，负责采购方餐饮服务。具体报价范围和所应达到的具体要求，以本磋商文件中商务、技术和服务的相应规定为准。</w:t>
      </w:r>
    </w:p>
    <w:p w14:paraId="67B8890C">
      <w:pPr>
        <w:shd w:val="clear" w:color="auto" w:fill="FFFFFF"/>
        <w:wordWrap w:val="0"/>
        <w:spacing w:line="360" w:lineRule="auto"/>
        <w:ind w:firstLine="440" w:firstLineChars="200"/>
        <w:jc w:val="left"/>
        <w:rPr>
          <w:rFonts w:ascii="宋体" w:hAnsi="宋体" w:cs="宋体"/>
          <w:sz w:val="22"/>
          <w:szCs w:val="22"/>
        </w:rPr>
      </w:pPr>
      <w:r>
        <w:rPr>
          <w:rFonts w:hint="eastAsia" w:ascii="宋体" w:hAnsi="宋体" w:cs="宋体"/>
          <w:sz w:val="22"/>
          <w:szCs w:val="22"/>
        </w:rPr>
        <w:t>（</w:t>
      </w:r>
      <w:r>
        <w:rPr>
          <w:rFonts w:hint="eastAsia" w:ascii="宋体" w:hAnsi="宋体" w:cs="宋体"/>
          <w:sz w:val="22"/>
          <w:szCs w:val="22"/>
          <w:lang w:val="en-US" w:eastAsia="zh-CN"/>
        </w:rPr>
        <w:t>2</w:t>
      </w:r>
      <w:r>
        <w:rPr>
          <w:rFonts w:hint="eastAsia" w:ascii="宋体" w:hAnsi="宋体" w:cs="宋体"/>
          <w:sz w:val="22"/>
          <w:szCs w:val="22"/>
        </w:rPr>
        <w:t>）</w:t>
      </w:r>
      <w:r>
        <w:rPr>
          <w:rFonts w:hint="eastAsia" w:ascii="宋体" w:hAnsi="宋体" w:cs="宋体"/>
          <w:sz w:val="22"/>
          <w:szCs w:val="22"/>
          <w:lang w:val="en-US" w:eastAsia="zh-CN"/>
        </w:rPr>
        <w:t>服务</w:t>
      </w:r>
      <w:r>
        <w:rPr>
          <w:rFonts w:hint="eastAsia" w:ascii="宋体" w:hAnsi="宋体" w:cs="宋体"/>
          <w:sz w:val="22"/>
          <w:szCs w:val="22"/>
        </w:rPr>
        <w:t>内容：对采购人提供蔬果、禽蛋、禽畜肉、水产品、饮品、米面粮油、调料干杂等食材供应，供应商要严格遵守相关法律法规及行业标准，确保相关服务达到验收标准。（详见竞争性磋商文件）</w:t>
      </w:r>
    </w:p>
    <w:p w14:paraId="1F21E57E">
      <w:pPr>
        <w:shd w:val="clear" w:color="auto" w:fill="FFFFFF"/>
        <w:wordWrap w:val="0"/>
        <w:spacing w:line="360" w:lineRule="auto"/>
        <w:ind w:firstLine="440" w:firstLineChars="200"/>
        <w:jc w:val="left"/>
        <w:rPr>
          <w:rFonts w:ascii="宋体" w:hAnsi="宋体" w:cs="宋体"/>
          <w:sz w:val="22"/>
          <w:szCs w:val="22"/>
        </w:rPr>
      </w:pPr>
      <w:r>
        <w:rPr>
          <w:rFonts w:hint="eastAsia" w:ascii="宋体" w:hAnsi="宋体" w:cs="宋体"/>
          <w:sz w:val="22"/>
          <w:szCs w:val="22"/>
        </w:rPr>
        <w:t>（</w:t>
      </w:r>
      <w:r>
        <w:rPr>
          <w:rFonts w:hint="eastAsia" w:ascii="宋体" w:hAnsi="宋体" w:cs="宋体"/>
          <w:sz w:val="22"/>
          <w:szCs w:val="22"/>
          <w:lang w:val="en-US" w:eastAsia="zh-CN"/>
        </w:rPr>
        <w:t>3</w:t>
      </w:r>
      <w:r>
        <w:rPr>
          <w:rFonts w:hint="eastAsia" w:ascii="宋体" w:hAnsi="宋体" w:cs="宋体"/>
          <w:sz w:val="22"/>
          <w:szCs w:val="22"/>
        </w:rPr>
        <w:t>）服务周期：一年</w:t>
      </w:r>
    </w:p>
    <w:p w14:paraId="2886F5F6">
      <w:pPr>
        <w:shd w:val="clear" w:color="auto" w:fill="FFFFFF"/>
        <w:wordWrap w:val="0"/>
        <w:spacing w:line="360" w:lineRule="auto"/>
        <w:ind w:firstLine="440" w:firstLineChars="200"/>
        <w:jc w:val="left"/>
        <w:rPr>
          <w:rFonts w:ascii="宋体" w:hAnsi="宋体" w:cs="宋体"/>
          <w:sz w:val="22"/>
          <w:szCs w:val="22"/>
        </w:rPr>
      </w:pPr>
      <w:r>
        <w:rPr>
          <w:rFonts w:hint="eastAsia" w:ascii="宋体" w:hAnsi="宋体" w:cs="宋体"/>
          <w:sz w:val="22"/>
          <w:szCs w:val="22"/>
        </w:rPr>
        <w:t>（</w:t>
      </w:r>
      <w:r>
        <w:rPr>
          <w:rFonts w:hint="eastAsia" w:ascii="宋体" w:hAnsi="宋体" w:cs="宋体"/>
          <w:sz w:val="22"/>
          <w:szCs w:val="22"/>
          <w:lang w:val="en-US" w:eastAsia="zh-CN"/>
        </w:rPr>
        <w:t>4</w:t>
      </w:r>
      <w:r>
        <w:rPr>
          <w:rFonts w:hint="eastAsia" w:ascii="宋体" w:hAnsi="宋体" w:cs="宋体"/>
          <w:sz w:val="22"/>
          <w:szCs w:val="22"/>
        </w:rPr>
        <w:t>）服务地点：采购人指定地点</w:t>
      </w:r>
    </w:p>
    <w:p w14:paraId="34F766DF">
      <w:pPr>
        <w:shd w:val="clear" w:color="auto" w:fill="FFFFFF"/>
        <w:wordWrap w:val="0"/>
        <w:spacing w:line="360" w:lineRule="auto"/>
        <w:ind w:firstLine="440" w:firstLineChars="200"/>
        <w:jc w:val="left"/>
        <w:rPr>
          <w:rFonts w:ascii="宋体" w:hAnsi="宋体" w:cs="宋体"/>
          <w:sz w:val="22"/>
          <w:szCs w:val="22"/>
        </w:rPr>
      </w:pPr>
      <w:r>
        <w:rPr>
          <w:rFonts w:hint="eastAsia" w:ascii="宋体" w:hAnsi="宋体" w:cs="宋体"/>
          <w:sz w:val="22"/>
          <w:szCs w:val="22"/>
        </w:rPr>
        <w:t>（</w:t>
      </w:r>
      <w:r>
        <w:rPr>
          <w:rFonts w:hint="eastAsia" w:ascii="宋体" w:hAnsi="宋体" w:cs="宋体"/>
          <w:sz w:val="22"/>
          <w:szCs w:val="22"/>
          <w:lang w:val="en-US" w:eastAsia="zh-CN"/>
        </w:rPr>
        <w:t>5</w:t>
      </w:r>
      <w:r>
        <w:rPr>
          <w:rFonts w:hint="eastAsia" w:ascii="宋体" w:hAnsi="宋体" w:cs="宋体"/>
          <w:sz w:val="22"/>
          <w:szCs w:val="22"/>
        </w:rPr>
        <w:t>）质量要求：符合相关法律法规及行业标准</w:t>
      </w:r>
    </w:p>
    <w:p w14:paraId="790751AF">
      <w:pPr>
        <w:shd w:val="clear" w:color="auto" w:fill="FFFFFF"/>
        <w:wordWrap w:val="0"/>
        <w:spacing w:line="360" w:lineRule="auto"/>
        <w:ind w:firstLine="440" w:firstLineChars="200"/>
        <w:jc w:val="left"/>
        <w:rPr>
          <w:rStyle w:val="33"/>
          <w:sz w:val="22"/>
          <w:szCs w:val="22"/>
        </w:rPr>
      </w:pPr>
      <w:r>
        <w:rPr>
          <w:rFonts w:hint="eastAsia" w:ascii="宋体" w:hAnsi="宋体" w:cs="宋体"/>
          <w:sz w:val="22"/>
          <w:szCs w:val="22"/>
        </w:rPr>
        <w:t>7、是否专门面向中小企业：是</w:t>
      </w:r>
    </w:p>
    <w:p w14:paraId="580BD4BA">
      <w:pPr>
        <w:shd w:val="clear" w:color="auto" w:fill="FFFFFF"/>
        <w:wordWrap w:val="0"/>
        <w:spacing w:line="360" w:lineRule="auto"/>
        <w:ind w:firstLine="440" w:firstLineChars="200"/>
        <w:jc w:val="left"/>
        <w:rPr>
          <w:rFonts w:ascii="宋体" w:hAnsi="宋体" w:cs="宋体"/>
          <w:sz w:val="22"/>
          <w:szCs w:val="22"/>
        </w:rPr>
      </w:pPr>
      <w:r>
        <w:rPr>
          <w:rFonts w:hint="eastAsia" w:ascii="宋体" w:hAnsi="宋体" w:cs="宋体"/>
          <w:sz w:val="22"/>
          <w:szCs w:val="22"/>
        </w:rPr>
        <w:t>8、本项目是否接受联合体磋商：否</w:t>
      </w:r>
    </w:p>
    <w:p w14:paraId="14376730">
      <w:pPr>
        <w:shd w:val="clear" w:color="auto" w:fill="FFFFFF"/>
        <w:wordWrap w:val="0"/>
        <w:spacing w:line="360" w:lineRule="auto"/>
        <w:ind w:firstLine="440" w:firstLineChars="200"/>
        <w:jc w:val="left"/>
        <w:rPr>
          <w:rFonts w:ascii="宋体" w:hAnsi="宋体" w:cs="宋体"/>
          <w:sz w:val="22"/>
          <w:szCs w:val="22"/>
        </w:rPr>
      </w:pPr>
      <w:r>
        <w:rPr>
          <w:rFonts w:hint="eastAsia" w:ascii="宋体" w:hAnsi="宋体" w:cs="宋体"/>
          <w:sz w:val="22"/>
          <w:szCs w:val="22"/>
        </w:rPr>
        <w:t>9、是否接受进口产品：否</w:t>
      </w:r>
    </w:p>
    <w:p w14:paraId="6A840426">
      <w:pPr>
        <w:shd w:val="clear" w:color="auto" w:fill="FFFFFF"/>
        <w:spacing w:line="360" w:lineRule="auto"/>
        <w:ind w:firstLine="440" w:firstLineChars="200"/>
        <w:rPr>
          <w:rFonts w:ascii="宋体" w:hAnsi="宋体" w:cs="宋体"/>
          <w:sz w:val="22"/>
          <w:szCs w:val="22"/>
        </w:rPr>
      </w:pPr>
      <w:bookmarkStart w:id="0" w:name="OLE_LINK7"/>
      <w:bookmarkStart w:id="1" w:name="OLE_LINK8"/>
      <w:r>
        <w:rPr>
          <w:rFonts w:hint="eastAsia" w:ascii="宋体" w:hAnsi="宋体" w:cs="宋体"/>
          <w:sz w:val="22"/>
          <w:szCs w:val="22"/>
        </w:rPr>
        <w:t>二、供应商资格要求</w:t>
      </w:r>
      <w:bookmarkEnd w:id="0"/>
      <w:bookmarkEnd w:id="1"/>
    </w:p>
    <w:p w14:paraId="2C4E0AD5">
      <w:pPr>
        <w:shd w:val="clear" w:color="auto" w:fill="FFFFFF"/>
        <w:wordWrap w:val="0"/>
        <w:spacing w:line="360" w:lineRule="auto"/>
        <w:ind w:firstLine="440" w:firstLineChars="200"/>
        <w:jc w:val="left"/>
        <w:rPr>
          <w:rFonts w:ascii="宋体" w:hAnsi="宋体" w:cs="宋体"/>
          <w:sz w:val="22"/>
          <w:szCs w:val="22"/>
        </w:rPr>
      </w:pPr>
      <w:r>
        <w:rPr>
          <w:rFonts w:hint="eastAsia" w:ascii="宋体" w:hAnsi="宋体" w:cs="宋体"/>
          <w:sz w:val="22"/>
          <w:szCs w:val="22"/>
        </w:rPr>
        <w:t>1、满足《中华人民共和国政府采购法》第二十二条规定；</w:t>
      </w:r>
    </w:p>
    <w:p w14:paraId="467C29C7">
      <w:pPr>
        <w:shd w:val="clear" w:color="auto" w:fill="FFFFFF"/>
        <w:wordWrap w:val="0"/>
        <w:spacing w:line="360" w:lineRule="auto"/>
        <w:ind w:firstLine="440" w:firstLineChars="200"/>
        <w:jc w:val="left"/>
        <w:rPr>
          <w:rFonts w:ascii="宋体" w:hAnsi="宋体" w:cs="宋体"/>
          <w:sz w:val="22"/>
          <w:szCs w:val="22"/>
        </w:rPr>
      </w:pPr>
      <w:r>
        <w:rPr>
          <w:rFonts w:hint="eastAsia" w:ascii="宋体" w:hAnsi="宋体" w:cs="宋体"/>
          <w:sz w:val="22"/>
          <w:szCs w:val="22"/>
        </w:rPr>
        <w:t>2、落实政府采购政策满足的资格要求：根据《政府采购促进中小企业发展管理办法》（财库〔2020〕46号）规定，本项目专门面向中小企业采购；同时供应商须提供《中小企业声明函》；</w:t>
      </w:r>
    </w:p>
    <w:p w14:paraId="3BF6054A">
      <w:pPr>
        <w:shd w:val="clear" w:color="auto" w:fill="FFFFFF"/>
        <w:wordWrap w:val="0"/>
        <w:spacing w:line="360" w:lineRule="auto"/>
        <w:ind w:firstLine="440" w:firstLineChars="200"/>
        <w:jc w:val="left"/>
        <w:rPr>
          <w:rFonts w:ascii="宋体" w:hAnsi="宋体" w:cs="宋体"/>
          <w:sz w:val="22"/>
          <w:szCs w:val="22"/>
        </w:rPr>
      </w:pPr>
      <w:r>
        <w:rPr>
          <w:rFonts w:hint="eastAsia" w:ascii="宋体" w:hAnsi="宋体" w:cs="宋体"/>
          <w:sz w:val="22"/>
          <w:szCs w:val="22"/>
        </w:rPr>
        <w:t>3、本项目的特定资格要求</w:t>
      </w:r>
    </w:p>
    <w:p w14:paraId="07EF2B01">
      <w:pPr>
        <w:widowControl/>
        <w:spacing w:line="360" w:lineRule="auto"/>
        <w:ind w:firstLine="420"/>
        <w:jc w:val="left"/>
        <w:rPr>
          <w:rFonts w:hint="eastAsia" w:ascii="宋体" w:hAnsi="宋体" w:cs="宋体" w:eastAsiaTheme="minorEastAsia"/>
          <w:sz w:val="22"/>
          <w:szCs w:val="22"/>
          <w:lang w:eastAsia="zh-CN"/>
        </w:rPr>
      </w:pPr>
      <w:bookmarkStart w:id="2" w:name="OLE_LINK3"/>
      <w:bookmarkStart w:id="3" w:name="OLE_LINK4"/>
      <w:r>
        <w:rPr>
          <w:rFonts w:hint="eastAsia" w:ascii="宋体" w:hAnsi="宋体" w:cs="宋体"/>
          <w:sz w:val="22"/>
          <w:szCs w:val="22"/>
        </w:rPr>
        <w:t>（1）供应商具有独立法人资格，并具有有效的营业执照</w:t>
      </w:r>
      <w:r>
        <w:rPr>
          <w:rFonts w:hint="eastAsia" w:ascii="宋体" w:hAnsi="宋体" w:cs="宋体"/>
          <w:sz w:val="22"/>
          <w:szCs w:val="22"/>
          <w:lang w:eastAsia="zh-CN"/>
        </w:rPr>
        <w:t>；</w:t>
      </w:r>
    </w:p>
    <w:p w14:paraId="511944A6">
      <w:pPr>
        <w:widowControl/>
        <w:spacing w:line="360" w:lineRule="auto"/>
        <w:ind w:firstLine="420"/>
        <w:jc w:val="left"/>
        <w:rPr>
          <w:rFonts w:ascii="宋体" w:hAnsi="宋体" w:cs="宋体"/>
          <w:sz w:val="22"/>
          <w:szCs w:val="22"/>
        </w:rPr>
      </w:pPr>
      <w:r>
        <w:rPr>
          <w:rFonts w:hint="eastAsia" w:ascii="宋体" w:hAnsi="宋体" w:cs="宋体"/>
          <w:sz w:val="22"/>
          <w:szCs w:val="22"/>
        </w:rPr>
        <w:t>（2）供应商具有良好的商业信誉和健全的财务会计制度（提供承诺书，格式自拟）；</w:t>
      </w:r>
    </w:p>
    <w:p w14:paraId="0246BDDC">
      <w:pPr>
        <w:widowControl/>
        <w:spacing w:line="360" w:lineRule="auto"/>
        <w:ind w:firstLine="420"/>
        <w:jc w:val="left"/>
        <w:rPr>
          <w:rFonts w:ascii="宋体" w:hAnsi="宋体" w:cs="宋体"/>
          <w:sz w:val="22"/>
          <w:szCs w:val="22"/>
        </w:rPr>
      </w:pPr>
      <w:r>
        <w:rPr>
          <w:rFonts w:hint="eastAsia" w:ascii="宋体" w:hAnsi="宋体" w:cs="宋体"/>
          <w:sz w:val="22"/>
          <w:szCs w:val="22"/>
        </w:rPr>
        <w:t>（3）供应商具有履行合同所必需的设备和专业技术能力（提供承诺书，格式自拟）；</w:t>
      </w:r>
    </w:p>
    <w:p w14:paraId="7885ED8A">
      <w:pPr>
        <w:widowControl/>
        <w:spacing w:line="360" w:lineRule="auto"/>
        <w:ind w:firstLine="420"/>
        <w:jc w:val="left"/>
        <w:rPr>
          <w:rFonts w:ascii="宋体" w:hAnsi="宋体" w:cs="宋体"/>
          <w:sz w:val="22"/>
          <w:szCs w:val="22"/>
        </w:rPr>
      </w:pPr>
      <w:r>
        <w:rPr>
          <w:rFonts w:hint="eastAsia" w:ascii="宋体" w:hAnsi="宋体" w:cs="宋体"/>
          <w:sz w:val="22"/>
          <w:szCs w:val="22"/>
        </w:rPr>
        <w:t>（4）供应商有依法缴纳税收和社会保障资金的良好记录（提供承诺书，格式自拟）；</w:t>
      </w:r>
    </w:p>
    <w:p w14:paraId="535F7D89">
      <w:pPr>
        <w:widowControl/>
        <w:spacing w:line="360" w:lineRule="auto"/>
        <w:ind w:firstLine="420"/>
        <w:jc w:val="left"/>
        <w:rPr>
          <w:rFonts w:ascii="宋体" w:hAnsi="宋体" w:cs="宋体"/>
          <w:sz w:val="22"/>
          <w:szCs w:val="22"/>
        </w:rPr>
      </w:pPr>
      <w:r>
        <w:rPr>
          <w:rFonts w:hint="eastAsia" w:ascii="宋体" w:hAnsi="宋体" w:cs="宋体"/>
          <w:sz w:val="22"/>
          <w:szCs w:val="22"/>
        </w:rPr>
        <w:t>（5）供应商参加政府采购活动前三年内，在经营活动中没有重大违法记录（提供承诺书，格式自拟）；</w:t>
      </w:r>
    </w:p>
    <w:p w14:paraId="7D0AA54D">
      <w:pPr>
        <w:widowControl/>
        <w:spacing w:line="360" w:lineRule="auto"/>
        <w:ind w:firstLine="420"/>
        <w:jc w:val="left"/>
        <w:rPr>
          <w:rFonts w:ascii="宋体" w:hAnsi="宋体" w:cs="宋体"/>
          <w:sz w:val="22"/>
          <w:szCs w:val="22"/>
        </w:rPr>
      </w:pPr>
      <w:r>
        <w:rPr>
          <w:rFonts w:hint="eastAsia" w:ascii="宋体" w:hAnsi="宋体" w:cs="宋体"/>
          <w:sz w:val="22"/>
          <w:szCs w:val="22"/>
        </w:rPr>
        <w:t>（6）供应商为生产企业的须具有食品生产许可证；</w:t>
      </w:r>
      <w:r>
        <w:rPr>
          <w:rFonts w:hint="eastAsia" w:ascii="宋体" w:hAnsi="宋体" w:cs="宋体"/>
          <w:sz w:val="22"/>
          <w:szCs w:val="22"/>
          <w:lang w:val="en-US" w:eastAsia="zh-CN"/>
        </w:rPr>
        <w:t>供应商</w:t>
      </w:r>
      <w:r>
        <w:rPr>
          <w:rFonts w:hint="eastAsia" w:ascii="宋体" w:hAnsi="宋体" w:cs="宋体"/>
          <w:sz w:val="22"/>
          <w:szCs w:val="22"/>
        </w:rPr>
        <w:t>为经销商的须具有国家相关部门批准的食品经营许可证；</w:t>
      </w:r>
    </w:p>
    <w:p w14:paraId="0AA66C5B">
      <w:pPr>
        <w:widowControl/>
        <w:spacing w:line="360" w:lineRule="auto"/>
        <w:ind w:firstLine="420"/>
        <w:jc w:val="left"/>
        <w:rPr>
          <w:rFonts w:ascii="宋体" w:hAnsi="宋体" w:cs="宋体"/>
          <w:sz w:val="22"/>
          <w:szCs w:val="22"/>
        </w:rPr>
      </w:pPr>
      <w:r>
        <w:rPr>
          <w:rFonts w:hint="eastAsia" w:ascii="宋体" w:hAnsi="宋体" w:cs="宋体"/>
          <w:sz w:val="22"/>
          <w:szCs w:val="22"/>
        </w:rPr>
        <w:t>（7）供应商无行贿犯罪记录行为，在中国裁判文书网自行查询结果或自行承诺（查询/承诺对象：企业、法定代表人）；</w:t>
      </w:r>
    </w:p>
    <w:p w14:paraId="444A4AD5">
      <w:pPr>
        <w:widowControl/>
        <w:spacing w:line="360" w:lineRule="auto"/>
        <w:ind w:firstLine="420"/>
        <w:jc w:val="left"/>
        <w:rPr>
          <w:rFonts w:ascii="宋体" w:hAnsi="宋体" w:cs="宋体"/>
          <w:sz w:val="22"/>
          <w:szCs w:val="22"/>
        </w:rPr>
      </w:pPr>
      <w:r>
        <w:rPr>
          <w:rFonts w:hint="eastAsia" w:ascii="宋体" w:hAnsi="宋体" w:cs="宋体"/>
          <w:sz w:val="22"/>
          <w:szCs w:val="22"/>
        </w:rPr>
        <w:t>（8）未被列入中国执行信息公开网（http://zxgk.court.gov.cn/shixin/）失信被执行人、“信用中国”网站（www.creditchina.gov.cn）重大税收违法失信主体、“中国政府采购网”（http://www.ccgp.gov.cn/）政府采购严重违法失信行为名单，提供网页查询信息截图（查询时间自本公告发布之日起）；</w:t>
      </w:r>
    </w:p>
    <w:p w14:paraId="59D6A86B">
      <w:pPr>
        <w:widowControl/>
        <w:spacing w:line="360" w:lineRule="auto"/>
        <w:ind w:firstLine="420"/>
        <w:jc w:val="left"/>
        <w:rPr>
          <w:rFonts w:ascii="宋体" w:hAnsi="宋体" w:cs="宋体"/>
          <w:sz w:val="22"/>
          <w:szCs w:val="22"/>
        </w:rPr>
      </w:pPr>
      <w:r>
        <w:rPr>
          <w:rFonts w:hint="eastAsia" w:ascii="宋体" w:hAnsi="宋体" w:cs="宋体"/>
          <w:sz w:val="22"/>
          <w:szCs w:val="22"/>
          <w:lang w:val="en-US" w:eastAsia="zh-CN"/>
        </w:rPr>
        <w:t>（9）</w:t>
      </w:r>
      <w:r>
        <w:rPr>
          <w:rFonts w:hint="eastAsia" w:ascii="宋体" w:hAnsi="宋体" w:cs="宋体"/>
          <w:sz w:val="22"/>
          <w:szCs w:val="22"/>
        </w:rPr>
        <w:t>单位负责人为同一人或者存在直接控股、管理关系的不同供应商，不得参加同一合同项下的政府采购活动（提供“国家企业信用信息公示系统”http://www.gsxt.gov.cn/index.htm</w:t>
      </w:r>
      <w:r>
        <w:rPr>
          <w:rFonts w:hint="eastAsia" w:ascii="宋体" w:hAnsi="宋体" w:cs="宋体"/>
          <w:sz w:val="22"/>
          <w:szCs w:val="22"/>
          <w:lang w:val="en-US" w:eastAsia="zh-CN"/>
        </w:rPr>
        <w:t>l</w:t>
      </w:r>
      <w:r>
        <w:rPr>
          <w:rFonts w:hint="eastAsia" w:ascii="宋体" w:hAnsi="宋体" w:cs="宋体"/>
          <w:sz w:val="22"/>
          <w:szCs w:val="22"/>
        </w:rPr>
        <w:t>网页查询,需包含公司基本信息、股东信息及股权变更信息内容）；</w:t>
      </w:r>
    </w:p>
    <w:p w14:paraId="1FE56D43">
      <w:pPr>
        <w:shd w:val="clear" w:color="auto" w:fill="FFFFFF"/>
        <w:wordWrap w:val="0"/>
        <w:spacing w:line="360" w:lineRule="auto"/>
        <w:ind w:firstLine="440" w:firstLineChars="200"/>
        <w:jc w:val="left"/>
        <w:rPr>
          <w:sz w:val="22"/>
          <w:szCs w:val="28"/>
        </w:rPr>
      </w:pPr>
      <w:r>
        <w:rPr>
          <w:rFonts w:hint="eastAsia" w:ascii="宋体" w:hAnsi="宋体" w:cs="宋体"/>
          <w:sz w:val="22"/>
          <w:szCs w:val="22"/>
          <w:lang w:val="en-US" w:eastAsia="zh-CN"/>
        </w:rPr>
        <w:t>（10）</w:t>
      </w:r>
      <w:r>
        <w:rPr>
          <w:rFonts w:hint="eastAsia" w:ascii="宋体" w:hAnsi="宋体" w:cs="宋体"/>
          <w:sz w:val="22"/>
          <w:szCs w:val="22"/>
        </w:rPr>
        <w:t>本项目实行资格后审</w:t>
      </w:r>
      <w:bookmarkEnd w:id="2"/>
      <w:bookmarkEnd w:id="3"/>
      <w:r>
        <w:rPr>
          <w:rFonts w:hint="eastAsia" w:ascii="宋体" w:hAnsi="宋体" w:cs="宋体"/>
          <w:sz w:val="22"/>
          <w:szCs w:val="22"/>
          <w:lang w:val="en-US" w:eastAsia="zh-CN"/>
        </w:rPr>
        <w:t>（提供资格后审承诺书，格式自拟）</w:t>
      </w:r>
      <w:r>
        <w:rPr>
          <w:rFonts w:hint="eastAsia" w:ascii="宋体" w:hAnsi="宋体" w:cs="宋体"/>
          <w:sz w:val="22"/>
          <w:szCs w:val="22"/>
        </w:rPr>
        <w:t>；</w:t>
      </w:r>
    </w:p>
    <w:p w14:paraId="6BF6B4D6">
      <w:pPr>
        <w:shd w:val="clear" w:color="auto" w:fill="FFFFFF"/>
        <w:wordWrap w:val="0"/>
        <w:spacing w:line="360" w:lineRule="auto"/>
        <w:ind w:firstLine="440" w:firstLineChars="200"/>
        <w:jc w:val="left"/>
        <w:rPr>
          <w:rFonts w:ascii="宋体" w:hAnsi="宋体" w:cs="宋体"/>
          <w:sz w:val="22"/>
          <w:szCs w:val="22"/>
        </w:rPr>
      </w:pPr>
      <w:r>
        <w:rPr>
          <w:rFonts w:hint="eastAsia" w:ascii="宋体" w:hAnsi="宋体" w:cs="宋体"/>
          <w:sz w:val="22"/>
          <w:szCs w:val="22"/>
          <w:lang w:val="en-US" w:eastAsia="zh-CN"/>
        </w:rPr>
        <w:t>（11）</w:t>
      </w:r>
      <w:r>
        <w:rPr>
          <w:rFonts w:hint="eastAsia" w:ascii="宋体" w:hAnsi="宋体" w:cs="宋体"/>
          <w:sz w:val="22"/>
          <w:szCs w:val="22"/>
        </w:rPr>
        <w:t>本项目不接受联合体磋商（提供非联合体承诺书，格式自拟）。</w:t>
      </w:r>
    </w:p>
    <w:p w14:paraId="628083B9">
      <w:pPr>
        <w:shd w:val="clear" w:color="auto" w:fill="FFFFFF"/>
        <w:wordWrap w:val="0"/>
        <w:spacing w:line="360" w:lineRule="auto"/>
        <w:ind w:firstLine="440" w:firstLineChars="200"/>
        <w:jc w:val="left"/>
        <w:rPr>
          <w:rFonts w:hint="eastAsia" w:ascii="宋体" w:hAnsi="宋体" w:cs="宋体" w:eastAsiaTheme="minorEastAsia"/>
          <w:sz w:val="22"/>
          <w:szCs w:val="22"/>
          <w:lang w:eastAsia="zh-CN"/>
        </w:rPr>
      </w:pPr>
      <w:r>
        <w:rPr>
          <w:rFonts w:hint="eastAsia" w:ascii="宋体" w:hAnsi="宋体" w:cs="宋体"/>
          <w:sz w:val="22"/>
          <w:szCs w:val="22"/>
        </w:rPr>
        <w:t>三、获取</w:t>
      </w:r>
      <w:r>
        <w:rPr>
          <w:rFonts w:hint="eastAsia" w:ascii="宋体" w:hAnsi="宋体" w:cs="宋体"/>
          <w:sz w:val="22"/>
          <w:szCs w:val="22"/>
          <w:lang w:eastAsia="zh-CN"/>
        </w:rPr>
        <w:t>磋商文件</w:t>
      </w:r>
    </w:p>
    <w:p w14:paraId="41BAEB56">
      <w:pPr>
        <w:shd w:val="clear" w:color="auto" w:fill="FFFFFF"/>
        <w:wordWrap w:val="0"/>
        <w:spacing w:line="360" w:lineRule="auto"/>
        <w:ind w:firstLine="440" w:firstLineChars="200"/>
        <w:jc w:val="left"/>
        <w:rPr>
          <w:rFonts w:ascii="宋体" w:hAnsi="宋体" w:cs="宋体"/>
          <w:color w:val="FF0000"/>
          <w:sz w:val="22"/>
          <w:szCs w:val="22"/>
          <w:highlight w:val="none"/>
        </w:rPr>
      </w:pPr>
      <w:r>
        <w:rPr>
          <w:rFonts w:hint="eastAsia" w:ascii="宋体" w:hAnsi="宋体" w:cs="宋体"/>
          <w:color w:val="auto"/>
          <w:sz w:val="22"/>
          <w:szCs w:val="22"/>
          <w:highlight w:val="none"/>
        </w:rPr>
        <w:t>1、时间：202</w:t>
      </w:r>
      <w:r>
        <w:rPr>
          <w:rFonts w:ascii="宋体" w:hAnsi="宋体" w:cs="宋体"/>
          <w:color w:val="auto"/>
          <w:sz w:val="22"/>
          <w:szCs w:val="22"/>
          <w:highlight w:val="none"/>
        </w:rPr>
        <w:t>5</w:t>
      </w:r>
      <w:r>
        <w:rPr>
          <w:rFonts w:hint="eastAsia" w:ascii="宋体" w:hAnsi="宋体" w:cs="宋体"/>
          <w:color w:val="auto"/>
          <w:sz w:val="22"/>
          <w:szCs w:val="22"/>
          <w:highlight w:val="none"/>
        </w:rPr>
        <w:t>年0</w:t>
      </w:r>
      <w:r>
        <w:rPr>
          <w:rFonts w:hint="eastAsia" w:ascii="宋体" w:hAnsi="宋体" w:cs="宋体"/>
          <w:color w:val="auto"/>
          <w:sz w:val="22"/>
          <w:szCs w:val="22"/>
          <w:highlight w:val="none"/>
          <w:lang w:val="en-US" w:eastAsia="zh-CN"/>
        </w:rPr>
        <w:t>6</w:t>
      </w:r>
      <w:r>
        <w:rPr>
          <w:rFonts w:hint="eastAsia" w:ascii="宋体" w:hAnsi="宋体" w:cs="宋体"/>
          <w:color w:val="auto"/>
          <w:sz w:val="22"/>
          <w:szCs w:val="22"/>
          <w:highlight w:val="none"/>
        </w:rPr>
        <w:t>月</w:t>
      </w:r>
      <w:r>
        <w:rPr>
          <w:rFonts w:hint="eastAsia" w:ascii="宋体" w:hAnsi="宋体" w:cs="宋体"/>
          <w:color w:val="auto"/>
          <w:sz w:val="22"/>
          <w:szCs w:val="22"/>
          <w:highlight w:val="none"/>
          <w:lang w:val="en-US" w:eastAsia="zh-CN"/>
        </w:rPr>
        <w:t>11</w:t>
      </w:r>
      <w:r>
        <w:rPr>
          <w:rFonts w:hint="eastAsia" w:ascii="宋体" w:hAnsi="宋体" w:cs="宋体"/>
          <w:color w:val="auto"/>
          <w:sz w:val="22"/>
          <w:szCs w:val="22"/>
          <w:highlight w:val="none"/>
        </w:rPr>
        <w:t>日至202</w:t>
      </w:r>
      <w:r>
        <w:rPr>
          <w:rFonts w:ascii="宋体" w:hAnsi="宋体" w:cs="宋体"/>
          <w:color w:val="auto"/>
          <w:sz w:val="22"/>
          <w:szCs w:val="22"/>
          <w:highlight w:val="none"/>
        </w:rPr>
        <w:t>5</w:t>
      </w:r>
      <w:r>
        <w:rPr>
          <w:rFonts w:hint="eastAsia" w:ascii="宋体" w:hAnsi="宋体" w:cs="宋体"/>
          <w:color w:val="auto"/>
          <w:sz w:val="22"/>
          <w:szCs w:val="22"/>
          <w:highlight w:val="none"/>
        </w:rPr>
        <w:t>年0</w:t>
      </w:r>
      <w:r>
        <w:rPr>
          <w:rFonts w:hint="eastAsia" w:ascii="宋体" w:hAnsi="宋体" w:cs="宋体"/>
          <w:color w:val="auto"/>
          <w:sz w:val="22"/>
          <w:szCs w:val="22"/>
          <w:highlight w:val="none"/>
          <w:lang w:val="en-US" w:eastAsia="zh-CN"/>
        </w:rPr>
        <w:t>6</w:t>
      </w:r>
      <w:r>
        <w:rPr>
          <w:rFonts w:hint="eastAsia" w:ascii="宋体" w:hAnsi="宋体" w:cs="宋体"/>
          <w:color w:val="auto"/>
          <w:sz w:val="22"/>
          <w:szCs w:val="22"/>
          <w:highlight w:val="none"/>
        </w:rPr>
        <w:t>月</w:t>
      </w:r>
      <w:r>
        <w:rPr>
          <w:rFonts w:hint="eastAsia" w:ascii="宋体" w:hAnsi="宋体" w:cs="宋体"/>
          <w:color w:val="auto"/>
          <w:sz w:val="22"/>
          <w:szCs w:val="22"/>
          <w:highlight w:val="none"/>
          <w:lang w:val="en-US" w:eastAsia="zh-CN"/>
        </w:rPr>
        <w:t>23</w:t>
      </w:r>
      <w:r>
        <w:rPr>
          <w:rFonts w:hint="eastAsia" w:ascii="宋体" w:hAnsi="宋体" w:cs="宋体"/>
          <w:color w:val="auto"/>
          <w:sz w:val="22"/>
          <w:szCs w:val="22"/>
          <w:highlight w:val="none"/>
        </w:rPr>
        <w:t>日，每天上午00:00至12:00，下午12:00至23:59（北京时间，法定节假日除外）。</w:t>
      </w:r>
    </w:p>
    <w:p w14:paraId="3506086B">
      <w:pPr>
        <w:shd w:val="clear" w:color="auto" w:fill="FFFFFF"/>
        <w:wordWrap w:val="0"/>
        <w:spacing w:line="360" w:lineRule="auto"/>
        <w:ind w:firstLine="440" w:firstLineChars="200"/>
        <w:jc w:val="left"/>
        <w:rPr>
          <w:rFonts w:ascii="宋体" w:hAnsi="宋体" w:cs="宋体"/>
          <w:sz w:val="22"/>
          <w:szCs w:val="22"/>
        </w:rPr>
      </w:pPr>
      <w:r>
        <w:rPr>
          <w:rFonts w:hint="eastAsia" w:ascii="宋体" w:hAnsi="宋体" w:cs="宋体"/>
          <w:sz w:val="22"/>
          <w:szCs w:val="22"/>
        </w:rPr>
        <w:t>2、地点：三门峡市公共资源交易中心网下载</w:t>
      </w:r>
    </w:p>
    <w:p w14:paraId="2122B458">
      <w:pPr>
        <w:shd w:val="clear" w:color="auto" w:fill="FFFFFF"/>
        <w:wordWrap w:val="0"/>
        <w:spacing w:line="360" w:lineRule="auto"/>
        <w:ind w:firstLine="440" w:firstLineChars="200"/>
        <w:jc w:val="left"/>
        <w:rPr>
          <w:rFonts w:ascii="宋体" w:hAnsi="宋体" w:cs="宋体"/>
          <w:sz w:val="22"/>
          <w:szCs w:val="22"/>
        </w:rPr>
      </w:pPr>
      <w:r>
        <w:rPr>
          <w:rFonts w:hint="eastAsia" w:ascii="宋体" w:hAnsi="宋体" w:cs="宋体"/>
          <w:sz w:val="22"/>
          <w:szCs w:val="22"/>
        </w:rPr>
        <w:t>3、方式：</w:t>
      </w:r>
      <w:bookmarkStart w:id="4" w:name="OLE_LINK9"/>
      <w:bookmarkStart w:id="5" w:name="OLE_LINK10"/>
      <w:r>
        <w:rPr>
          <w:rFonts w:hint="eastAsia" w:ascii="宋体" w:hAnsi="宋体" w:cs="宋体"/>
          <w:sz w:val="22"/>
          <w:szCs w:val="22"/>
        </w:rPr>
        <w:t>供应商凭CA数字证书通过三门峡市公共资源交易中心网（网址：http://gzjy.smx.gov.cn），点击交易平台选择“交易主体登录”，在所参与项目右侧点击参与投标，即可直接下载本项目竞争性磋商文件。</w:t>
      </w:r>
    </w:p>
    <w:p w14:paraId="4F45EFBB">
      <w:pPr>
        <w:shd w:val="clear" w:color="auto" w:fill="FFFFFF"/>
        <w:wordWrap w:val="0"/>
        <w:spacing w:line="360" w:lineRule="auto"/>
        <w:ind w:firstLine="440" w:firstLineChars="200"/>
        <w:jc w:val="left"/>
        <w:rPr>
          <w:rFonts w:ascii="宋体" w:hAnsi="宋体" w:cs="宋体"/>
          <w:sz w:val="22"/>
          <w:szCs w:val="22"/>
        </w:rPr>
      </w:pPr>
      <w:r>
        <w:rPr>
          <w:rFonts w:hint="eastAsia" w:ascii="宋体" w:hAnsi="宋体" w:cs="宋体"/>
          <w:sz w:val="22"/>
          <w:szCs w:val="22"/>
        </w:rPr>
        <w:t>办理CA证书链接http://gzjy.smx.gov.cn/fwzn/004003/20211105/6b2c0463-2536-4c52-bcee-a4ce40f48642.html。</w:t>
      </w:r>
      <w:bookmarkEnd w:id="4"/>
      <w:bookmarkEnd w:id="5"/>
    </w:p>
    <w:p w14:paraId="7DB971E6">
      <w:pPr>
        <w:shd w:val="clear" w:color="auto" w:fill="FFFFFF"/>
        <w:wordWrap w:val="0"/>
        <w:spacing w:line="360" w:lineRule="auto"/>
        <w:ind w:firstLine="440" w:firstLineChars="200"/>
        <w:jc w:val="left"/>
        <w:rPr>
          <w:rFonts w:ascii="宋体" w:hAnsi="宋体" w:cs="宋体"/>
          <w:sz w:val="22"/>
          <w:szCs w:val="22"/>
        </w:rPr>
      </w:pPr>
      <w:r>
        <w:rPr>
          <w:rFonts w:hint="eastAsia" w:ascii="宋体" w:hAnsi="宋体" w:cs="宋体"/>
          <w:sz w:val="22"/>
          <w:szCs w:val="22"/>
        </w:rPr>
        <w:t>4、售价：0元</w:t>
      </w:r>
    </w:p>
    <w:p w14:paraId="7E3ED0E9">
      <w:pPr>
        <w:shd w:val="clear" w:color="auto" w:fill="FFFFFF"/>
        <w:wordWrap w:val="0"/>
        <w:spacing w:line="360" w:lineRule="auto"/>
        <w:ind w:firstLine="440" w:firstLineChars="200"/>
        <w:jc w:val="left"/>
        <w:rPr>
          <w:rFonts w:ascii="宋体" w:hAnsi="宋体" w:cs="宋体"/>
          <w:sz w:val="22"/>
          <w:szCs w:val="22"/>
        </w:rPr>
      </w:pPr>
      <w:r>
        <w:rPr>
          <w:rFonts w:hint="eastAsia" w:ascii="宋体" w:hAnsi="宋体" w:cs="宋体"/>
          <w:sz w:val="22"/>
          <w:szCs w:val="22"/>
        </w:rPr>
        <w:t>四、磋商截止时间及地点</w:t>
      </w:r>
    </w:p>
    <w:p w14:paraId="53B16F40">
      <w:pPr>
        <w:shd w:val="clear" w:color="auto" w:fill="FFFFFF"/>
        <w:wordWrap w:val="0"/>
        <w:spacing w:line="360" w:lineRule="auto"/>
        <w:ind w:firstLine="440" w:firstLineChars="200"/>
        <w:jc w:val="left"/>
        <w:rPr>
          <w:rFonts w:ascii="宋体" w:hAnsi="宋体" w:cs="宋体"/>
          <w:color w:val="auto"/>
          <w:sz w:val="22"/>
          <w:szCs w:val="22"/>
        </w:rPr>
      </w:pPr>
      <w:r>
        <w:rPr>
          <w:rFonts w:hint="eastAsia" w:ascii="宋体" w:hAnsi="宋体" w:cs="宋体"/>
          <w:color w:val="auto"/>
          <w:sz w:val="22"/>
          <w:szCs w:val="22"/>
        </w:rPr>
        <w:t>1.时间：</w:t>
      </w:r>
      <w:bookmarkStart w:id="6" w:name="OLE_LINK6"/>
      <w:bookmarkStart w:id="7" w:name="OLE_LINK5"/>
      <w:r>
        <w:rPr>
          <w:rFonts w:hint="eastAsia" w:ascii="宋体" w:hAnsi="宋体" w:cs="宋体"/>
          <w:color w:val="auto"/>
          <w:sz w:val="22"/>
          <w:szCs w:val="22"/>
        </w:rPr>
        <w:t>202</w:t>
      </w:r>
      <w:r>
        <w:rPr>
          <w:rFonts w:ascii="宋体" w:hAnsi="宋体" w:cs="宋体"/>
          <w:color w:val="auto"/>
          <w:sz w:val="22"/>
          <w:szCs w:val="22"/>
        </w:rPr>
        <w:t>5</w:t>
      </w:r>
      <w:r>
        <w:rPr>
          <w:rFonts w:hint="eastAsia" w:ascii="宋体" w:hAnsi="宋体" w:cs="宋体"/>
          <w:color w:val="auto"/>
          <w:sz w:val="22"/>
          <w:szCs w:val="22"/>
        </w:rPr>
        <w:t>年</w:t>
      </w:r>
      <w:r>
        <w:rPr>
          <w:rFonts w:ascii="宋体" w:hAnsi="宋体" w:cs="宋体"/>
          <w:color w:val="auto"/>
          <w:sz w:val="22"/>
          <w:szCs w:val="22"/>
        </w:rPr>
        <w:t>0</w:t>
      </w:r>
      <w:r>
        <w:rPr>
          <w:rFonts w:hint="eastAsia" w:ascii="宋体" w:hAnsi="宋体" w:cs="宋体"/>
          <w:color w:val="auto"/>
          <w:sz w:val="22"/>
          <w:szCs w:val="22"/>
          <w:lang w:val="en-US" w:eastAsia="zh-CN"/>
        </w:rPr>
        <w:t>6</w:t>
      </w:r>
      <w:r>
        <w:rPr>
          <w:rFonts w:hint="eastAsia" w:ascii="宋体" w:hAnsi="宋体" w:cs="宋体"/>
          <w:color w:val="auto"/>
          <w:sz w:val="22"/>
          <w:szCs w:val="22"/>
        </w:rPr>
        <w:t>月</w:t>
      </w:r>
      <w:r>
        <w:rPr>
          <w:rFonts w:hint="eastAsia" w:ascii="宋体" w:hAnsi="宋体" w:cs="宋体"/>
          <w:color w:val="auto"/>
          <w:sz w:val="22"/>
          <w:szCs w:val="22"/>
          <w:lang w:val="en-US" w:eastAsia="zh-CN"/>
        </w:rPr>
        <w:t>24</w:t>
      </w:r>
      <w:r>
        <w:rPr>
          <w:rFonts w:hint="eastAsia" w:ascii="宋体" w:hAnsi="宋体" w:cs="宋体"/>
          <w:color w:val="auto"/>
          <w:sz w:val="22"/>
          <w:szCs w:val="22"/>
        </w:rPr>
        <w:t>日</w:t>
      </w:r>
      <w:bookmarkEnd w:id="6"/>
      <w:bookmarkEnd w:id="7"/>
      <w:r>
        <w:rPr>
          <w:rFonts w:hint="eastAsia" w:ascii="宋体" w:hAnsi="宋体" w:cs="宋体"/>
          <w:color w:val="auto"/>
          <w:sz w:val="22"/>
          <w:szCs w:val="22"/>
        </w:rPr>
        <w:t>0</w:t>
      </w:r>
      <w:r>
        <w:rPr>
          <w:rFonts w:hint="eastAsia" w:ascii="宋体" w:hAnsi="宋体" w:cs="宋体"/>
          <w:color w:val="auto"/>
          <w:sz w:val="22"/>
          <w:szCs w:val="22"/>
          <w:lang w:val="en-US" w:eastAsia="zh-CN"/>
        </w:rPr>
        <w:t>8</w:t>
      </w:r>
      <w:r>
        <w:rPr>
          <w:rFonts w:hint="eastAsia" w:ascii="宋体" w:hAnsi="宋体" w:cs="宋体"/>
          <w:color w:val="auto"/>
          <w:sz w:val="22"/>
          <w:szCs w:val="22"/>
        </w:rPr>
        <w:t>时</w:t>
      </w:r>
      <w:r>
        <w:rPr>
          <w:rFonts w:hint="eastAsia" w:ascii="宋体" w:hAnsi="宋体" w:cs="宋体"/>
          <w:color w:val="auto"/>
          <w:sz w:val="22"/>
          <w:szCs w:val="22"/>
          <w:lang w:val="en-US" w:eastAsia="zh-CN"/>
        </w:rPr>
        <w:t>3</w:t>
      </w:r>
      <w:r>
        <w:rPr>
          <w:rFonts w:hint="eastAsia" w:ascii="宋体" w:hAnsi="宋体" w:cs="宋体"/>
          <w:color w:val="auto"/>
          <w:sz w:val="22"/>
          <w:szCs w:val="22"/>
        </w:rPr>
        <w:t>0分（北京时间）</w:t>
      </w:r>
    </w:p>
    <w:p w14:paraId="75A72A5B">
      <w:pPr>
        <w:shd w:val="clear" w:color="auto" w:fill="FFFFFF"/>
        <w:wordWrap w:val="0"/>
        <w:spacing w:line="360" w:lineRule="auto"/>
        <w:ind w:firstLine="440" w:firstLineChars="200"/>
        <w:jc w:val="left"/>
        <w:rPr>
          <w:rFonts w:ascii="宋体" w:hAnsi="宋体" w:cs="宋体"/>
          <w:sz w:val="22"/>
          <w:szCs w:val="22"/>
        </w:rPr>
      </w:pPr>
      <w:r>
        <w:rPr>
          <w:rFonts w:hint="eastAsia" w:ascii="宋体" w:hAnsi="宋体" w:cs="宋体"/>
          <w:sz w:val="22"/>
          <w:szCs w:val="22"/>
        </w:rPr>
        <w:t>2.地点：加密电子响应文件须在磋商截止时间前通过“三门峡市公共资源交易中心网站（http://gzjy.smx.gov.cn/）”电子交易平台加密上传。逾期上传的响应文件，采购人不予受理。</w:t>
      </w:r>
    </w:p>
    <w:p w14:paraId="15EC0FED">
      <w:pPr>
        <w:shd w:val="clear" w:color="auto" w:fill="FFFFFF"/>
        <w:wordWrap w:val="0"/>
        <w:spacing w:line="360" w:lineRule="auto"/>
        <w:ind w:firstLine="440" w:firstLineChars="200"/>
        <w:jc w:val="left"/>
        <w:rPr>
          <w:rFonts w:ascii="宋体" w:hAnsi="宋体" w:cs="宋体"/>
          <w:sz w:val="22"/>
          <w:szCs w:val="22"/>
        </w:rPr>
      </w:pPr>
      <w:r>
        <w:rPr>
          <w:rFonts w:hint="eastAsia" w:ascii="宋体" w:hAnsi="宋体" w:cs="宋体"/>
          <w:sz w:val="22"/>
          <w:szCs w:val="22"/>
        </w:rPr>
        <w:t>五、开标时间及地点</w:t>
      </w:r>
    </w:p>
    <w:p w14:paraId="5E2B6768">
      <w:pPr>
        <w:shd w:val="clear" w:color="auto" w:fill="FFFFFF"/>
        <w:wordWrap w:val="0"/>
        <w:spacing w:line="360" w:lineRule="auto"/>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1.时间：202</w:t>
      </w:r>
      <w:r>
        <w:rPr>
          <w:rFonts w:ascii="宋体" w:hAnsi="宋体" w:cs="宋体"/>
          <w:color w:val="auto"/>
          <w:sz w:val="22"/>
          <w:szCs w:val="22"/>
          <w:highlight w:val="none"/>
        </w:rPr>
        <w:t>5</w:t>
      </w:r>
      <w:r>
        <w:rPr>
          <w:rFonts w:hint="eastAsia" w:ascii="宋体" w:hAnsi="宋体" w:cs="宋体"/>
          <w:color w:val="auto"/>
          <w:sz w:val="22"/>
          <w:szCs w:val="22"/>
          <w:highlight w:val="none"/>
        </w:rPr>
        <w:t>年</w:t>
      </w:r>
      <w:r>
        <w:rPr>
          <w:rFonts w:ascii="宋体" w:hAnsi="宋体" w:cs="宋体"/>
          <w:color w:val="auto"/>
          <w:sz w:val="22"/>
          <w:szCs w:val="22"/>
          <w:highlight w:val="none"/>
        </w:rPr>
        <w:t>0</w:t>
      </w:r>
      <w:r>
        <w:rPr>
          <w:rFonts w:hint="eastAsia" w:ascii="宋体" w:hAnsi="宋体" w:cs="宋体"/>
          <w:color w:val="auto"/>
          <w:sz w:val="22"/>
          <w:szCs w:val="22"/>
          <w:highlight w:val="none"/>
          <w:lang w:val="en-US" w:eastAsia="zh-CN"/>
        </w:rPr>
        <w:t>6</w:t>
      </w:r>
      <w:r>
        <w:rPr>
          <w:rFonts w:hint="eastAsia" w:ascii="宋体" w:hAnsi="宋体" w:cs="宋体"/>
          <w:color w:val="auto"/>
          <w:sz w:val="22"/>
          <w:szCs w:val="22"/>
          <w:highlight w:val="none"/>
        </w:rPr>
        <w:t>月</w:t>
      </w:r>
      <w:r>
        <w:rPr>
          <w:rFonts w:hint="eastAsia" w:ascii="宋体" w:hAnsi="宋体" w:cs="宋体"/>
          <w:color w:val="auto"/>
          <w:sz w:val="22"/>
          <w:szCs w:val="22"/>
          <w:highlight w:val="none"/>
          <w:lang w:val="en-US" w:eastAsia="zh-CN"/>
        </w:rPr>
        <w:t>24</w:t>
      </w:r>
      <w:r>
        <w:rPr>
          <w:rFonts w:hint="eastAsia" w:ascii="宋体" w:hAnsi="宋体" w:cs="宋体"/>
          <w:color w:val="auto"/>
          <w:sz w:val="22"/>
          <w:szCs w:val="22"/>
          <w:highlight w:val="none"/>
        </w:rPr>
        <w:t>日0</w:t>
      </w:r>
      <w:r>
        <w:rPr>
          <w:rFonts w:hint="eastAsia" w:ascii="宋体" w:hAnsi="宋体" w:cs="宋体"/>
          <w:color w:val="auto"/>
          <w:sz w:val="22"/>
          <w:szCs w:val="22"/>
          <w:highlight w:val="none"/>
          <w:lang w:val="en-US" w:eastAsia="zh-CN"/>
        </w:rPr>
        <w:t>8</w:t>
      </w:r>
      <w:r>
        <w:rPr>
          <w:rFonts w:hint="eastAsia" w:ascii="宋体" w:hAnsi="宋体" w:cs="宋体"/>
          <w:color w:val="auto"/>
          <w:sz w:val="22"/>
          <w:szCs w:val="22"/>
          <w:highlight w:val="none"/>
        </w:rPr>
        <w:t>时</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rPr>
        <w:t>0分（北京时间）</w:t>
      </w:r>
    </w:p>
    <w:p w14:paraId="4845029B">
      <w:pPr>
        <w:shd w:val="clear" w:color="auto" w:fill="FFFFFF"/>
        <w:wordWrap w:val="0"/>
        <w:spacing w:line="360" w:lineRule="auto"/>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2.地点：</w:t>
      </w:r>
      <w:r>
        <w:rPr>
          <w:rFonts w:hint="eastAsia" w:ascii="宋体" w:hAnsi="宋体" w:cs="宋体"/>
          <w:color w:val="auto"/>
          <w:sz w:val="22"/>
          <w:szCs w:val="22"/>
          <w:highlight w:val="none"/>
          <w:lang w:eastAsia="zh-CN"/>
        </w:rPr>
        <w:t>义马市公共资源交易中心开标</w:t>
      </w:r>
      <w:r>
        <w:rPr>
          <w:rFonts w:hint="eastAsia" w:ascii="宋体" w:hAnsi="宋体" w:cs="宋体"/>
          <w:color w:val="auto"/>
          <w:sz w:val="22"/>
          <w:szCs w:val="22"/>
          <w:highlight w:val="none"/>
          <w:lang w:val="en-US" w:eastAsia="zh-CN"/>
        </w:rPr>
        <w:t>二</w:t>
      </w:r>
      <w:r>
        <w:rPr>
          <w:rFonts w:hint="eastAsia" w:ascii="宋体" w:hAnsi="宋体" w:cs="宋体"/>
          <w:color w:val="auto"/>
          <w:sz w:val="22"/>
          <w:szCs w:val="22"/>
          <w:highlight w:val="none"/>
          <w:lang w:eastAsia="zh-CN"/>
        </w:rPr>
        <w:t>室</w:t>
      </w:r>
    </w:p>
    <w:p w14:paraId="56FF1D2E">
      <w:pPr>
        <w:shd w:val="clear" w:color="auto" w:fill="FFFFFF"/>
        <w:wordWrap w:val="0"/>
        <w:spacing w:line="360" w:lineRule="auto"/>
        <w:ind w:firstLine="440" w:firstLineChars="200"/>
        <w:jc w:val="left"/>
        <w:rPr>
          <w:rFonts w:ascii="宋体" w:hAnsi="宋体" w:cs="宋体"/>
          <w:sz w:val="22"/>
          <w:szCs w:val="22"/>
        </w:rPr>
      </w:pPr>
      <w:r>
        <w:rPr>
          <w:rFonts w:hint="eastAsia" w:ascii="宋体" w:hAnsi="宋体" w:cs="宋体"/>
          <w:sz w:val="22"/>
          <w:szCs w:val="22"/>
        </w:rPr>
        <w:t>六、磋商保证金：</w:t>
      </w:r>
    </w:p>
    <w:p w14:paraId="58F1868B">
      <w:pPr>
        <w:shd w:val="clear" w:color="auto" w:fill="FFFFFF"/>
        <w:wordWrap w:val="0"/>
        <w:spacing w:line="360" w:lineRule="auto"/>
        <w:ind w:firstLine="440" w:firstLineChars="200"/>
        <w:jc w:val="left"/>
        <w:rPr>
          <w:rFonts w:ascii="宋体" w:hAnsi="宋体" w:cs="宋体"/>
          <w:sz w:val="22"/>
          <w:szCs w:val="22"/>
        </w:rPr>
      </w:pPr>
      <w:r>
        <w:rPr>
          <w:rFonts w:hint="eastAsia" w:ascii="宋体" w:hAnsi="宋体" w:cs="宋体"/>
          <w:sz w:val="22"/>
          <w:szCs w:val="22"/>
        </w:rPr>
        <w:t>按《河南省财政厅关于优化政府采购营商环境有关问题的通知》（豫财购[2019]4号文）的要求本项目不再收取磋商保证金。</w:t>
      </w:r>
    </w:p>
    <w:p w14:paraId="430FC631">
      <w:pPr>
        <w:shd w:val="clear" w:color="auto" w:fill="FFFFFF"/>
        <w:wordWrap w:val="0"/>
        <w:spacing w:line="360" w:lineRule="auto"/>
        <w:ind w:firstLine="440" w:firstLineChars="200"/>
        <w:jc w:val="left"/>
        <w:rPr>
          <w:rFonts w:ascii="宋体" w:hAnsi="宋体" w:cs="宋体"/>
          <w:sz w:val="22"/>
          <w:szCs w:val="22"/>
        </w:rPr>
      </w:pPr>
      <w:r>
        <w:rPr>
          <w:rFonts w:hint="eastAsia" w:ascii="宋体" w:hAnsi="宋体" w:cs="宋体"/>
          <w:sz w:val="22"/>
          <w:szCs w:val="22"/>
        </w:rPr>
        <w:t>七、发布公告的媒介</w:t>
      </w:r>
    </w:p>
    <w:p w14:paraId="095AEF71">
      <w:pPr>
        <w:shd w:val="clear" w:color="auto" w:fill="FFFFFF"/>
        <w:wordWrap w:val="0"/>
        <w:spacing w:line="360" w:lineRule="auto"/>
        <w:ind w:firstLine="440" w:firstLineChars="200"/>
        <w:jc w:val="left"/>
        <w:rPr>
          <w:rFonts w:ascii="宋体" w:hAnsi="宋体" w:cs="宋体"/>
          <w:sz w:val="22"/>
          <w:szCs w:val="22"/>
        </w:rPr>
      </w:pPr>
      <w:bookmarkStart w:id="8" w:name="OLE_LINK11"/>
      <w:bookmarkStart w:id="9" w:name="OLE_LINK12"/>
      <w:r>
        <w:rPr>
          <w:rFonts w:hint="eastAsia" w:ascii="宋体" w:hAnsi="宋体" w:cs="宋体"/>
          <w:sz w:val="22"/>
          <w:szCs w:val="22"/>
        </w:rPr>
        <w:t>本次</w:t>
      </w:r>
      <w:r>
        <w:rPr>
          <w:rFonts w:hint="eastAsia" w:ascii="宋体" w:hAnsi="宋体" w:cs="宋体"/>
          <w:sz w:val="22"/>
          <w:szCs w:val="22"/>
          <w:lang w:val="en-US" w:eastAsia="zh-CN"/>
        </w:rPr>
        <w:t>磋商</w:t>
      </w:r>
      <w:r>
        <w:rPr>
          <w:rFonts w:hint="eastAsia" w:ascii="宋体" w:hAnsi="宋体" w:cs="宋体"/>
          <w:sz w:val="22"/>
          <w:szCs w:val="22"/>
        </w:rPr>
        <w:t>公告在《河南省政府采购网》、《中国招标投标公共服务平台》、《三门峡市公共资源交易中心网》上发布。</w:t>
      </w:r>
      <w:bookmarkEnd w:id="8"/>
      <w:bookmarkEnd w:id="9"/>
    </w:p>
    <w:p w14:paraId="5AD93234">
      <w:pPr>
        <w:shd w:val="clear" w:color="auto" w:fill="FFFFFF"/>
        <w:wordWrap w:val="0"/>
        <w:spacing w:line="360" w:lineRule="auto"/>
        <w:ind w:firstLine="440" w:firstLineChars="200"/>
        <w:jc w:val="left"/>
        <w:rPr>
          <w:rFonts w:ascii="宋体" w:hAnsi="宋体" w:cs="宋体"/>
          <w:sz w:val="22"/>
          <w:szCs w:val="22"/>
        </w:rPr>
      </w:pPr>
      <w:r>
        <w:rPr>
          <w:rFonts w:hint="eastAsia" w:ascii="宋体" w:hAnsi="宋体" w:cs="宋体"/>
          <w:sz w:val="22"/>
          <w:szCs w:val="22"/>
        </w:rPr>
        <w:t>八、其他补充事宜</w:t>
      </w:r>
    </w:p>
    <w:p w14:paraId="51B75F0D">
      <w:pPr>
        <w:shd w:val="clear" w:color="auto" w:fill="FFFFFF"/>
        <w:wordWrap w:val="0"/>
        <w:spacing w:line="360" w:lineRule="auto"/>
        <w:ind w:firstLine="440" w:firstLineChars="200"/>
        <w:jc w:val="left"/>
        <w:rPr>
          <w:rFonts w:ascii="宋体" w:hAnsi="宋体" w:cs="宋体"/>
          <w:sz w:val="22"/>
          <w:szCs w:val="22"/>
        </w:rPr>
      </w:pPr>
      <w:r>
        <w:rPr>
          <w:rFonts w:hint="eastAsia" w:ascii="宋体" w:hAnsi="宋体" w:cs="宋体"/>
          <w:sz w:val="22"/>
          <w:szCs w:val="22"/>
        </w:rPr>
        <w:t>1、资格评（预）审部分：资格评（预）审以响应文件为准，其上传资料真实性由供应商自行承担，同时，供应商请完善主体库。</w:t>
      </w:r>
    </w:p>
    <w:p w14:paraId="1E26592B">
      <w:pPr>
        <w:shd w:val="clear" w:color="auto" w:fill="FFFFFF"/>
        <w:wordWrap w:val="0"/>
        <w:spacing w:line="360" w:lineRule="auto"/>
        <w:ind w:firstLine="440" w:firstLineChars="200"/>
        <w:jc w:val="left"/>
        <w:rPr>
          <w:rFonts w:ascii="宋体" w:hAnsi="宋体" w:cs="宋体"/>
          <w:sz w:val="22"/>
          <w:szCs w:val="22"/>
        </w:rPr>
      </w:pPr>
      <w:r>
        <w:rPr>
          <w:rFonts w:hint="eastAsia" w:ascii="宋体" w:hAnsi="宋体" w:cs="宋体"/>
          <w:sz w:val="22"/>
          <w:szCs w:val="22"/>
        </w:rPr>
        <w:t>2、评标打分部分：评标打分部分仍按照100分制原则进行，涉及到资格审查、企业荣誉、企业业绩等计分部分时，以供应商自行上传到响应文件中的相应内容为准。</w:t>
      </w:r>
    </w:p>
    <w:p w14:paraId="1CD4174D">
      <w:pPr>
        <w:shd w:val="clear" w:color="auto" w:fill="FFFFFF"/>
        <w:wordWrap w:val="0"/>
        <w:spacing w:line="360" w:lineRule="auto"/>
        <w:ind w:firstLine="440" w:firstLineChars="200"/>
        <w:jc w:val="left"/>
        <w:rPr>
          <w:rFonts w:ascii="宋体" w:hAnsi="宋体" w:cs="宋体"/>
          <w:sz w:val="22"/>
          <w:szCs w:val="22"/>
        </w:rPr>
      </w:pPr>
      <w:r>
        <w:rPr>
          <w:rFonts w:hint="eastAsia" w:ascii="宋体" w:hAnsi="宋体" w:cs="宋体"/>
          <w:sz w:val="22"/>
          <w:szCs w:val="22"/>
        </w:rPr>
        <w:t>3、响应文件编制部分：在竞争性磋商文件中要求供应商按照响应文件格式进行响应文件编制，在响应文件编制时，应明确将供应商企业基本情况、资质情况、人员情况、财务情况、业绩情况编入响应文件，便于进行资格审查及评标打分以响应文件业绩信息为准，可使用电子营业执照。</w:t>
      </w:r>
    </w:p>
    <w:p w14:paraId="4A632A0B">
      <w:pPr>
        <w:shd w:val="clear" w:color="auto" w:fill="FFFFFF"/>
        <w:wordWrap w:val="0"/>
        <w:spacing w:line="360" w:lineRule="auto"/>
        <w:ind w:firstLine="440" w:firstLineChars="200"/>
        <w:jc w:val="left"/>
        <w:rPr>
          <w:rFonts w:ascii="宋体" w:hAnsi="宋体" w:cs="宋体"/>
          <w:sz w:val="22"/>
          <w:szCs w:val="22"/>
        </w:rPr>
      </w:pPr>
      <w:r>
        <w:rPr>
          <w:rFonts w:hint="eastAsia" w:ascii="宋体" w:hAnsi="宋体" w:cs="宋体"/>
          <w:sz w:val="22"/>
          <w:szCs w:val="22"/>
        </w:rPr>
        <w:t>4、供应商应仔细阅读操作手册，在本公告中要求的截止时间前完成磋商文件下载等工作。因供应商操作不当等问题造成的无法下载竞争性磋商文件、无法磋商等一切后果，由供应商自行承担。</w:t>
      </w:r>
    </w:p>
    <w:p w14:paraId="5F6F5C1C">
      <w:pPr>
        <w:shd w:val="clear" w:color="auto" w:fill="FFFFFF"/>
        <w:wordWrap w:val="0"/>
        <w:spacing w:line="360" w:lineRule="auto"/>
        <w:ind w:firstLine="440" w:firstLineChars="200"/>
        <w:jc w:val="left"/>
        <w:rPr>
          <w:rFonts w:ascii="宋体" w:hAnsi="宋体" w:cs="宋体"/>
          <w:sz w:val="22"/>
          <w:szCs w:val="22"/>
        </w:rPr>
      </w:pPr>
      <w:r>
        <w:rPr>
          <w:rFonts w:hint="eastAsia" w:ascii="宋体" w:hAnsi="宋体" w:cs="宋体"/>
          <w:sz w:val="22"/>
          <w:szCs w:val="22"/>
        </w:rPr>
        <w:t>5、供应商递交的响应文件不论成交与否均不予退还。</w:t>
      </w:r>
    </w:p>
    <w:p w14:paraId="38F0AEF9">
      <w:pPr>
        <w:shd w:val="clear" w:color="auto" w:fill="FFFFFF"/>
        <w:wordWrap w:val="0"/>
        <w:spacing w:line="360" w:lineRule="auto"/>
        <w:ind w:firstLine="440" w:firstLineChars="200"/>
        <w:jc w:val="left"/>
        <w:rPr>
          <w:rFonts w:ascii="宋体" w:hAnsi="宋体" w:cs="宋体"/>
          <w:sz w:val="22"/>
          <w:szCs w:val="22"/>
        </w:rPr>
      </w:pPr>
      <w:r>
        <w:rPr>
          <w:rFonts w:hint="eastAsia" w:ascii="宋体" w:hAnsi="宋体" w:cs="宋体"/>
          <w:sz w:val="22"/>
          <w:szCs w:val="22"/>
          <w:lang w:val="en-US" w:eastAsia="zh-CN"/>
        </w:rPr>
        <w:t>九</w:t>
      </w:r>
      <w:r>
        <w:rPr>
          <w:rFonts w:hint="eastAsia" w:ascii="宋体" w:hAnsi="宋体" w:cs="宋体"/>
          <w:sz w:val="22"/>
          <w:szCs w:val="22"/>
        </w:rPr>
        <w:t>、凡对本次</w:t>
      </w:r>
      <w:r>
        <w:rPr>
          <w:rFonts w:hint="eastAsia" w:ascii="宋体" w:hAnsi="宋体" w:cs="宋体"/>
          <w:sz w:val="22"/>
          <w:szCs w:val="22"/>
          <w:lang w:val="en-US" w:eastAsia="zh-CN"/>
        </w:rPr>
        <w:t>磋商</w:t>
      </w:r>
      <w:r>
        <w:rPr>
          <w:rFonts w:hint="eastAsia" w:ascii="宋体" w:hAnsi="宋体" w:cs="宋体"/>
          <w:sz w:val="22"/>
          <w:szCs w:val="22"/>
        </w:rPr>
        <w:t>提出询问，请按照以下方式联系</w:t>
      </w:r>
    </w:p>
    <w:p w14:paraId="320E4A1B">
      <w:pPr>
        <w:wordWrap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1、监督单位：</w:t>
      </w:r>
      <w:r>
        <w:rPr>
          <w:rFonts w:hint="eastAsia" w:ascii="宋体" w:hAnsi="宋体" w:cs="宋体"/>
          <w:sz w:val="22"/>
          <w:szCs w:val="22"/>
          <w:highlight w:val="none"/>
          <w:lang w:val="en-US" w:eastAsia="zh-CN"/>
        </w:rPr>
        <w:t>义马市财政局政府采购监督管理科</w:t>
      </w:r>
    </w:p>
    <w:p w14:paraId="27E762D8">
      <w:pPr>
        <w:wordWrap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lang w:val="en-US" w:eastAsia="zh-CN"/>
        </w:rPr>
        <w:t>电话：0398-5832143</w:t>
      </w:r>
    </w:p>
    <w:p w14:paraId="023622B3">
      <w:pPr>
        <w:numPr>
          <w:ilvl w:val="0"/>
          <w:numId w:val="2"/>
        </w:numPr>
        <w:wordWrap w:val="0"/>
        <w:spacing w:line="360" w:lineRule="auto"/>
        <w:ind w:firstLine="440" w:firstLineChars="200"/>
        <w:rPr>
          <w:rFonts w:ascii="宋体" w:hAnsi="宋体" w:cs="宋体"/>
          <w:sz w:val="22"/>
          <w:szCs w:val="22"/>
        </w:rPr>
      </w:pPr>
      <w:r>
        <w:rPr>
          <w:rFonts w:hint="eastAsia" w:ascii="宋体" w:hAnsi="宋体" w:cs="宋体"/>
          <w:sz w:val="22"/>
          <w:szCs w:val="22"/>
        </w:rPr>
        <w:t>采购人：义马市消防救援大队</w:t>
      </w:r>
    </w:p>
    <w:p w14:paraId="74189472">
      <w:pPr>
        <w:wordWrap w:val="0"/>
        <w:spacing w:line="360" w:lineRule="auto"/>
        <w:ind w:firstLine="440" w:firstLineChars="200"/>
        <w:rPr>
          <w:rFonts w:ascii="宋体" w:hAnsi="宋体" w:cs="宋体"/>
          <w:sz w:val="22"/>
          <w:szCs w:val="22"/>
          <w:highlight w:val="none"/>
        </w:rPr>
      </w:pPr>
      <w:r>
        <w:rPr>
          <w:rFonts w:hint="eastAsia" w:ascii="宋体" w:hAnsi="宋体" w:cs="宋体"/>
          <w:sz w:val="22"/>
          <w:szCs w:val="22"/>
          <w:highlight w:val="none"/>
        </w:rPr>
        <w:t>地址：义马市人民路和民安街交叉口</w:t>
      </w:r>
    </w:p>
    <w:p w14:paraId="0A5F57D6">
      <w:pPr>
        <w:wordWrap w:val="0"/>
        <w:spacing w:line="360" w:lineRule="auto"/>
        <w:ind w:firstLine="440" w:firstLineChars="200"/>
        <w:rPr>
          <w:rFonts w:hint="eastAsia" w:ascii="宋体" w:hAnsi="宋体" w:cs="宋体" w:eastAsiaTheme="minorEastAsia"/>
          <w:sz w:val="22"/>
          <w:szCs w:val="22"/>
          <w:highlight w:val="none"/>
          <w:lang w:val="en-US" w:eastAsia="zh-CN"/>
        </w:rPr>
      </w:pPr>
      <w:r>
        <w:rPr>
          <w:rFonts w:hint="eastAsia" w:ascii="宋体" w:hAnsi="宋体" w:cs="宋体"/>
          <w:sz w:val="22"/>
          <w:szCs w:val="22"/>
          <w:highlight w:val="none"/>
        </w:rPr>
        <w:t>联系人：</w:t>
      </w:r>
      <w:r>
        <w:rPr>
          <w:rFonts w:hint="eastAsia" w:ascii="宋体" w:hAnsi="宋体" w:cs="宋体"/>
          <w:spacing w:val="6"/>
          <w:sz w:val="22"/>
          <w:szCs w:val="22"/>
          <w:lang w:val="en-US" w:eastAsia="zh-CN"/>
        </w:rPr>
        <w:t>吴春生</w:t>
      </w:r>
    </w:p>
    <w:p w14:paraId="224B4821">
      <w:pPr>
        <w:wordWrap w:val="0"/>
        <w:spacing w:line="360" w:lineRule="auto"/>
        <w:ind w:firstLine="440" w:firstLineChars="200"/>
        <w:rPr>
          <w:rFonts w:hint="default" w:ascii="宋体" w:hAnsi="宋体" w:cs="宋体" w:eastAsiaTheme="minorEastAsia"/>
          <w:sz w:val="22"/>
          <w:szCs w:val="22"/>
          <w:highlight w:val="none"/>
          <w:lang w:val="en-US" w:eastAsia="zh-CN"/>
        </w:rPr>
      </w:pPr>
      <w:r>
        <w:rPr>
          <w:rFonts w:hint="eastAsia" w:ascii="宋体" w:hAnsi="宋体" w:cs="宋体"/>
          <w:sz w:val="22"/>
          <w:szCs w:val="22"/>
          <w:highlight w:val="none"/>
        </w:rPr>
        <w:t>联系方式：</w:t>
      </w:r>
      <w:r>
        <w:rPr>
          <w:rFonts w:hint="eastAsia" w:ascii="宋体" w:hAnsi="宋体" w:cs="宋体"/>
          <w:sz w:val="22"/>
          <w:szCs w:val="22"/>
          <w:highlight w:val="none"/>
          <w:lang w:val="en-US" w:eastAsia="zh-CN"/>
        </w:rPr>
        <w:t>15039866119</w:t>
      </w:r>
    </w:p>
    <w:p w14:paraId="555E58F1">
      <w:pPr>
        <w:wordWrap w:val="0"/>
        <w:spacing w:line="360" w:lineRule="auto"/>
        <w:ind w:firstLine="440" w:firstLineChars="200"/>
        <w:rPr>
          <w:rFonts w:hint="default" w:ascii="宋体" w:hAnsi="宋体" w:cs="宋体"/>
          <w:sz w:val="22"/>
          <w:szCs w:val="22"/>
          <w:highlight w:val="none"/>
          <w:lang w:val="en-US" w:eastAsia="zh-CN"/>
        </w:rPr>
      </w:pPr>
      <w:r>
        <w:rPr>
          <w:rFonts w:hint="eastAsia" w:ascii="宋体" w:hAnsi="宋体" w:cs="宋体"/>
          <w:sz w:val="22"/>
          <w:szCs w:val="22"/>
          <w:highlight w:val="none"/>
          <w:lang w:val="en-US" w:eastAsia="zh-CN"/>
        </w:rPr>
        <w:t>3、采购代理机构：河南友拓工程管理有限公司</w:t>
      </w:r>
    </w:p>
    <w:p w14:paraId="05851876">
      <w:pPr>
        <w:wordWrap w:val="0"/>
        <w:spacing w:line="360" w:lineRule="auto"/>
        <w:ind w:firstLine="440" w:firstLineChars="200"/>
        <w:rPr>
          <w:rFonts w:hint="default" w:ascii="宋体" w:hAnsi="宋体" w:cs="宋体"/>
          <w:sz w:val="22"/>
          <w:szCs w:val="22"/>
          <w:highlight w:val="none"/>
          <w:lang w:val="en-US" w:eastAsia="zh-CN"/>
        </w:rPr>
      </w:pPr>
      <w:r>
        <w:rPr>
          <w:rFonts w:hint="eastAsia" w:ascii="宋体" w:hAnsi="宋体" w:cs="宋体"/>
          <w:sz w:val="22"/>
          <w:szCs w:val="22"/>
          <w:highlight w:val="none"/>
          <w:lang w:val="en-US" w:eastAsia="zh-CN"/>
        </w:rPr>
        <w:t>地址：三门峡市湖滨区河堤北路伟业大厦905室</w:t>
      </w:r>
    </w:p>
    <w:p w14:paraId="5EC0D575">
      <w:pPr>
        <w:wordWrap w:val="0"/>
        <w:spacing w:line="360" w:lineRule="auto"/>
        <w:ind w:firstLine="440" w:firstLineChars="200"/>
        <w:rPr>
          <w:rFonts w:hint="default" w:ascii="宋体" w:hAnsi="宋体" w:cs="宋体"/>
          <w:sz w:val="22"/>
          <w:szCs w:val="22"/>
          <w:highlight w:val="none"/>
          <w:lang w:val="en-US" w:eastAsia="zh-CN"/>
        </w:rPr>
      </w:pPr>
      <w:r>
        <w:rPr>
          <w:rFonts w:hint="eastAsia" w:ascii="宋体" w:hAnsi="宋体" w:cs="宋体"/>
          <w:sz w:val="22"/>
          <w:szCs w:val="22"/>
          <w:highlight w:val="none"/>
          <w:lang w:val="en-US" w:eastAsia="zh-CN"/>
        </w:rPr>
        <w:t>联系人：郭</w:t>
      </w:r>
      <w:r>
        <w:rPr>
          <w:rFonts w:hint="eastAsia" w:ascii="宋体" w:hAnsi="宋体" w:cs="宋体"/>
          <w:sz w:val="22"/>
          <w:szCs w:val="22"/>
          <w:lang w:val="en-US" w:eastAsia="zh-CN"/>
        </w:rPr>
        <w:t>哲</w:t>
      </w:r>
    </w:p>
    <w:p w14:paraId="37E2DDB4">
      <w:pPr>
        <w:wordWrap w:val="0"/>
        <w:spacing w:line="360" w:lineRule="auto"/>
        <w:ind w:firstLine="440" w:firstLineChars="200"/>
        <w:rPr>
          <w:rFonts w:hint="default" w:ascii="宋体" w:hAnsi="宋体" w:cs="宋体"/>
          <w:sz w:val="22"/>
          <w:szCs w:val="22"/>
          <w:highlight w:val="none"/>
          <w:lang w:val="en-US" w:eastAsia="zh-CN"/>
        </w:rPr>
      </w:pPr>
      <w:r>
        <w:rPr>
          <w:rFonts w:hint="eastAsia" w:ascii="宋体" w:hAnsi="宋体" w:cs="宋体"/>
          <w:sz w:val="22"/>
          <w:szCs w:val="22"/>
          <w:highlight w:val="none"/>
          <w:lang w:val="en-US" w:eastAsia="zh-CN"/>
        </w:rPr>
        <w:t>联系方式：</w:t>
      </w:r>
      <w:r>
        <w:rPr>
          <w:rFonts w:hint="eastAsia" w:ascii="宋体" w:hAnsi="宋体" w:cs="宋体"/>
          <w:sz w:val="22"/>
          <w:szCs w:val="22"/>
          <w:lang w:val="en-US" w:eastAsia="zh-CN"/>
        </w:rPr>
        <w:t>18939052988</w:t>
      </w:r>
    </w:p>
    <w:p w14:paraId="526A1445">
      <w:pPr>
        <w:wordWrap w:val="0"/>
        <w:spacing w:line="360" w:lineRule="auto"/>
        <w:ind w:firstLine="440" w:firstLineChars="200"/>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4、项目联系人</w:t>
      </w:r>
    </w:p>
    <w:p w14:paraId="3D32DF16">
      <w:pPr>
        <w:wordWrap w:val="0"/>
        <w:spacing w:line="360" w:lineRule="auto"/>
        <w:ind w:firstLine="440" w:firstLineChars="200"/>
        <w:rPr>
          <w:rFonts w:hint="default" w:ascii="宋体" w:hAnsi="宋体" w:cs="宋体"/>
          <w:sz w:val="22"/>
          <w:szCs w:val="22"/>
          <w:highlight w:val="none"/>
          <w:lang w:val="en-US" w:eastAsia="zh-CN"/>
        </w:rPr>
      </w:pPr>
      <w:r>
        <w:rPr>
          <w:rFonts w:hint="eastAsia" w:ascii="宋体" w:hAnsi="宋体" w:cs="宋体"/>
          <w:sz w:val="22"/>
          <w:szCs w:val="22"/>
          <w:highlight w:val="none"/>
          <w:lang w:val="en-US" w:eastAsia="zh-CN"/>
        </w:rPr>
        <w:t>联系人：郭</w:t>
      </w:r>
      <w:r>
        <w:rPr>
          <w:rFonts w:hint="eastAsia" w:ascii="宋体" w:hAnsi="宋体" w:cs="宋体"/>
          <w:sz w:val="22"/>
          <w:szCs w:val="22"/>
          <w:lang w:val="en-US" w:eastAsia="zh-CN"/>
        </w:rPr>
        <w:t>哲</w:t>
      </w:r>
    </w:p>
    <w:p w14:paraId="4BC7778D">
      <w:pPr>
        <w:wordWrap w:val="0"/>
        <w:spacing w:line="360" w:lineRule="auto"/>
        <w:ind w:firstLine="440" w:firstLineChars="200"/>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联系方式：</w:t>
      </w:r>
      <w:r>
        <w:rPr>
          <w:rFonts w:hint="eastAsia" w:ascii="宋体" w:hAnsi="宋体" w:cs="宋体"/>
          <w:sz w:val="22"/>
          <w:szCs w:val="22"/>
          <w:lang w:val="en-US" w:eastAsia="zh-CN"/>
        </w:rPr>
        <w:t>18939052988</w:t>
      </w:r>
    </w:p>
    <w:p w14:paraId="1EA5468F">
      <w:pPr>
        <w:pStyle w:val="14"/>
        <w:rPr>
          <w:b/>
          <w:bCs/>
          <w:sz w:val="32"/>
          <w:szCs w:val="40"/>
        </w:rPr>
      </w:pPr>
    </w:p>
    <w:p w14:paraId="63B2E7A1">
      <w:pPr>
        <w:pStyle w:val="14"/>
        <w:rPr>
          <w:b/>
          <w:bCs/>
          <w:sz w:val="32"/>
          <w:szCs w:val="40"/>
        </w:rPr>
      </w:pPr>
    </w:p>
    <w:p w14:paraId="5E829A8B">
      <w:pPr>
        <w:pStyle w:val="14"/>
        <w:rPr>
          <w:b/>
          <w:bCs/>
          <w:sz w:val="32"/>
          <w:szCs w:val="40"/>
        </w:rPr>
      </w:pPr>
    </w:p>
    <w:p w14:paraId="1A009B9E">
      <w:pPr>
        <w:pStyle w:val="14"/>
        <w:rPr>
          <w:b/>
          <w:bCs/>
          <w:sz w:val="32"/>
          <w:szCs w:val="40"/>
        </w:rPr>
      </w:pPr>
    </w:p>
    <w:p w14:paraId="365A87DD">
      <w:pPr>
        <w:pStyle w:val="14"/>
        <w:rPr>
          <w:b/>
          <w:bCs/>
          <w:sz w:val="32"/>
          <w:szCs w:val="40"/>
        </w:rPr>
      </w:pPr>
    </w:p>
    <w:p w14:paraId="60707A39">
      <w:pPr>
        <w:pStyle w:val="14"/>
        <w:rPr>
          <w:b/>
          <w:bCs/>
          <w:sz w:val="32"/>
          <w:szCs w:val="40"/>
        </w:rPr>
      </w:pPr>
    </w:p>
    <w:p w14:paraId="11881E9C">
      <w:pPr>
        <w:pStyle w:val="14"/>
        <w:rPr>
          <w:b/>
          <w:bCs/>
          <w:sz w:val="32"/>
          <w:szCs w:val="40"/>
        </w:rPr>
      </w:pPr>
    </w:p>
    <w:p w14:paraId="51EE4D44">
      <w:pPr>
        <w:pStyle w:val="14"/>
        <w:rPr>
          <w:b/>
          <w:bCs/>
          <w:sz w:val="32"/>
          <w:szCs w:val="40"/>
        </w:rPr>
      </w:pPr>
    </w:p>
    <w:p w14:paraId="7030A521">
      <w:pPr>
        <w:pStyle w:val="14"/>
        <w:rPr>
          <w:b/>
          <w:bCs/>
          <w:sz w:val="32"/>
          <w:szCs w:val="40"/>
        </w:rPr>
      </w:pPr>
    </w:p>
    <w:p w14:paraId="684B0203">
      <w:pPr>
        <w:pStyle w:val="14"/>
        <w:rPr>
          <w:b/>
          <w:bCs/>
          <w:sz w:val="32"/>
          <w:szCs w:val="40"/>
        </w:rPr>
      </w:pPr>
    </w:p>
    <w:p w14:paraId="696029A1">
      <w:pPr>
        <w:pStyle w:val="14"/>
        <w:rPr>
          <w:b/>
          <w:bCs/>
          <w:sz w:val="32"/>
          <w:szCs w:val="40"/>
        </w:rPr>
      </w:pPr>
    </w:p>
    <w:p w14:paraId="33BFB880">
      <w:pPr>
        <w:pStyle w:val="14"/>
        <w:rPr>
          <w:b/>
          <w:bCs/>
          <w:sz w:val="32"/>
          <w:szCs w:val="40"/>
        </w:rPr>
      </w:pPr>
    </w:p>
    <w:p w14:paraId="080EF677">
      <w:pPr>
        <w:pStyle w:val="14"/>
        <w:rPr>
          <w:b/>
          <w:bCs/>
          <w:sz w:val="32"/>
          <w:szCs w:val="40"/>
        </w:rPr>
      </w:pPr>
    </w:p>
    <w:p w14:paraId="5B7F52F4">
      <w:pPr>
        <w:pStyle w:val="14"/>
        <w:rPr>
          <w:b/>
          <w:bCs/>
          <w:sz w:val="32"/>
          <w:szCs w:val="40"/>
        </w:rPr>
      </w:pPr>
    </w:p>
    <w:p w14:paraId="44BC5C3F">
      <w:pPr>
        <w:pStyle w:val="14"/>
        <w:rPr>
          <w:b/>
          <w:bCs/>
          <w:sz w:val="32"/>
          <w:szCs w:val="40"/>
        </w:rPr>
      </w:pPr>
    </w:p>
    <w:p w14:paraId="7DD3C94D">
      <w:pPr>
        <w:pStyle w:val="14"/>
        <w:rPr>
          <w:b/>
          <w:bCs/>
          <w:sz w:val="32"/>
          <w:szCs w:val="40"/>
        </w:rPr>
      </w:pPr>
    </w:p>
    <w:p w14:paraId="311B72E1">
      <w:pPr>
        <w:pStyle w:val="14"/>
        <w:rPr>
          <w:b/>
          <w:bCs/>
          <w:sz w:val="32"/>
          <w:szCs w:val="40"/>
        </w:rPr>
      </w:pPr>
    </w:p>
    <w:p w14:paraId="4D635367">
      <w:pPr>
        <w:pStyle w:val="14"/>
        <w:rPr>
          <w:b/>
          <w:bCs/>
          <w:sz w:val="32"/>
          <w:szCs w:val="40"/>
        </w:rPr>
      </w:pPr>
    </w:p>
    <w:p w14:paraId="7549DE76">
      <w:pPr>
        <w:pStyle w:val="14"/>
        <w:rPr>
          <w:b/>
          <w:bCs/>
          <w:sz w:val="32"/>
          <w:szCs w:val="40"/>
        </w:rPr>
      </w:pPr>
    </w:p>
    <w:p w14:paraId="6A847E90">
      <w:pPr>
        <w:pStyle w:val="14"/>
        <w:rPr>
          <w:b/>
          <w:bCs/>
          <w:sz w:val="32"/>
          <w:szCs w:val="40"/>
        </w:rPr>
      </w:pPr>
    </w:p>
    <w:p w14:paraId="3A011635">
      <w:pPr>
        <w:pStyle w:val="14"/>
        <w:rPr>
          <w:b/>
          <w:bCs/>
          <w:sz w:val="32"/>
          <w:szCs w:val="40"/>
        </w:rPr>
      </w:pPr>
    </w:p>
    <w:p w14:paraId="38C1939D">
      <w:pPr>
        <w:pStyle w:val="14"/>
        <w:rPr>
          <w:b/>
          <w:bCs/>
          <w:sz w:val="32"/>
          <w:szCs w:val="40"/>
        </w:rPr>
      </w:pPr>
    </w:p>
    <w:p w14:paraId="7931890C">
      <w:pPr>
        <w:pStyle w:val="14"/>
        <w:rPr>
          <w:b/>
          <w:bCs/>
          <w:sz w:val="32"/>
          <w:szCs w:val="40"/>
        </w:rPr>
      </w:pPr>
    </w:p>
    <w:p w14:paraId="35B6603F">
      <w:pPr>
        <w:spacing w:line="360" w:lineRule="auto"/>
        <w:jc w:val="center"/>
        <w:rPr>
          <w:rFonts w:ascii="黑体" w:cs="黑体"/>
          <w:b/>
          <w:sz w:val="28"/>
          <w:szCs w:val="28"/>
        </w:rPr>
      </w:pPr>
      <w:r>
        <w:rPr>
          <w:rFonts w:hint="eastAsia" w:ascii="黑体" w:cs="宋体"/>
          <w:b/>
          <w:sz w:val="28"/>
          <w:szCs w:val="28"/>
        </w:rPr>
        <w:t>第二章</w:t>
      </w:r>
      <w:r>
        <w:rPr>
          <w:rFonts w:hint="eastAsia" w:ascii="黑体" w:cs="黑体"/>
          <w:b/>
          <w:sz w:val="28"/>
          <w:szCs w:val="28"/>
        </w:rPr>
        <w:t xml:space="preserve">  </w:t>
      </w:r>
      <w:r>
        <w:rPr>
          <w:rFonts w:hint="eastAsia" w:ascii="黑体" w:cs="宋体"/>
          <w:b/>
          <w:sz w:val="28"/>
          <w:szCs w:val="28"/>
        </w:rPr>
        <w:t>供应商须知</w:t>
      </w:r>
    </w:p>
    <w:p w14:paraId="655249BC">
      <w:pPr>
        <w:keepNext/>
        <w:keepLines/>
        <w:spacing w:line="360" w:lineRule="auto"/>
        <w:jc w:val="center"/>
        <w:outlineLvl w:val="1"/>
        <w:rPr>
          <w:rFonts w:ascii="宋体" w:hAnsi="宋体"/>
          <w:b/>
          <w:sz w:val="32"/>
          <w:szCs w:val="32"/>
        </w:rPr>
      </w:pPr>
      <w:bookmarkStart w:id="10" w:name="_Toc461977413"/>
      <w:bookmarkEnd w:id="10"/>
      <w:r>
        <w:rPr>
          <w:rFonts w:hint="eastAsia" w:ascii="宋体" w:hAnsi="宋体" w:cs="宋体"/>
          <w:b/>
          <w:sz w:val="28"/>
          <w:szCs w:val="28"/>
        </w:rPr>
        <w:t>供应商须知前附表</w:t>
      </w:r>
    </w:p>
    <w:tbl>
      <w:tblPr>
        <w:tblStyle w:val="21"/>
        <w:tblpPr w:leftFromText="180" w:rightFromText="180" w:vertAnchor="text" w:horzAnchor="page" w:tblpX="1539" w:tblpY="461"/>
        <w:tblOverlap w:val="never"/>
        <w:tblW w:w="9004" w:type="dxa"/>
        <w:tblInd w:w="0" w:type="dxa"/>
        <w:tblLayout w:type="fixed"/>
        <w:tblCellMar>
          <w:top w:w="0" w:type="dxa"/>
          <w:left w:w="108" w:type="dxa"/>
          <w:bottom w:w="0" w:type="dxa"/>
          <w:right w:w="108" w:type="dxa"/>
        </w:tblCellMar>
      </w:tblPr>
      <w:tblGrid>
        <w:gridCol w:w="828"/>
        <w:gridCol w:w="1611"/>
        <w:gridCol w:w="6565"/>
      </w:tblGrid>
      <w:tr w14:paraId="00C57E41">
        <w:tblPrEx>
          <w:tblCellMar>
            <w:top w:w="0" w:type="dxa"/>
            <w:left w:w="108" w:type="dxa"/>
            <w:bottom w:w="0" w:type="dxa"/>
            <w:right w:w="108" w:type="dxa"/>
          </w:tblCellMar>
        </w:tblPrEx>
        <w:trPr>
          <w:cantSplit/>
          <w:trHeight w:val="697" w:hRule="atLeast"/>
        </w:trPr>
        <w:tc>
          <w:tcPr>
            <w:tcW w:w="828" w:type="dxa"/>
            <w:tcBorders>
              <w:top w:val="single" w:color="auto" w:sz="12" w:space="0"/>
              <w:left w:val="single" w:color="auto" w:sz="12" w:space="0"/>
              <w:bottom w:val="single" w:color="auto" w:sz="6" w:space="0"/>
              <w:right w:val="single" w:color="auto" w:sz="6" w:space="0"/>
            </w:tcBorders>
            <w:vAlign w:val="center"/>
          </w:tcPr>
          <w:p w14:paraId="5A893ECA">
            <w:pPr>
              <w:adjustRightInd w:val="0"/>
              <w:spacing w:line="360" w:lineRule="auto"/>
              <w:ind w:left="3" w:hanging="2" w:hangingChars="1"/>
              <w:jc w:val="center"/>
              <w:rPr>
                <w:rFonts w:ascii="宋体" w:hAnsi="宋体" w:cs="宋体"/>
                <w:spacing w:val="6"/>
                <w:sz w:val="22"/>
                <w:szCs w:val="22"/>
              </w:rPr>
            </w:pPr>
            <w:r>
              <w:rPr>
                <w:rFonts w:ascii="宋体" w:hAnsi="宋体" w:cs="宋体"/>
                <w:spacing w:val="6"/>
                <w:sz w:val="22"/>
                <w:szCs w:val="22"/>
              </w:rPr>
              <w:t>条款</w:t>
            </w:r>
          </w:p>
        </w:tc>
        <w:tc>
          <w:tcPr>
            <w:tcW w:w="1611" w:type="dxa"/>
            <w:tcBorders>
              <w:top w:val="single" w:color="auto" w:sz="12" w:space="0"/>
              <w:left w:val="single" w:color="auto" w:sz="6" w:space="0"/>
              <w:bottom w:val="single" w:color="auto" w:sz="6" w:space="0"/>
              <w:right w:val="single" w:color="auto" w:sz="6" w:space="0"/>
            </w:tcBorders>
            <w:vAlign w:val="center"/>
          </w:tcPr>
          <w:p w14:paraId="1DDBE558">
            <w:pPr>
              <w:adjustRightInd w:val="0"/>
              <w:spacing w:line="360" w:lineRule="auto"/>
              <w:ind w:left="3" w:hanging="2" w:hangingChars="1"/>
              <w:jc w:val="center"/>
              <w:rPr>
                <w:rFonts w:ascii="宋体" w:hAnsi="宋体" w:cs="宋体"/>
                <w:spacing w:val="6"/>
                <w:sz w:val="22"/>
                <w:szCs w:val="22"/>
              </w:rPr>
            </w:pPr>
            <w:r>
              <w:rPr>
                <w:rFonts w:ascii="宋体" w:hAnsi="宋体" w:cs="宋体"/>
                <w:spacing w:val="6"/>
                <w:sz w:val="22"/>
                <w:szCs w:val="22"/>
              </w:rPr>
              <w:t>条款号</w:t>
            </w:r>
          </w:p>
        </w:tc>
        <w:tc>
          <w:tcPr>
            <w:tcW w:w="6565" w:type="dxa"/>
            <w:tcBorders>
              <w:top w:val="single" w:color="auto" w:sz="12" w:space="0"/>
              <w:left w:val="single" w:color="auto" w:sz="6" w:space="0"/>
              <w:bottom w:val="single" w:color="auto" w:sz="6" w:space="0"/>
              <w:right w:val="single" w:color="auto" w:sz="12" w:space="0"/>
            </w:tcBorders>
            <w:vAlign w:val="center"/>
          </w:tcPr>
          <w:p w14:paraId="25C1E9ED">
            <w:pPr>
              <w:adjustRightInd w:val="0"/>
              <w:spacing w:line="360" w:lineRule="auto"/>
              <w:ind w:left="3" w:hanging="2" w:hangingChars="1"/>
              <w:jc w:val="center"/>
              <w:rPr>
                <w:rFonts w:ascii="宋体" w:hAnsi="宋体" w:cs="宋体"/>
                <w:spacing w:val="6"/>
                <w:sz w:val="22"/>
                <w:szCs w:val="22"/>
              </w:rPr>
            </w:pPr>
            <w:r>
              <w:rPr>
                <w:rFonts w:ascii="宋体" w:hAnsi="宋体" w:cs="宋体"/>
                <w:spacing w:val="6"/>
                <w:sz w:val="22"/>
                <w:szCs w:val="22"/>
              </w:rPr>
              <w:t>编列内容</w:t>
            </w:r>
          </w:p>
        </w:tc>
      </w:tr>
      <w:tr w14:paraId="00070BD8">
        <w:tblPrEx>
          <w:tblCellMar>
            <w:top w:w="0" w:type="dxa"/>
            <w:left w:w="108" w:type="dxa"/>
            <w:bottom w:w="0" w:type="dxa"/>
            <w:right w:w="108" w:type="dxa"/>
          </w:tblCellMar>
        </w:tblPrEx>
        <w:trPr>
          <w:cantSplit/>
          <w:trHeight w:val="563" w:hRule="atLeast"/>
        </w:trPr>
        <w:tc>
          <w:tcPr>
            <w:tcW w:w="828" w:type="dxa"/>
            <w:tcBorders>
              <w:top w:val="single" w:color="auto" w:sz="6" w:space="0"/>
              <w:left w:val="single" w:color="auto" w:sz="12" w:space="0"/>
              <w:bottom w:val="single" w:color="auto" w:sz="6" w:space="0"/>
              <w:right w:val="single" w:color="auto" w:sz="6" w:space="0"/>
            </w:tcBorders>
            <w:vAlign w:val="center"/>
          </w:tcPr>
          <w:p w14:paraId="6E8D16D3">
            <w:pPr>
              <w:adjustRightInd w:val="0"/>
              <w:spacing w:line="360" w:lineRule="auto"/>
              <w:jc w:val="center"/>
              <w:rPr>
                <w:rFonts w:ascii="宋体" w:hAnsi="宋体" w:cs="宋体"/>
                <w:spacing w:val="6"/>
                <w:sz w:val="22"/>
                <w:szCs w:val="22"/>
              </w:rPr>
            </w:pPr>
            <w:r>
              <w:rPr>
                <w:rFonts w:hint="eastAsia" w:ascii="宋体" w:hAnsi="宋体" w:cs="宋体"/>
                <w:spacing w:val="6"/>
                <w:sz w:val="22"/>
                <w:szCs w:val="22"/>
              </w:rPr>
              <w:t>1</w:t>
            </w:r>
          </w:p>
        </w:tc>
        <w:tc>
          <w:tcPr>
            <w:tcW w:w="1611" w:type="dxa"/>
            <w:tcBorders>
              <w:top w:val="single" w:color="auto" w:sz="6" w:space="0"/>
              <w:left w:val="single" w:color="auto" w:sz="6" w:space="0"/>
              <w:bottom w:val="single" w:color="auto" w:sz="6" w:space="0"/>
              <w:right w:val="single" w:color="auto" w:sz="6" w:space="0"/>
            </w:tcBorders>
            <w:vAlign w:val="center"/>
          </w:tcPr>
          <w:p w14:paraId="2F343AA2">
            <w:pPr>
              <w:adjustRightInd w:val="0"/>
              <w:spacing w:line="360" w:lineRule="auto"/>
              <w:ind w:left="2" w:hanging="2" w:hangingChars="1"/>
              <w:jc w:val="center"/>
              <w:rPr>
                <w:rFonts w:ascii="宋体" w:hAnsi="宋体" w:cs="宋体"/>
                <w:spacing w:val="6"/>
                <w:sz w:val="22"/>
                <w:szCs w:val="22"/>
              </w:rPr>
            </w:pPr>
            <w:r>
              <w:rPr>
                <w:rFonts w:hint="eastAsia" w:ascii="宋体" w:hAnsi="宋体" w:eastAsia="宋体" w:cs="宋体"/>
                <w:kern w:val="0"/>
                <w:sz w:val="22"/>
                <w:szCs w:val="22"/>
              </w:rPr>
              <w:t>监督单位及采购人</w:t>
            </w:r>
          </w:p>
        </w:tc>
        <w:tc>
          <w:tcPr>
            <w:tcW w:w="6565" w:type="dxa"/>
            <w:tcBorders>
              <w:top w:val="single" w:color="auto" w:sz="6" w:space="0"/>
              <w:left w:val="single" w:color="auto" w:sz="6" w:space="0"/>
              <w:bottom w:val="single" w:color="auto" w:sz="6" w:space="0"/>
              <w:right w:val="single" w:color="auto" w:sz="12" w:space="0"/>
            </w:tcBorders>
            <w:vAlign w:val="center"/>
          </w:tcPr>
          <w:p w14:paraId="5A26B155">
            <w:pPr>
              <w:spacing w:line="360" w:lineRule="auto"/>
              <w:rPr>
                <w:rFonts w:hint="eastAsia" w:ascii="宋体" w:hAnsi="宋体" w:cs="宋体"/>
                <w:spacing w:val="6"/>
                <w:sz w:val="22"/>
                <w:szCs w:val="22"/>
              </w:rPr>
            </w:pPr>
            <w:r>
              <w:rPr>
                <w:rFonts w:hint="eastAsia" w:ascii="宋体" w:hAnsi="宋体" w:cs="宋体"/>
                <w:spacing w:val="6"/>
                <w:sz w:val="22"/>
                <w:szCs w:val="22"/>
              </w:rPr>
              <w:t>1、监督单位：</w:t>
            </w:r>
            <w:r>
              <w:rPr>
                <w:rFonts w:hint="eastAsia" w:ascii="宋体" w:hAnsi="宋体" w:cs="宋体"/>
                <w:spacing w:val="6"/>
                <w:sz w:val="22"/>
                <w:szCs w:val="22"/>
                <w:lang w:val="en-US" w:eastAsia="zh-CN"/>
              </w:rPr>
              <w:t>义马市财政局政府采购监督管理科</w:t>
            </w:r>
          </w:p>
          <w:p w14:paraId="2FAA7A90">
            <w:pPr>
              <w:spacing w:line="360" w:lineRule="auto"/>
              <w:rPr>
                <w:rFonts w:hint="eastAsia" w:ascii="宋体" w:hAnsi="宋体" w:cs="宋体"/>
                <w:spacing w:val="6"/>
                <w:sz w:val="22"/>
                <w:szCs w:val="22"/>
              </w:rPr>
            </w:pPr>
            <w:r>
              <w:rPr>
                <w:rFonts w:hint="eastAsia" w:ascii="宋体" w:hAnsi="宋体" w:cs="宋体"/>
                <w:spacing w:val="6"/>
                <w:sz w:val="22"/>
                <w:szCs w:val="22"/>
                <w:lang w:val="en-US" w:eastAsia="zh-CN"/>
              </w:rPr>
              <w:t>电话：0398-5832143</w:t>
            </w:r>
          </w:p>
          <w:p w14:paraId="191A79DE">
            <w:pPr>
              <w:spacing w:line="360" w:lineRule="auto"/>
              <w:rPr>
                <w:rFonts w:ascii="宋体" w:hAnsi="宋体" w:cs="宋体"/>
                <w:spacing w:val="6"/>
                <w:sz w:val="22"/>
                <w:szCs w:val="22"/>
              </w:rPr>
            </w:pPr>
            <w:r>
              <w:rPr>
                <w:rFonts w:hint="eastAsia" w:ascii="宋体" w:hAnsi="宋体" w:cs="宋体"/>
                <w:spacing w:val="6"/>
                <w:sz w:val="22"/>
                <w:szCs w:val="22"/>
                <w:lang w:val="en-US" w:eastAsia="zh-CN"/>
              </w:rPr>
              <w:t>2、</w:t>
            </w:r>
            <w:r>
              <w:rPr>
                <w:rFonts w:hint="eastAsia" w:ascii="宋体" w:hAnsi="宋体" w:cs="宋体"/>
                <w:spacing w:val="6"/>
                <w:sz w:val="22"/>
                <w:szCs w:val="22"/>
              </w:rPr>
              <w:t>采购人：义马市消防救援大队</w:t>
            </w:r>
          </w:p>
          <w:p w14:paraId="52639C39">
            <w:pPr>
              <w:spacing w:line="360" w:lineRule="auto"/>
              <w:rPr>
                <w:rFonts w:ascii="宋体" w:hAnsi="宋体" w:cs="宋体"/>
                <w:spacing w:val="6"/>
                <w:sz w:val="22"/>
                <w:szCs w:val="22"/>
              </w:rPr>
            </w:pPr>
            <w:r>
              <w:rPr>
                <w:rFonts w:hint="eastAsia" w:ascii="宋体" w:hAnsi="宋体" w:cs="宋体"/>
                <w:spacing w:val="6"/>
                <w:sz w:val="22"/>
                <w:szCs w:val="22"/>
              </w:rPr>
              <w:t>地址：义马市人民路和民安街交叉口</w:t>
            </w:r>
          </w:p>
          <w:p w14:paraId="02116AEB">
            <w:pPr>
              <w:spacing w:line="360" w:lineRule="auto"/>
              <w:rPr>
                <w:rFonts w:hint="eastAsia" w:ascii="宋体" w:hAnsi="宋体" w:cs="宋体"/>
                <w:spacing w:val="6"/>
                <w:sz w:val="22"/>
                <w:szCs w:val="22"/>
                <w:lang w:val="en-US" w:eastAsia="zh-CN"/>
              </w:rPr>
            </w:pPr>
            <w:r>
              <w:rPr>
                <w:rFonts w:hint="eastAsia" w:ascii="宋体" w:hAnsi="宋体" w:cs="宋体"/>
                <w:spacing w:val="6"/>
                <w:sz w:val="22"/>
                <w:szCs w:val="22"/>
              </w:rPr>
              <w:t>联系人：</w:t>
            </w:r>
            <w:r>
              <w:rPr>
                <w:rFonts w:hint="eastAsia" w:ascii="宋体" w:hAnsi="宋体" w:cs="宋体"/>
                <w:spacing w:val="6"/>
                <w:sz w:val="22"/>
                <w:szCs w:val="22"/>
                <w:lang w:val="en-US" w:eastAsia="zh-CN"/>
              </w:rPr>
              <w:t>吴春生</w:t>
            </w:r>
          </w:p>
          <w:p w14:paraId="598E35F6">
            <w:pPr>
              <w:spacing w:line="360" w:lineRule="auto"/>
              <w:rPr>
                <w:rFonts w:ascii="宋体" w:hAnsi="宋体" w:cs="宋体"/>
                <w:spacing w:val="6"/>
                <w:sz w:val="22"/>
                <w:szCs w:val="22"/>
              </w:rPr>
            </w:pPr>
            <w:r>
              <w:rPr>
                <w:rFonts w:hint="eastAsia" w:ascii="宋体" w:hAnsi="宋体" w:cs="宋体"/>
                <w:spacing w:val="6"/>
                <w:sz w:val="22"/>
                <w:szCs w:val="22"/>
              </w:rPr>
              <w:t>联系方式：</w:t>
            </w:r>
            <w:r>
              <w:rPr>
                <w:rFonts w:hint="eastAsia" w:ascii="宋体" w:hAnsi="宋体" w:cs="宋体"/>
                <w:spacing w:val="6"/>
                <w:sz w:val="22"/>
                <w:szCs w:val="22"/>
                <w:lang w:val="en-US" w:eastAsia="zh-CN"/>
              </w:rPr>
              <w:t>15039866119</w:t>
            </w:r>
          </w:p>
        </w:tc>
      </w:tr>
      <w:tr w14:paraId="7E57CB94">
        <w:tblPrEx>
          <w:tblCellMar>
            <w:top w:w="0" w:type="dxa"/>
            <w:left w:w="108" w:type="dxa"/>
            <w:bottom w:w="0" w:type="dxa"/>
            <w:right w:w="108" w:type="dxa"/>
          </w:tblCellMar>
        </w:tblPrEx>
        <w:trPr>
          <w:cantSplit/>
          <w:trHeight w:val="563" w:hRule="atLeast"/>
        </w:trPr>
        <w:tc>
          <w:tcPr>
            <w:tcW w:w="828" w:type="dxa"/>
            <w:tcBorders>
              <w:top w:val="single" w:color="auto" w:sz="6" w:space="0"/>
              <w:left w:val="single" w:color="auto" w:sz="12" w:space="0"/>
              <w:bottom w:val="single" w:color="auto" w:sz="6" w:space="0"/>
              <w:right w:val="single" w:color="auto" w:sz="6" w:space="0"/>
            </w:tcBorders>
            <w:vAlign w:val="center"/>
          </w:tcPr>
          <w:p w14:paraId="4A5E95F7">
            <w:pPr>
              <w:adjustRightInd w:val="0"/>
              <w:spacing w:line="360" w:lineRule="auto"/>
              <w:jc w:val="center"/>
              <w:rPr>
                <w:rFonts w:ascii="宋体" w:hAnsi="宋体" w:cs="宋体"/>
                <w:spacing w:val="6"/>
                <w:sz w:val="22"/>
                <w:szCs w:val="22"/>
              </w:rPr>
            </w:pPr>
            <w:r>
              <w:rPr>
                <w:rFonts w:hint="eastAsia" w:ascii="宋体" w:hAnsi="宋体" w:cs="宋体"/>
                <w:spacing w:val="6"/>
                <w:sz w:val="22"/>
                <w:szCs w:val="22"/>
              </w:rPr>
              <w:t>2</w:t>
            </w:r>
          </w:p>
        </w:tc>
        <w:tc>
          <w:tcPr>
            <w:tcW w:w="1611" w:type="dxa"/>
            <w:tcBorders>
              <w:top w:val="single" w:color="auto" w:sz="6" w:space="0"/>
              <w:left w:val="single" w:color="auto" w:sz="6" w:space="0"/>
              <w:bottom w:val="single" w:color="auto" w:sz="6" w:space="0"/>
              <w:right w:val="single" w:color="auto" w:sz="6" w:space="0"/>
            </w:tcBorders>
            <w:vAlign w:val="center"/>
          </w:tcPr>
          <w:p w14:paraId="14311291">
            <w:pPr>
              <w:adjustRightInd w:val="0"/>
              <w:spacing w:line="360" w:lineRule="auto"/>
              <w:ind w:left="3" w:hanging="2" w:hangingChars="1"/>
              <w:jc w:val="center"/>
              <w:rPr>
                <w:rFonts w:ascii="宋体" w:hAnsi="宋体" w:cs="宋体"/>
                <w:spacing w:val="6"/>
                <w:sz w:val="22"/>
                <w:szCs w:val="22"/>
              </w:rPr>
            </w:pPr>
            <w:r>
              <w:rPr>
                <w:rFonts w:hint="eastAsia" w:ascii="宋体" w:hAnsi="宋体" w:cs="宋体"/>
                <w:spacing w:val="6"/>
                <w:sz w:val="22"/>
                <w:szCs w:val="22"/>
              </w:rPr>
              <w:t>代理机构</w:t>
            </w:r>
          </w:p>
        </w:tc>
        <w:tc>
          <w:tcPr>
            <w:tcW w:w="6565" w:type="dxa"/>
            <w:tcBorders>
              <w:top w:val="single" w:color="auto" w:sz="6" w:space="0"/>
              <w:left w:val="single" w:color="auto" w:sz="6" w:space="0"/>
              <w:bottom w:val="single" w:color="auto" w:sz="6" w:space="0"/>
              <w:right w:val="single" w:color="auto" w:sz="12" w:space="0"/>
            </w:tcBorders>
            <w:vAlign w:val="center"/>
          </w:tcPr>
          <w:p w14:paraId="1A1CD200">
            <w:pPr>
              <w:keepNext w:val="0"/>
              <w:keepLines w:val="0"/>
              <w:pageBreakBefore w:val="0"/>
              <w:kinsoku/>
              <w:wordWrap w:val="0"/>
              <w:overflowPunct/>
              <w:topLinePunct w:val="0"/>
              <w:autoSpaceDE/>
              <w:autoSpaceDN/>
              <w:bidi w:val="0"/>
              <w:adjustRightInd/>
              <w:spacing w:line="360" w:lineRule="auto"/>
              <w:textAlignment w:val="auto"/>
              <w:rPr>
                <w:rFonts w:hint="default" w:ascii="宋体" w:hAnsi="宋体" w:cs="宋体" w:eastAsiaTheme="minorEastAsia"/>
                <w:sz w:val="22"/>
                <w:szCs w:val="22"/>
                <w:lang w:val="en-US" w:eastAsia="zh-CN"/>
              </w:rPr>
            </w:pPr>
            <w:r>
              <w:rPr>
                <w:rFonts w:hint="eastAsia" w:ascii="宋体" w:hAnsi="宋体" w:cs="宋体"/>
                <w:sz w:val="22"/>
                <w:szCs w:val="22"/>
              </w:rPr>
              <w:t>采购代理机构：</w:t>
            </w:r>
            <w:r>
              <w:rPr>
                <w:rFonts w:hint="eastAsia" w:ascii="宋体" w:hAnsi="宋体" w:cs="宋体"/>
                <w:sz w:val="22"/>
                <w:szCs w:val="22"/>
                <w:lang w:val="en-US" w:eastAsia="zh-CN"/>
              </w:rPr>
              <w:t>河南友拓工程管理有限公司</w:t>
            </w:r>
          </w:p>
          <w:p w14:paraId="0C4AA87C">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cs="宋体"/>
                <w:color w:val="auto"/>
                <w:sz w:val="24"/>
                <w:szCs w:val="24"/>
                <w:highlight w:val="none"/>
              </w:rPr>
            </w:pPr>
            <w:r>
              <w:rPr>
                <w:rFonts w:hint="eastAsia" w:ascii="宋体" w:hAnsi="宋体" w:cs="宋体"/>
                <w:sz w:val="22"/>
                <w:szCs w:val="22"/>
              </w:rPr>
              <w:t>地址：</w:t>
            </w:r>
            <w:r>
              <w:rPr>
                <w:rFonts w:hint="eastAsia" w:ascii="宋体" w:hAnsi="宋体" w:cs="宋体"/>
                <w:color w:val="auto"/>
                <w:sz w:val="24"/>
                <w:szCs w:val="24"/>
                <w:highlight w:val="none"/>
              </w:rPr>
              <w:t>三门峡市湖滨区河堤北路伟业大厦905室</w:t>
            </w:r>
          </w:p>
          <w:p w14:paraId="5CC72921">
            <w:pPr>
              <w:keepNext w:val="0"/>
              <w:keepLines w:val="0"/>
              <w:pageBreakBefore w:val="0"/>
              <w:kinsoku/>
              <w:wordWrap w:val="0"/>
              <w:overflowPunct/>
              <w:topLinePunct w:val="0"/>
              <w:autoSpaceDE/>
              <w:autoSpaceDN/>
              <w:bidi w:val="0"/>
              <w:adjustRightInd/>
              <w:spacing w:line="360" w:lineRule="auto"/>
              <w:textAlignment w:val="auto"/>
              <w:rPr>
                <w:rFonts w:hint="default" w:ascii="宋体" w:hAnsi="宋体" w:cs="宋体" w:eastAsiaTheme="minorEastAsia"/>
                <w:sz w:val="22"/>
                <w:szCs w:val="22"/>
                <w:lang w:val="en-US" w:eastAsia="zh-CN"/>
              </w:rPr>
            </w:pPr>
            <w:r>
              <w:rPr>
                <w:rFonts w:hint="eastAsia" w:ascii="宋体" w:hAnsi="宋体" w:cs="宋体"/>
                <w:sz w:val="22"/>
                <w:szCs w:val="22"/>
              </w:rPr>
              <w:t>联系人：</w:t>
            </w:r>
            <w:r>
              <w:rPr>
                <w:rFonts w:hint="eastAsia" w:ascii="宋体" w:hAnsi="宋体" w:cs="宋体"/>
                <w:sz w:val="22"/>
                <w:szCs w:val="22"/>
                <w:lang w:val="en-US" w:eastAsia="zh-CN"/>
              </w:rPr>
              <w:t>郭哲</w:t>
            </w:r>
          </w:p>
          <w:p w14:paraId="2BF2AAEA">
            <w:pPr>
              <w:keepNext w:val="0"/>
              <w:keepLines w:val="0"/>
              <w:pageBreakBefore w:val="0"/>
              <w:kinsoku/>
              <w:wordWrap w:val="0"/>
              <w:overflowPunct/>
              <w:topLinePunct w:val="0"/>
              <w:autoSpaceDE/>
              <w:autoSpaceDN/>
              <w:bidi w:val="0"/>
              <w:adjustRightInd/>
              <w:spacing w:line="360" w:lineRule="auto"/>
              <w:textAlignment w:val="auto"/>
              <w:rPr>
                <w:rFonts w:hint="default" w:ascii="宋体" w:hAnsi="宋体" w:cs="宋体"/>
                <w:spacing w:val="6"/>
                <w:sz w:val="22"/>
                <w:szCs w:val="22"/>
                <w:lang w:val="en-US"/>
              </w:rPr>
            </w:pPr>
            <w:r>
              <w:rPr>
                <w:rFonts w:hint="eastAsia" w:ascii="宋体" w:hAnsi="宋体" w:cs="宋体"/>
                <w:sz w:val="22"/>
                <w:szCs w:val="22"/>
              </w:rPr>
              <w:t>联系方式：</w:t>
            </w:r>
            <w:r>
              <w:rPr>
                <w:rFonts w:hint="eastAsia" w:ascii="宋体" w:hAnsi="宋体" w:cs="宋体"/>
                <w:sz w:val="22"/>
                <w:szCs w:val="22"/>
                <w:lang w:val="en-US" w:eastAsia="zh-CN"/>
              </w:rPr>
              <w:t>18939052988</w:t>
            </w:r>
          </w:p>
        </w:tc>
      </w:tr>
      <w:tr w14:paraId="66DAA310">
        <w:tblPrEx>
          <w:tblCellMar>
            <w:top w:w="0" w:type="dxa"/>
            <w:left w:w="108" w:type="dxa"/>
            <w:bottom w:w="0" w:type="dxa"/>
            <w:right w:w="108" w:type="dxa"/>
          </w:tblCellMar>
        </w:tblPrEx>
        <w:trPr>
          <w:cantSplit/>
          <w:trHeight w:val="616" w:hRule="atLeast"/>
        </w:trPr>
        <w:tc>
          <w:tcPr>
            <w:tcW w:w="828" w:type="dxa"/>
            <w:tcBorders>
              <w:top w:val="single" w:color="auto" w:sz="6" w:space="0"/>
              <w:left w:val="single" w:color="auto" w:sz="12" w:space="0"/>
              <w:bottom w:val="single" w:color="auto" w:sz="6" w:space="0"/>
              <w:right w:val="single" w:color="auto" w:sz="6" w:space="0"/>
            </w:tcBorders>
            <w:vAlign w:val="center"/>
          </w:tcPr>
          <w:p w14:paraId="33BA1F73">
            <w:pPr>
              <w:adjustRightInd w:val="0"/>
              <w:spacing w:line="360" w:lineRule="auto"/>
              <w:jc w:val="center"/>
              <w:rPr>
                <w:rFonts w:ascii="宋体" w:hAnsi="宋体" w:cs="宋体"/>
                <w:spacing w:val="6"/>
                <w:sz w:val="22"/>
                <w:szCs w:val="22"/>
              </w:rPr>
            </w:pPr>
            <w:r>
              <w:rPr>
                <w:rFonts w:hint="eastAsia" w:ascii="宋体" w:hAnsi="宋体" w:cs="宋体"/>
                <w:spacing w:val="6"/>
                <w:sz w:val="22"/>
                <w:szCs w:val="22"/>
              </w:rPr>
              <w:t>3</w:t>
            </w:r>
          </w:p>
        </w:tc>
        <w:tc>
          <w:tcPr>
            <w:tcW w:w="1611" w:type="dxa"/>
            <w:tcBorders>
              <w:top w:val="single" w:color="auto" w:sz="6" w:space="0"/>
              <w:left w:val="single" w:color="auto" w:sz="6" w:space="0"/>
              <w:bottom w:val="single" w:color="auto" w:sz="6" w:space="0"/>
              <w:right w:val="single" w:color="auto" w:sz="6" w:space="0"/>
            </w:tcBorders>
            <w:vAlign w:val="center"/>
          </w:tcPr>
          <w:p w14:paraId="46334023">
            <w:pPr>
              <w:adjustRightInd w:val="0"/>
              <w:spacing w:line="360" w:lineRule="auto"/>
              <w:jc w:val="center"/>
              <w:rPr>
                <w:rFonts w:ascii="宋体" w:hAnsi="宋体" w:cs="宋体"/>
                <w:spacing w:val="6"/>
                <w:sz w:val="22"/>
                <w:szCs w:val="22"/>
              </w:rPr>
            </w:pPr>
            <w:r>
              <w:rPr>
                <w:rFonts w:ascii="宋体" w:hAnsi="宋体" w:cs="宋体"/>
                <w:spacing w:val="6"/>
                <w:sz w:val="22"/>
                <w:szCs w:val="22"/>
              </w:rPr>
              <w:t>项目名称</w:t>
            </w:r>
          </w:p>
        </w:tc>
        <w:tc>
          <w:tcPr>
            <w:tcW w:w="6565" w:type="dxa"/>
            <w:tcBorders>
              <w:top w:val="single" w:color="auto" w:sz="6" w:space="0"/>
              <w:left w:val="single" w:color="auto" w:sz="6" w:space="0"/>
              <w:bottom w:val="single" w:color="auto" w:sz="4" w:space="0"/>
              <w:right w:val="single" w:color="auto" w:sz="12" w:space="0"/>
            </w:tcBorders>
            <w:vAlign w:val="center"/>
          </w:tcPr>
          <w:p w14:paraId="64D5F62C">
            <w:pPr>
              <w:spacing w:line="360" w:lineRule="auto"/>
              <w:rPr>
                <w:rFonts w:ascii="宋体" w:hAnsi="宋体" w:eastAsia="宋体" w:cs="宋体"/>
                <w:spacing w:val="6"/>
                <w:sz w:val="22"/>
                <w:szCs w:val="22"/>
              </w:rPr>
            </w:pPr>
            <w:r>
              <w:rPr>
                <w:rFonts w:hint="eastAsia" w:ascii="宋体" w:hAnsi="宋体" w:eastAsia="宋体" w:cs="宋体"/>
                <w:spacing w:val="6"/>
                <w:sz w:val="22"/>
                <w:szCs w:val="22"/>
              </w:rPr>
              <w:t>义马市消防救援大队义马大队食堂主副食品采购项目</w:t>
            </w:r>
          </w:p>
        </w:tc>
      </w:tr>
      <w:tr w14:paraId="59052C8C">
        <w:tblPrEx>
          <w:tblCellMar>
            <w:top w:w="0" w:type="dxa"/>
            <w:left w:w="108" w:type="dxa"/>
            <w:bottom w:w="0" w:type="dxa"/>
            <w:right w:w="108" w:type="dxa"/>
          </w:tblCellMar>
        </w:tblPrEx>
        <w:trPr>
          <w:cantSplit/>
          <w:trHeight w:val="237" w:hRule="atLeast"/>
        </w:trPr>
        <w:tc>
          <w:tcPr>
            <w:tcW w:w="828" w:type="dxa"/>
            <w:vMerge w:val="restart"/>
            <w:tcBorders>
              <w:top w:val="single" w:color="auto" w:sz="6" w:space="0"/>
              <w:left w:val="single" w:color="auto" w:sz="12" w:space="0"/>
              <w:right w:val="single" w:color="auto" w:sz="6" w:space="0"/>
            </w:tcBorders>
            <w:vAlign w:val="center"/>
          </w:tcPr>
          <w:p w14:paraId="545EC4CE">
            <w:pPr>
              <w:adjustRightInd w:val="0"/>
              <w:spacing w:line="360" w:lineRule="auto"/>
              <w:ind w:left="3" w:hanging="2" w:hangingChars="1"/>
              <w:jc w:val="center"/>
              <w:rPr>
                <w:rFonts w:ascii="宋体" w:hAnsi="宋体" w:cs="宋体"/>
                <w:spacing w:val="6"/>
                <w:sz w:val="22"/>
                <w:szCs w:val="22"/>
              </w:rPr>
            </w:pPr>
            <w:r>
              <w:rPr>
                <w:rFonts w:hint="eastAsia" w:ascii="宋体" w:hAnsi="宋体" w:cs="宋体"/>
                <w:spacing w:val="6"/>
                <w:sz w:val="22"/>
                <w:szCs w:val="22"/>
              </w:rPr>
              <w:t>4</w:t>
            </w:r>
          </w:p>
        </w:tc>
        <w:tc>
          <w:tcPr>
            <w:tcW w:w="1611" w:type="dxa"/>
            <w:tcBorders>
              <w:top w:val="single" w:color="auto" w:sz="6" w:space="0"/>
              <w:left w:val="single" w:color="auto" w:sz="6" w:space="0"/>
              <w:bottom w:val="single" w:color="auto" w:sz="6" w:space="0"/>
              <w:right w:val="single" w:color="auto" w:sz="4" w:space="0"/>
            </w:tcBorders>
            <w:vAlign w:val="center"/>
          </w:tcPr>
          <w:p w14:paraId="724A129A">
            <w:pPr>
              <w:adjustRightInd w:val="0"/>
              <w:spacing w:line="360" w:lineRule="auto"/>
              <w:ind w:left="2" w:hanging="2" w:hangingChars="1"/>
              <w:jc w:val="center"/>
              <w:rPr>
                <w:rFonts w:ascii="宋体" w:hAnsi="宋体" w:cs="宋体"/>
                <w:color w:val="auto"/>
                <w:sz w:val="22"/>
                <w:szCs w:val="22"/>
                <w:highlight w:val="none"/>
              </w:rPr>
            </w:pPr>
            <w:r>
              <w:rPr>
                <w:rFonts w:hint="eastAsia" w:ascii="宋体" w:hAnsi="宋体" w:cs="宋体"/>
                <w:color w:val="auto"/>
                <w:sz w:val="22"/>
                <w:szCs w:val="22"/>
                <w:highlight w:val="none"/>
                <w:lang w:val="en-US" w:eastAsia="zh-CN"/>
              </w:rPr>
              <w:t>采购</w:t>
            </w:r>
            <w:r>
              <w:rPr>
                <w:rFonts w:ascii="宋体" w:hAnsi="宋体" w:cs="宋体"/>
                <w:color w:val="auto"/>
                <w:sz w:val="22"/>
                <w:szCs w:val="22"/>
                <w:highlight w:val="none"/>
              </w:rPr>
              <w:t>编号</w:t>
            </w:r>
          </w:p>
        </w:tc>
        <w:tc>
          <w:tcPr>
            <w:tcW w:w="6565" w:type="dxa"/>
            <w:tcBorders>
              <w:top w:val="single" w:color="auto" w:sz="4" w:space="0"/>
              <w:left w:val="single" w:color="auto" w:sz="4" w:space="0"/>
              <w:bottom w:val="single" w:color="auto" w:sz="4" w:space="0"/>
              <w:right w:val="single" w:color="auto" w:sz="4" w:space="0"/>
            </w:tcBorders>
            <w:vAlign w:val="center"/>
          </w:tcPr>
          <w:p w14:paraId="7A5F7381">
            <w:pPr>
              <w:adjustRightInd w:val="0"/>
              <w:spacing w:line="360" w:lineRule="auto"/>
              <w:rPr>
                <w:rFonts w:hint="default" w:ascii="宋体" w:hAnsi="宋体" w:eastAsia="宋体" w:cs="宋体"/>
                <w:color w:val="auto"/>
                <w:spacing w:val="6"/>
                <w:sz w:val="22"/>
                <w:szCs w:val="22"/>
                <w:highlight w:val="none"/>
                <w:lang w:val="en-US"/>
              </w:rPr>
            </w:pPr>
            <w:r>
              <w:rPr>
                <w:rFonts w:hint="eastAsia" w:ascii="宋体" w:hAnsi="宋体" w:cs="宋体"/>
                <w:sz w:val="22"/>
                <w:szCs w:val="22"/>
                <w:highlight w:val="none"/>
              </w:rPr>
              <w:t>义马竞磋采购-2025-31</w:t>
            </w:r>
          </w:p>
        </w:tc>
      </w:tr>
      <w:tr w14:paraId="586F2589">
        <w:tblPrEx>
          <w:tblCellMar>
            <w:top w:w="0" w:type="dxa"/>
            <w:left w:w="108" w:type="dxa"/>
            <w:bottom w:w="0" w:type="dxa"/>
            <w:right w:w="108" w:type="dxa"/>
          </w:tblCellMar>
        </w:tblPrEx>
        <w:trPr>
          <w:cantSplit/>
          <w:trHeight w:val="237" w:hRule="atLeast"/>
        </w:trPr>
        <w:tc>
          <w:tcPr>
            <w:tcW w:w="828" w:type="dxa"/>
            <w:vMerge w:val="continue"/>
            <w:tcBorders>
              <w:left w:val="single" w:color="auto" w:sz="12" w:space="0"/>
              <w:bottom w:val="single" w:color="auto" w:sz="6" w:space="0"/>
              <w:right w:val="single" w:color="auto" w:sz="6" w:space="0"/>
            </w:tcBorders>
            <w:vAlign w:val="center"/>
          </w:tcPr>
          <w:p w14:paraId="55ABBB71">
            <w:pPr>
              <w:adjustRightInd w:val="0"/>
              <w:spacing w:line="360" w:lineRule="auto"/>
              <w:ind w:left="2" w:hanging="2" w:hangingChars="1"/>
              <w:jc w:val="center"/>
            </w:pPr>
          </w:p>
        </w:tc>
        <w:tc>
          <w:tcPr>
            <w:tcW w:w="1611" w:type="dxa"/>
            <w:tcBorders>
              <w:top w:val="single" w:color="auto" w:sz="6" w:space="0"/>
              <w:left w:val="single" w:color="auto" w:sz="6" w:space="0"/>
              <w:bottom w:val="single" w:color="auto" w:sz="6" w:space="0"/>
              <w:right w:val="single" w:color="auto" w:sz="4" w:space="0"/>
            </w:tcBorders>
            <w:vAlign w:val="center"/>
          </w:tcPr>
          <w:p w14:paraId="473E2A8E">
            <w:pPr>
              <w:adjustRightInd w:val="0"/>
              <w:spacing w:line="360" w:lineRule="auto"/>
              <w:ind w:left="2" w:hanging="2" w:hangingChars="1"/>
              <w:jc w:val="center"/>
              <w:rPr>
                <w:rFonts w:hint="eastAsia" w:ascii="宋体" w:hAnsi="宋体" w:cs="宋体" w:eastAsiaTheme="minorEastAsia"/>
                <w:color w:val="auto"/>
                <w:sz w:val="22"/>
                <w:szCs w:val="22"/>
                <w:highlight w:val="none"/>
                <w:lang w:val="en-US" w:eastAsia="zh-CN"/>
              </w:rPr>
            </w:pPr>
            <w:r>
              <w:rPr>
                <w:rFonts w:hint="eastAsia" w:ascii="宋体" w:hAnsi="宋体" w:cs="宋体"/>
                <w:color w:val="auto"/>
                <w:sz w:val="22"/>
                <w:szCs w:val="22"/>
                <w:highlight w:val="none"/>
                <w:lang w:val="en-US" w:eastAsia="zh-CN"/>
              </w:rPr>
              <w:t>项目编号</w:t>
            </w:r>
          </w:p>
        </w:tc>
        <w:tc>
          <w:tcPr>
            <w:tcW w:w="6565" w:type="dxa"/>
            <w:tcBorders>
              <w:top w:val="single" w:color="auto" w:sz="4" w:space="0"/>
              <w:left w:val="single" w:color="auto" w:sz="4" w:space="0"/>
              <w:bottom w:val="single" w:color="auto" w:sz="4" w:space="0"/>
              <w:right w:val="single" w:color="auto" w:sz="4" w:space="0"/>
            </w:tcBorders>
            <w:vAlign w:val="center"/>
          </w:tcPr>
          <w:p w14:paraId="213FAA2A">
            <w:pPr>
              <w:adjustRightInd w:val="0"/>
              <w:spacing w:line="360" w:lineRule="auto"/>
              <w:ind w:left="2" w:hanging="2" w:hangingChars="1"/>
              <w:jc w:val="both"/>
              <w:rPr>
                <w:rFonts w:hint="eastAsia" w:ascii="宋体" w:hAnsi="宋体" w:cs="宋体" w:eastAsiaTheme="minorEastAsia"/>
                <w:color w:val="auto"/>
                <w:sz w:val="22"/>
                <w:szCs w:val="22"/>
                <w:highlight w:val="none"/>
                <w:lang w:val="en-US" w:eastAsia="zh-CN"/>
              </w:rPr>
            </w:pPr>
            <w:r>
              <w:rPr>
                <w:rFonts w:hint="eastAsia" w:ascii="宋体" w:hAnsi="宋体" w:cs="宋体" w:eastAsiaTheme="minorEastAsia"/>
                <w:color w:val="auto"/>
                <w:sz w:val="22"/>
                <w:szCs w:val="22"/>
                <w:highlight w:val="none"/>
                <w:lang w:val="en-US" w:eastAsia="zh-CN"/>
              </w:rPr>
              <w:t>YMGZ[2025]068-ZC045</w:t>
            </w:r>
          </w:p>
        </w:tc>
      </w:tr>
      <w:tr w14:paraId="4B1D9761">
        <w:tblPrEx>
          <w:tblCellMar>
            <w:top w:w="0" w:type="dxa"/>
            <w:left w:w="108" w:type="dxa"/>
            <w:bottom w:w="0" w:type="dxa"/>
            <w:right w:w="108" w:type="dxa"/>
          </w:tblCellMar>
        </w:tblPrEx>
        <w:trPr>
          <w:cantSplit/>
          <w:trHeight w:val="490" w:hRule="atLeast"/>
        </w:trPr>
        <w:tc>
          <w:tcPr>
            <w:tcW w:w="828" w:type="dxa"/>
            <w:tcBorders>
              <w:top w:val="single" w:color="auto" w:sz="6" w:space="0"/>
              <w:left w:val="single" w:color="auto" w:sz="12" w:space="0"/>
              <w:bottom w:val="single" w:color="auto" w:sz="6" w:space="0"/>
              <w:right w:val="single" w:color="auto" w:sz="6" w:space="0"/>
            </w:tcBorders>
            <w:vAlign w:val="center"/>
          </w:tcPr>
          <w:p w14:paraId="48E0C4D1">
            <w:pPr>
              <w:adjustRightInd w:val="0"/>
              <w:spacing w:line="360" w:lineRule="auto"/>
              <w:jc w:val="center"/>
              <w:rPr>
                <w:rFonts w:ascii="宋体" w:hAnsi="宋体" w:cs="宋体"/>
                <w:spacing w:val="6"/>
                <w:sz w:val="22"/>
                <w:szCs w:val="22"/>
              </w:rPr>
            </w:pPr>
            <w:r>
              <w:rPr>
                <w:rFonts w:hint="eastAsia" w:ascii="宋体" w:hAnsi="宋体" w:cs="宋体"/>
                <w:spacing w:val="6"/>
                <w:sz w:val="22"/>
                <w:szCs w:val="22"/>
              </w:rPr>
              <w:t>5</w:t>
            </w:r>
          </w:p>
        </w:tc>
        <w:tc>
          <w:tcPr>
            <w:tcW w:w="1611" w:type="dxa"/>
            <w:tcBorders>
              <w:top w:val="single" w:color="auto" w:sz="6" w:space="0"/>
              <w:left w:val="single" w:color="auto" w:sz="6" w:space="0"/>
              <w:bottom w:val="single" w:color="auto" w:sz="6" w:space="0"/>
              <w:right w:val="single" w:color="auto" w:sz="6" w:space="0"/>
            </w:tcBorders>
            <w:vAlign w:val="center"/>
          </w:tcPr>
          <w:p w14:paraId="6810A830">
            <w:pPr>
              <w:adjustRightInd w:val="0"/>
              <w:spacing w:line="360" w:lineRule="auto"/>
              <w:jc w:val="center"/>
              <w:rPr>
                <w:rFonts w:ascii="宋体" w:hAnsi="宋体" w:cs="宋体"/>
                <w:sz w:val="22"/>
                <w:szCs w:val="22"/>
              </w:rPr>
            </w:pPr>
            <w:r>
              <w:rPr>
                <w:rFonts w:ascii="宋体" w:hAnsi="宋体" w:cs="宋体"/>
                <w:sz w:val="22"/>
                <w:szCs w:val="22"/>
              </w:rPr>
              <w:t>采购</w:t>
            </w:r>
            <w:r>
              <w:rPr>
                <w:rFonts w:hint="eastAsia" w:ascii="宋体" w:hAnsi="宋体" w:cs="宋体"/>
                <w:sz w:val="22"/>
                <w:szCs w:val="22"/>
              </w:rPr>
              <w:t>人</w:t>
            </w:r>
          </w:p>
        </w:tc>
        <w:tc>
          <w:tcPr>
            <w:tcW w:w="6565" w:type="dxa"/>
            <w:tcBorders>
              <w:top w:val="single" w:color="auto" w:sz="4" w:space="0"/>
              <w:left w:val="single" w:color="auto" w:sz="6" w:space="0"/>
              <w:bottom w:val="single" w:color="auto" w:sz="6" w:space="0"/>
              <w:right w:val="single" w:color="auto" w:sz="12" w:space="0"/>
            </w:tcBorders>
            <w:vAlign w:val="center"/>
          </w:tcPr>
          <w:p w14:paraId="1DB502A7">
            <w:pPr>
              <w:adjustRightInd w:val="0"/>
              <w:spacing w:line="360" w:lineRule="auto"/>
              <w:ind w:left="3" w:hanging="2" w:hangingChars="1"/>
              <w:rPr>
                <w:rFonts w:ascii="宋体" w:hAnsi="宋体" w:eastAsia="宋体" w:cs="宋体"/>
                <w:spacing w:val="6"/>
                <w:sz w:val="22"/>
                <w:szCs w:val="22"/>
              </w:rPr>
            </w:pPr>
            <w:r>
              <w:rPr>
                <w:rFonts w:hint="eastAsia" w:ascii="宋体" w:hAnsi="宋体" w:cs="宋体"/>
                <w:spacing w:val="6"/>
                <w:sz w:val="22"/>
                <w:szCs w:val="22"/>
              </w:rPr>
              <w:t>义马市消防救援大队</w:t>
            </w:r>
          </w:p>
        </w:tc>
      </w:tr>
      <w:tr w14:paraId="1EF51709">
        <w:tblPrEx>
          <w:tblCellMar>
            <w:top w:w="0" w:type="dxa"/>
            <w:left w:w="108" w:type="dxa"/>
            <w:bottom w:w="0" w:type="dxa"/>
            <w:right w:w="108" w:type="dxa"/>
          </w:tblCellMar>
        </w:tblPrEx>
        <w:trPr>
          <w:cantSplit/>
          <w:trHeight w:val="490" w:hRule="atLeast"/>
        </w:trPr>
        <w:tc>
          <w:tcPr>
            <w:tcW w:w="828" w:type="dxa"/>
            <w:tcBorders>
              <w:top w:val="single" w:color="auto" w:sz="6" w:space="0"/>
              <w:left w:val="single" w:color="auto" w:sz="12" w:space="0"/>
              <w:bottom w:val="single" w:color="auto" w:sz="6" w:space="0"/>
              <w:right w:val="single" w:color="auto" w:sz="6" w:space="0"/>
            </w:tcBorders>
            <w:vAlign w:val="center"/>
          </w:tcPr>
          <w:p w14:paraId="13F22272">
            <w:pPr>
              <w:adjustRightInd w:val="0"/>
              <w:spacing w:line="360" w:lineRule="auto"/>
              <w:jc w:val="center"/>
              <w:rPr>
                <w:rFonts w:ascii="宋体" w:hAnsi="宋体" w:eastAsia="宋体" w:cs="宋体"/>
                <w:spacing w:val="6"/>
                <w:sz w:val="22"/>
                <w:szCs w:val="22"/>
              </w:rPr>
            </w:pPr>
            <w:r>
              <w:rPr>
                <w:rFonts w:hint="eastAsia" w:ascii="宋体" w:hAnsi="宋体" w:cs="宋体"/>
                <w:spacing w:val="6"/>
                <w:sz w:val="22"/>
                <w:szCs w:val="22"/>
              </w:rPr>
              <w:t>6</w:t>
            </w:r>
          </w:p>
        </w:tc>
        <w:tc>
          <w:tcPr>
            <w:tcW w:w="1611" w:type="dxa"/>
            <w:tcBorders>
              <w:top w:val="single" w:color="auto" w:sz="6" w:space="0"/>
              <w:left w:val="single" w:color="auto" w:sz="6" w:space="0"/>
              <w:bottom w:val="single" w:color="auto" w:sz="6" w:space="0"/>
              <w:right w:val="single" w:color="auto" w:sz="6" w:space="0"/>
            </w:tcBorders>
            <w:vAlign w:val="center"/>
          </w:tcPr>
          <w:p w14:paraId="4C2B133E">
            <w:pPr>
              <w:adjustRightInd w:val="0"/>
              <w:spacing w:line="360" w:lineRule="auto"/>
              <w:jc w:val="center"/>
              <w:rPr>
                <w:rFonts w:ascii="宋体" w:hAnsi="宋体" w:cs="宋体"/>
                <w:sz w:val="22"/>
                <w:szCs w:val="22"/>
              </w:rPr>
            </w:pPr>
            <w:r>
              <w:rPr>
                <w:rFonts w:hint="eastAsia" w:ascii="宋体" w:hAnsi="宋体" w:eastAsia="宋体" w:cs="宋体"/>
                <w:spacing w:val="6"/>
                <w:sz w:val="22"/>
                <w:szCs w:val="22"/>
              </w:rPr>
              <w:t>采购预算</w:t>
            </w:r>
          </w:p>
        </w:tc>
        <w:tc>
          <w:tcPr>
            <w:tcW w:w="6565" w:type="dxa"/>
            <w:tcBorders>
              <w:top w:val="single" w:color="auto" w:sz="6" w:space="0"/>
              <w:left w:val="single" w:color="auto" w:sz="6" w:space="0"/>
              <w:bottom w:val="single" w:color="auto" w:sz="6" w:space="0"/>
              <w:right w:val="single" w:color="auto" w:sz="12" w:space="0"/>
            </w:tcBorders>
            <w:vAlign w:val="center"/>
          </w:tcPr>
          <w:p w14:paraId="408C52D9">
            <w:pPr>
              <w:adjustRightInd w:val="0"/>
              <w:spacing w:line="360" w:lineRule="auto"/>
              <w:ind w:left="3" w:hanging="2" w:hangingChars="1"/>
              <w:rPr>
                <w:rFonts w:hint="eastAsia" w:ascii="宋体" w:hAnsi="宋体" w:eastAsia="宋体" w:cs="宋体"/>
                <w:spacing w:val="6"/>
                <w:sz w:val="22"/>
                <w:szCs w:val="22"/>
                <w:lang w:val="en-US" w:eastAsia="zh-CN"/>
              </w:rPr>
            </w:pPr>
            <w:r>
              <w:rPr>
                <w:rFonts w:hint="eastAsia" w:ascii="宋体" w:hAnsi="宋体" w:eastAsia="宋体" w:cs="宋体"/>
                <w:spacing w:val="6"/>
                <w:sz w:val="22"/>
                <w:szCs w:val="22"/>
                <w:lang w:val="en-US" w:eastAsia="zh-CN"/>
              </w:rPr>
              <w:t>¥</w:t>
            </w:r>
            <w:r>
              <w:rPr>
                <w:rFonts w:hint="eastAsia" w:ascii="宋体" w:hAnsi="宋体" w:eastAsia="宋体" w:cs="宋体"/>
                <w:spacing w:val="6"/>
                <w:sz w:val="22"/>
                <w:szCs w:val="22"/>
              </w:rPr>
              <w:t>780000.00</w:t>
            </w:r>
            <w:r>
              <w:rPr>
                <w:rFonts w:hint="eastAsia" w:ascii="宋体" w:hAnsi="宋体" w:eastAsia="宋体" w:cs="宋体"/>
                <w:spacing w:val="6"/>
                <w:sz w:val="22"/>
                <w:szCs w:val="22"/>
                <w:lang w:val="en-US" w:eastAsia="zh-CN"/>
              </w:rPr>
              <w:t>元（本预算为暂定金额，以实际采购量为准，按照实际供货数量据实结算。）  </w:t>
            </w:r>
          </w:p>
        </w:tc>
      </w:tr>
      <w:tr w14:paraId="4E365D9D">
        <w:tblPrEx>
          <w:tblCellMar>
            <w:top w:w="0" w:type="dxa"/>
            <w:left w:w="108" w:type="dxa"/>
            <w:bottom w:w="0" w:type="dxa"/>
            <w:right w:w="108" w:type="dxa"/>
          </w:tblCellMar>
        </w:tblPrEx>
        <w:trPr>
          <w:cantSplit/>
          <w:trHeight w:val="490" w:hRule="atLeast"/>
        </w:trPr>
        <w:tc>
          <w:tcPr>
            <w:tcW w:w="828" w:type="dxa"/>
            <w:tcBorders>
              <w:top w:val="single" w:color="auto" w:sz="6" w:space="0"/>
              <w:left w:val="single" w:color="auto" w:sz="12" w:space="0"/>
              <w:bottom w:val="single" w:color="auto" w:sz="6" w:space="0"/>
              <w:right w:val="single" w:color="auto" w:sz="6" w:space="0"/>
            </w:tcBorders>
            <w:vAlign w:val="center"/>
          </w:tcPr>
          <w:p w14:paraId="23A78EA8">
            <w:pPr>
              <w:adjustRightInd w:val="0"/>
              <w:spacing w:line="360" w:lineRule="auto"/>
              <w:jc w:val="center"/>
              <w:rPr>
                <w:rFonts w:ascii="宋体" w:hAnsi="宋体" w:eastAsia="宋体" w:cs="宋体"/>
                <w:spacing w:val="6"/>
                <w:sz w:val="22"/>
                <w:szCs w:val="22"/>
              </w:rPr>
            </w:pPr>
            <w:r>
              <w:rPr>
                <w:rFonts w:hint="eastAsia" w:ascii="宋体" w:hAnsi="宋体" w:cs="宋体"/>
                <w:spacing w:val="6"/>
                <w:sz w:val="22"/>
                <w:szCs w:val="22"/>
              </w:rPr>
              <w:t>7</w:t>
            </w:r>
          </w:p>
        </w:tc>
        <w:tc>
          <w:tcPr>
            <w:tcW w:w="1611" w:type="dxa"/>
            <w:tcBorders>
              <w:top w:val="single" w:color="auto" w:sz="6" w:space="0"/>
              <w:left w:val="single" w:color="auto" w:sz="6" w:space="0"/>
              <w:bottom w:val="single" w:color="auto" w:sz="6" w:space="0"/>
              <w:right w:val="single" w:color="auto" w:sz="6" w:space="0"/>
            </w:tcBorders>
            <w:vAlign w:val="center"/>
          </w:tcPr>
          <w:p w14:paraId="36FC160B">
            <w:pPr>
              <w:adjustRightInd w:val="0"/>
              <w:spacing w:line="360" w:lineRule="auto"/>
              <w:jc w:val="center"/>
              <w:rPr>
                <w:rFonts w:ascii="宋体" w:hAnsi="宋体" w:cs="宋体"/>
                <w:sz w:val="22"/>
                <w:szCs w:val="22"/>
              </w:rPr>
            </w:pPr>
            <w:r>
              <w:rPr>
                <w:rFonts w:hint="eastAsia" w:ascii="宋体" w:hAnsi="宋体" w:cs="宋体"/>
                <w:sz w:val="22"/>
                <w:szCs w:val="22"/>
              </w:rPr>
              <w:t>标段划分</w:t>
            </w:r>
          </w:p>
        </w:tc>
        <w:tc>
          <w:tcPr>
            <w:tcW w:w="6565" w:type="dxa"/>
            <w:tcBorders>
              <w:top w:val="single" w:color="auto" w:sz="6" w:space="0"/>
              <w:left w:val="single" w:color="auto" w:sz="6" w:space="0"/>
              <w:bottom w:val="single" w:color="auto" w:sz="6" w:space="0"/>
              <w:right w:val="single" w:color="auto" w:sz="12" w:space="0"/>
            </w:tcBorders>
            <w:vAlign w:val="center"/>
          </w:tcPr>
          <w:p w14:paraId="5A9572F9">
            <w:pPr>
              <w:adjustRightInd w:val="0"/>
              <w:spacing w:line="360" w:lineRule="auto"/>
              <w:ind w:left="3" w:hanging="2" w:hangingChars="1"/>
              <w:rPr>
                <w:rFonts w:ascii="宋体" w:hAnsi="宋体" w:eastAsia="宋体" w:cs="宋体"/>
                <w:spacing w:val="6"/>
                <w:sz w:val="22"/>
                <w:szCs w:val="22"/>
              </w:rPr>
            </w:pPr>
            <w:r>
              <w:rPr>
                <w:rFonts w:hint="eastAsia" w:ascii="宋体" w:hAnsi="宋体" w:eastAsia="宋体" w:cs="宋体"/>
                <w:spacing w:val="6"/>
                <w:sz w:val="22"/>
                <w:szCs w:val="22"/>
              </w:rPr>
              <w:t>本项目不划分标段</w:t>
            </w:r>
          </w:p>
        </w:tc>
      </w:tr>
      <w:tr w14:paraId="0D54CDC4">
        <w:tblPrEx>
          <w:tblCellMar>
            <w:top w:w="0" w:type="dxa"/>
            <w:left w:w="108" w:type="dxa"/>
            <w:bottom w:w="0" w:type="dxa"/>
            <w:right w:w="108" w:type="dxa"/>
          </w:tblCellMar>
        </w:tblPrEx>
        <w:trPr>
          <w:cantSplit/>
          <w:trHeight w:val="515" w:hRule="atLeast"/>
        </w:trPr>
        <w:tc>
          <w:tcPr>
            <w:tcW w:w="828" w:type="dxa"/>
            <w:tcBorders>
              <w:top w:val="single" w:color="auto" w:sz="6" w:space="0"/>
              <w:left w:val="single" w:color="auto" w:sz="12" w:space="0"/>
              <w:bottom w:val="single" w:color="auto" w:sz="6" w:space="0"/>
              <w:right w:val="single" w:color="auto" w:sz="6" w:space="0"/>
            </w:tcBorders>
            <w:vAlign w:val="center"/>
          </w:tcPr>
          <w:p w14:paraId="378033F4">
            <w:pPr>
              <w:adjustRightInd w:val="0"/>
              <w:spacing w:line="360" w:lineRule="auto"/>
              <w:jc w:val="center"/>
              <w:rPr>
                <w:rFonts w:ascii="宋体" w:hAnsi="宋体" w:eastAsia="宋体" w:cs="宋体"/>
                <w:spacing w:val="6"/>
                <w:sz w:val="22"/>
                <w:szCs w:val="22"/>
              </w:rPr>
            </w:pPr>
            <w:r>
              <w:rPr>
                <w:rFonts w:hint="eastAsia" w:ascii="宋体" w:hAnsi="宋体" w:cs="宋体"/>
                <w:spacing w:val="6"/>
                <w:sz w:val="22"/>
                <w:szCs w:val="22"/>
              </w:rPr>
              <w:t>8</w:t>
            </w:r>
          </w:p>
        </w:tc>
        <w:tc>
          <w:tcPr>
            <w:tcW w:w="1611" w:type="dxa"/>
            <w:tcBorders>
              <w:top w:val="single" w:color="auto" w:sz="6" w:space="0"/>
              <w:left w:val="single" w:color="auto" w:sz="6" w:space="0"/>
              <w:bottom w:val="single" w:color="auto" w:sz="6" w:space="0"/>
              <w:right w:val="single" w:color="auto" w:sz="6" w:space="0"/>
            </w:tcBorders>
            <w:vAlign w:val="center"/>
          </w:tcPr>
          <w:p w14:paraId="2311CBB8">
            <w:pPr>
              <w:adjustRightInd w:val="0"/>
              <w:spacing w:line="360" w:lineRule="auto"/>
              <w:jc w:val="center"/>
              <w:rPr>
                <w:rFonts w:ascii="宋体" w:hAnsi="宋体" w:cs="宋体"/>
                <w:spacing w:val="6"/>
                <w:sz w:val="22"/>
                <w:szCs w:val="22"/>
              </w:rPr>
            </w:pPr>
            <w:r>
              <w:rPr>
                <w:rFonts w:hint="eastAsia" w:ascii="宋体" w:hAnsi="宋体" w:cs="宋体"/>
                <w:sz w:val="22"/>
                <w:szCs w:val="22"/>
                <w:lang w:val="en-US" w:eastAsia="zh-CN"/>
              </w:rPr>
              <w:t>服务</w:t>
            </w:r>
            <w:r>
              <w:rPr>
                <w:rFonts w:hint="eastAsia" w:ascii="宋体" w:hAnsi="宋体" w:cs="宋体"/>
                <w:sz w:val="22"/>
                <w:szCs w:val="22"/>
              </w:rPr>
              <w:t>内容</w:t>
            </w:r>
          </w:p>
        </w:tc>
        <w:tc>
          <w:tcPr>
            <w:tcW w:w="6565" w:type="dxa"/>
            <w:tcBorders>
              <w:top w:val="single" w:color="auto" w:sz="6" w:space="0"/>
              <w:left w:val="single" w:color="auto" w:sz="6" w:space="0"/>
              <w:bottom w:val="single" w:color="auto" w:sz="6" w:space="0"/>
              <w:right w:val="single" w:color="auto" w:sz="12" w:space="0"/>
            </w:tcBorders>
            <w:vAlign w:val="center"/>
          </w:tcPr>
          <w:p w14:paraId="06A52406">
            <w:pPr>
              <w:shd w:val="clear" w:color="auto" w:fill="FFFFFF"/>
              <w:spacing w:line="360" w:lineRule="auto"/>
              <w:rPr>
                <w:rFonts w:ascii="宋体" w:hAnsi="宋体" w:cs="宋体"/>
                <w:spacing w:val="6"/>
                <w:sz w:val="22"/>
                <w:szCs w:val="22"/>
              </w:rPr>
            </w:pPr>
            <w:r>
              <w:rPr>
                <w:rFonts w:hint="eastAsia" w:ascii="宋体" w:hAnsi="宋体" w:cs="宋体"/>
                <w:spacing w:val="6"/>
                <w:sz w:val="22"/>
                <w:szCs w:val="22"/>
              </w:rPr>
              <w:t>对采购人提供蔬果、禽蛋、禽畜肉、水产品、饮品、米面粮油、调料干杂等食材供应，供应商要严格遵守相关法律法规及行业标准，确保相关服务达到验收标准。（详见竞争性磋商文件）</w:t>
            </w:r>
          </w:p>
        </w:tc>
      </w:tr>
      <w:tr w14:paraId="38A34EDB">
        <w:tblPrEx>
          <w:tblCellMar>
            <w:top w:w="0" w:type="dxa"/>
            <w:left w:w="108" w:type="dxa"/>
            <w:bottom w:w="0" w:type="dxa"/>
            <w:right w:w="108" w:type="dxa"/>
          </w:tblCellMar>
        </w:tblPrEx>
        <w:trPr>
          <w:trHeight w:val="489" w:hRule="atLeast"/>
        </w:trPr>
        <w:tc>
          <w:tcPr>
            <w:tcW w:w="828" w:type="dxa"/>
            <w:tcBorders>
              <w:top w:val="single" w:color="auto" w:sz="6" w:space="0"/>
              <w:left w:val="single" w:color="auto" w:sz="12" w:space="0"/>
              <w:bottom w:val="single" w:color="auto" w:sz="6" w:space="0"/>
              <w:right w:val="single" w:color="auto" w:sz="6" w:space="0"/>
            </w:tcBorders>
            <w:vAlign w:val="center"/>
          </w:tcPr>
          <w:p w14:paraId="1504B2CE">
            <w:pPr>
              <w:adjustRightInd w:val="0"/>
              <w:spacing w:line="360" w:lineRule="auto"/>
              <w:ind w:left="3" w:hanging="2" w:hangingChars="1"/>
              <w:jc w:val="center"/>
              <w:rPr>
                <w:rFonts w:ascii="宋体" w:hAnsi="宋体" w:eastAsia="宋体" w:cs="宋体"/>
                <w:spacing w:val="6"/>
                <w:sz w:val="22"/>
                <w:szCs w:val="22"/>
              </w:rPr>
            </w:pPr>
            <w:r>
              <w:rPr>
                <w:rFonts w:hint="eastAsia" w:ascii="宋体" w:hAnsi="宋体" w:cs="宋体"/>
                <w:spacing w:val="6"/>
                <w:sz w:val="22"/>
                <w:szCs w:val="22"/>
              </w:rPr>
              <w:t>9</w:t>
            </w:r>
          </w:p>
        </w:tc>
        <w:tc>
          <w:tcPr>
            <w:tcW w:w="1611" w:type="dxa"/>
            <w:tcBorders>
              <w:top w:val="single" w:color="auto" w:sz="6" w:space="0"/>
              <w:left w:val="single" w:color="auto" w:sz="6" w:space="0"/>
              <w:bottom w:val="single" w:color="auto" w:sz="6" w:space="0"/>
              <w:right w:val="single" w:color="auto" w:sz="6" w:space="0"/>
            </w:tcBorders>
            <w:vAlign w:val="center"/>
          </w:tcPr>
          <w:p w14:paraId="39730B5D">
            <w:pPr>
              <w:adjustRightInd w:val="0"/>
              <w:spacing w:line="360" w:lineRule="auto"/>
              <w:jc w:val="center"/>
              <w:rPr>
                <w:rFonts w:ascii="宋体" w:hAnsi="宋体" w:cs="宋体"/>
                <w:spacing w:val="6"/>
                <w:sz w:val="22"/>
                <w:szCs w:val="22"/>
              </w:rPr>
            </w:pPr>
            <w:r>
              <w:rPr>
                <w:rFonts w:ascii="宋体" w:hAnsi="宋体" w:cs="宋体"/>
                <w:spacing w:val="6"/>
                <w:sz w:val="22"/>
                <w:szCs w:val="22"/>
              </w:rPr>
              <w:t>采购方式</w:t>
            </w:r>
          </w:p>
        </w:tc>
        <w:tc>
          <w:tcPr>
            <w:tcW w:w="6565" w:type="dxa"/>
            <w:tcBorders>
              <w:top w:val="single" w:color="auto" w:sz="6" w:space="0"/>
              <w:left w:val="single" w:color="auto" w:sz="6" w:space="0"/>
              <w:bottom w:val="single" w:color="auto" w:sz="6" w:space="0"/>
              <w:right w:val="single" w:color="auto" w:sz="12" w:space="0"/>
            </w:tcBorders>
            <w:vAlign w:val="center"/>
          </w:tcPr>
          <w:p w14:paraId="5D369615">
            <w:pPr>
              <w:adjustRightInd w:val="0"/>
              <w:spacing w:line="360" w:lineRule="auto"/>
              <w:rPr>
                <w:rFonts w:ascii="宋体" w:hAnsi="宋体" w:cs="宋体"/>
                <w:spacing w:val="6"/>
                <w:sz w:val="22"/>
                <w:szCs w:val="22"/>
              </w:rPr>
            </w:pPr>
            <w:r>
              <w:rPr>
                <w:rFonts w:ascii="宋体" w:hAnsi="宋体" w:cs="宋体"/>
                <w:spacing w:val="6"/>
                <w:sz w:val="22"/>
                <w:szCs w:val="22"/>
              </w:rPr>
              <w:t>竞争性磋商</w:t>
            </w:r>
          </w:p>
        </w:tc>
      </w:tr>
      <w:tr w14:paraId="1F6761A2">
        <w:tblPrEx>
          <w:tblCellMar>
            <w:top w:w="0" w:type="dxa"/>
            <w:left w:w="108" w:type="dxa"/>
            <w:bottom w:w="0" w:type="dxa"/>
            <w:right w:w="108" w:type="dxa"/>
          </w:tblCellMar>
        </w:tblPrEx>
        <w:trPr>
          <w:trHeight w:val="506" w:hRule="atLeast"/>
        </w:trPr>
        <w:tc>
          <w:tcPr>
            <w:tcW w:w="828" w:type="dxa"/>
            <w:tcBorders>
              <w:top w:val="single" w:color="auto" w:sz="6" w:space="0"/>
              <w:left w:val="single" w:color="auto" w:sz="12" w:space="0"/>
              <w:bottom w:val="single" w:color="auto" w:sz="6" w:space="0"/>
              <w:right w:val="single" w:color="auto" w:sz="6" w:space="0"/>
            </w:tcBorders>
            <w:vAlign w:val="center"/>
          </w:tcPr>
          <w:p w14:paraId="75FA80A2">
            <w:pPr>
              <w:adjustRightInd w:val="0"/>
              <w:spacing w:line="360" w:lineRule="auto"/>
              <w:jc w:val="center"/>
              <w:rPr>
                <w:rFonts w:ascii="宋体" w:hAnsi="宋体" w:eastAsia="宋体" w:cs="宋体"/>
                <w:spacing w:val="6"/>
                <w:sz w:val="22"/>
                <w:szCs w:val="22"/>
              </w:rPr>
            </w:pPr>
            <w:r>
              <w:rPr>
                <w:rFonts w:hint="eastAsia" w:ascii="宋体" w:hAnsi="宋体" w:cs="宋体"/>
                <w:spacing w:val="6"/>
                <w:sz w:val="22"/>
                <w:szCs w:val="22"/>
              </w:rPr>
              <w:t>10</w:t>
            </w:r>
          </w:p>
        </w:tc>
        <w:tc>
          <w:tcPr>
            <w:tcW w:w="1611" w:type="dxa"/>
            <w:tcBorders>
              <w:top w:val="single" w:color="auto" w:sz="6" w:space="0"/>
              <w:left w:val="single" w:color="auto" w:sz="6" w:space="0"/>
              <w:bottom w:val="single" w:color="auto" w:sz="6" w:space="0"/>
              <w:right w:val="single" w:color="auto" w:sz="6" w:space="0"/>
            </w:tcBorders>
            <w:vAlign w:val="center"/>
          </w:tcPr>
          <w:p w14:paraId="5899BB44">
            <w:pPr>
              <w:adjustRightInd w:val="0"/>
              <w:spacing w:line="360" w:lineRule="auto"/>
              <w:jc w:val="center"/>
              <w:rPr>
                <w:rFonts w:ascii="宋体" w:hAnsi="宋体" w:cs="宋体"/>
                <w:spacing w:val="6"/>
                <w:sz w:val="22"/>
                <w:szCs w:val="22"/>
              </w:rPr>
            </w:pPr>
            <w:r>
              <w:rPr>
                <w:rFonts w:ascii="宋体" w:hAnsi="宋体" w:cs="宋体"/>
                <w:spacing w:val="6"/>
                <w:sz w:val="22"/>
                <w:szCs w:val="22"/>
              </w:rPr>
              <w:t>质量要求</w:t>
            </w:r>
          </w:p>
        </w:tc>
        <w:tc>
          <w:tcPr>
            <w:tcW w:w="6565" w:type="dxa"/>
            <w:tcBorders>
              <w:top w:val="single" w:color="auto" w:sz="6" w:space="0"/>
              <w:left w:val="single" w:color="auto" w:sz="6" w:space="0"/>
              <w:bottom w:val="single" w:color="auto" w:sz="6" w:space="0"/>
              <w:right w:val="single" w:color="auto" w:sz="12" w:space="0"/>
            </w:tcBorders>
            <w:vAlign w:val="center"/>
          </w:tcPr>
          <w:p w14:paraId="25B8126B">
            <w:pPr>
              <w:adjustRightInd w:val="0"/>
              <w:spacing w:line="360" w:lineRule="auto"/>
              <w:rPr>
                <w:rFonts w:ascii="宋体" w:hAnsi="宋体" w:cs="宋体"/>
                <w:spacing w:val="6"/>
                <w:sz w:val="22"/>
                <w:szCs w:val="22"/>
              </w:rPr>
            </w:pPr>
            <w:r>
              <w:rPr>
                <w:rFonts w:hint="eastAsia" w:ascii="宋体" w:hAnsi="宋体" w:cs="宋体"/>
                <w:spacing w:val="6"/>
                <w:sz w:val="22"/>
                <w:szCs w:val="22"/>
              </w:rPr>
              <w:t>符合相关法律法规及行业标准</w:t>
            </w:r>
          </w:p>
        </w:tc>
      </w:tr>
      <w:tr w14:paraId="6573FDC8">
        <w:tblPrEx>
          <w:tblCellMar>
            <w:top w:w="0" w:type="dxa"/>
            <w:left w:w="108" w:type="dxa"/>
            <w:bottom w:w="0" w:type="dxa"/>
            <w:right w:w="108" w:type="dxa"/>
          </w:tblCellMar>
        </w:tblPrEx>
        <w:trPr>
          <w:trHeight w:val="506" w:hRule="atLeast"/>
        </w:trPr>
        <w:tc>
          <w:tcPr>
            <w:tcW w:w="828" w:type="dxa"/>
            <w:tcBorders>
              <w:top w:val="single" w:color="auto" w:sz="6" w:space="0"/>
              <w:left w:val="single" w:color="auto" w:sz="12" w:space="0"/>
              <w:bottom w:val="single" w:color="auto" w:sz="6" w:space="0"/>
              <w:right w:val="single" w:color="auto" w:sz="6" w:space="0"/>
            </w:tcBorders>
            <w:vAlign w:val="center"/>
          </w:tcPr>
          <w:p w14:paraId="2BF3FB74">
            <w:pPr>
              <w:adjustRightInd w:val="0"/>
              <w:spacing w:line="360" w:lineRule="auto"/>
              <w:jc w:val="center"/>
              <w:rPr>
                <w:rFonts w:ascii="宋体" w:hAnsi="宋体" w:eastAsia="宋体" w:cs="宋体"/>
                <w:spacing w:val="6"/>
                <w:sz w:val="22"/>
                <w:szCs w:val="22"/>
              </w:rPr>
            </w:pPr>
            <w:r>
              <w:rPr>
                <w:rFonts w:hint="eastAsia" w:ascii="宋体" w:hAnsi="宋体" w:cs="宋体"/>
                <w:spacing w:val="6"/>
                <w:sz w:val="22"/>
                <w:szCs w:val="22"/>
              </w:rPr>
              <w:t>11</w:t>
            </w:r>
          </w:p>
        </w:tc>
        <w:tc>
          <w:tcPr>
            <w:tcW w:w="1611" w:type="dxa"/>
            <w:tcBorders>
              <w:top w:val="single" w:color="auto" w:sz="6" w:space="0"/>
              <w:left w:val="single" w:color="auto" w:sz="6" w:space="0"/>
              <w:bottom w:val="single" w:color="auto" w:sz="6" w:space="0"/>
              <w:right w:val="single" w:color="auto" w:sz="6" w:space="0"/>
            </w:tcBorders>
            <w:vAlign w:val="center"/>
          </w:tcPr>
          <w:p w14:paraId="00287687">
            <w:pPr>
              <w:adjustRightInd w:val="0"/>
              <w:spacing w:line="360" w:lineRule="auto"/>
              <w:jc w:val="center"/>
              <w:rPr>
                <w:rFonts w:ascii="宋体" w:hAnsi="宋体" w:cs="宋体"/>
                <w:spacing w:val="6"/>
                <w:sz w:val="22"/>
                <w:szCs w:val="22"/>
              </w:rPr>
            </w:pPr>
            <w:r>
              <w:rPr>
                <w:rFonts w:hint="eastAsia" w:ascii="宋体" w:hAnsi="宋体" w:cs="宋体"/>
                <w:spacing w:val="6"/>
                <w:sz w:val="22"/>
                <w:szCs w:val="22"/>
              </w:rPr>
              <w:t>服务地点</w:t>
            </w:r>
          </w:p>
        </w:tc>
        <w:tc>
          <w:tcPr>
            <w:tcW w:w="6565" w:type="dxa"/>
            <w:tcBorders>
              <w:top w:val="single" w:color="auto" w:sz="6" w:space="0"/>
              <w:left w:val="single" w:color="auto" w:sz="6" w:space="0"/>
              <w:bottom w:val="single" w:color="auto" w:sz="6" w:space="0"/>
              <w:right w:val="single" w:color="auto" w:sz="12" w:space="0"/>
            </w:tcBorders>
            <w:vAlign w:val="center"/>
          </w:tcPr>
          <w:p w14:paraId="1C85BA8D">
            <w:pPr>
              <w:adjustRightInd w:val="0"/>
              <w:spacing w:line="360" w:lineRule="auto"/>
              <w:rPr>
                <w:rFonts w:ascii="宋体" w:hAnsi="宋体" w:cs="宋体"/>
                <w:spacing w:val="6"/>
                <w:sz w:val="22"/>
                <w:szCs w:val="22"/>
              </w:rPr>
            </w:pPr>
            <w:r>
              <w:rPr>
                <w:rFonts w:hint="eastAsia" w:ascii="宋体" w:hAnsi="宋体" w:eastAsia="宋体" w:cs="宋体"/>
                <w:sz w:val="22"/>
                <w:szCs w:val="22"/>
              </w:rPr>
              <w:t>采购人指定地点</w:t>
            </w:r>
          </w:p>
        </w:tc>
      </w:tr>
      <w:tr w14:paraId="6FB20D1A">
        <w:tblPrEx>
          <w:tblCellMar>
            <w:top w:w="0" w:type="dxa"/>
            <w:left w:w="108" w:type="dxa"/>
            <w:bottom w:w="0" w:type="dxa"/>
            <w:right w:w="108" w:type="dxa"/>
          </w:tblCellMar>
        </w:tblPrEx>
        <w:trPr>
          <w:trHeight w:val="545" w:hRule="atLeast"/>
        </w:trPr>
        <w:tc>
          <w:tcPr>
            <w:tcW w:w="828" w:type="dxa"/>
            <w:tcBorders>
              <w:top w:val="single" w:color="auto" w:sz="6" w:space="0"/>
              <w:left w:val="single" w:color="auto" w:sz="12" w:space="0"/>
              <w:bottom w:val="single" w:color="auto" w:sz="6" w:space="0"/>
              <w:right w:val="single" w:color="auto" w:sz="6" w:space="0"/>
            </w:tcBorders>
            <w:vAlign w:val="center"/>
          </w:tcPr>
          <w:p w14:paraId="587CE408">
            <w:pPr>
              <w:adjustRightInd w:val="0"/>
              <w:spacing w:line="360" w:lineRule="auto"/>
              <w:jc w:val="center"/>
              <w:rPr>
                <w:rFonts w:ascii="宋体" w:hAnsi="宋体" w:eastAsia="宋体" w:cs="宋体"/>
                <w:spacing w:val="6"/>
                <w:sz w:val="22"/>
                <w:szCs w:val="22"/>
              </w:rPr>
            </w:pPr>
            <w:r>
              <w:rPr>
                <w:rFonts w:ascii="宋体" w:hAnsi="宋体" w:cs="宋体"/>
                <w:spacing w:val="6"/>
                <w:sz w:val="22"/>
                <w:szCs w:val="22"/>
              </w:rPr>
              <w:t>1</w:t>
            </w:r>
            <w:r>
              <w:rPr>
                <w:rFonts w:hint="eastAsia" w:ascii="宋体" w:hAnsi="宋体" w:cs="宋体"/>
                <w:spacing w:val="6"/>
                <w:sz w:val="22"/>
                <w:szCs w:val="22"/>
              </w:rPr>
              <w:t>2</w:t>
            </w:r>
          </w:p>
        </w:tc>
        <w:tc>
          <w:tcPr>
            <w:tcW w:w="1611" w:type="dxa"/>
            <w:tcBorders>
              <w:top w:val="single" w:color="auto" w:sz="6" w:space="0"/>
              <w:left w:val="single" w:color="auto" w:sz="6" w:space="0"/>
              <w:bottom w:val="single" w:color="auto" w:sz="6" w:space="0"/>
              <w:right w:val="single" w:color="auto" w:sz="6" w:space="0"/>
            </w:tcBorders>
            <w:vAlign w:val="center"/>
          </w:tcPr>
          <w:p w14:paraId="03DA5A14">
            <w:pPr>
              <w:adjustRightInd w:val="0"/>
              <w:spacing w:line="360" w:lineRule="auto"/>
              <w:ind w:left="2" w:hanging="2" w:hangingChars="1"/>
              <w:jc w:val="center"/>
              <w:rPr>
                <w:rFonts w:ascii="宋体" w:hAnsi="宋体" w:cs="宋体"/>
                <w:sz w:val="22"/>
                <w:szCs w:val="22"/>
              </w:rPr>
            </w:pPr>
            <w:r>
              <w:rPr>
                <w:rFonts w:hint="eastAsia" w:ascii="宋体" w:hAnsi="宋体" w:cs="宋体"/>
                <w:sz w:val="22"/>
                <w:szCs w:val="22"/>
              </w:rPr>
              <w:t>服务周期</w:t>
            </w:r>
          </w:p>
        </w:tc>
        <w:tc>
          <w:tcPr>
            <w:tcW w:w="6565" w:type="dxa"/>
            <w:tcBorders>
              <w:top w:val="single" w:color="auto" w:sz="6" w:space="0"/>
              <w:left w:val="single" w:color="auto" w:sz="6" w:space="0"/>
              <w:bottom w:val="single" w:color="auto" w:sz="6" w:space="0"/>
              <w:right w:val="single" w:color="auto" w:sz="12" w:space="0"/>
            </w:tcBorders>
            <w:vAlign w:val="center"/>
          </w:tcPr>
          <w:p w14:paraId="0EC6B424">
            <w:pPr>
              <w:adjustRightInd w:val="0"/>
              <w:spacing w:line="360" w:lineRule="auto"/>
              <w:ind w:left="3" w:hanging="2" w:hangingChars="1"/>
              <w:rPr>
                <w:rFonts w:ascii="宋体" w:hAnsi="宋体" w:eastAsia="宋体" w:cs="宋体"/>
                <w:spacing w:val="6"/>
                <w:sz w:val="22"/>
                <w:szCs w:val="22"/>
              </w:rPr>
            </w:pPr>
            <w:r>
              <w:rPr>
                <w:rFonts w:hint="eastAsia" w:ascii="宋体" w:hAnsi="宋体" w:eastAsia="宋体" w:cs="宋体"/>
                <w:spacing w:val="6"/>
                <w:sz w:val="22"/>
                <w:szCs w:val="22"/>
              </w:rPr>
              <w:t>一年</w:t>
            </w:r>
          </w:p>
        </w:tc>
      </w:tr>
      <w:tr w14:paraId="1A56EEEC">
        <w:tblPrEx>
          <w:tblCellMar>
            <w:top w:w="0" w:type="dxa"/>
            <w:left w:w="108" w:type="dxa"/>
            <w:bottom w:w="0" w:type="dxa"/>
            <w:right w:w="108" w:type="dxa"/>
          </w:tblCellMar>
        </w:tblPrEx>
        <w:trPr>
          <w:trHeight w:val="486" w:hRule="atLeast"/>
        </w:trPr>
        <w:tc>
          <w:tcPr>
            <w:tcW w:w="828" w:type="dxa"/>
            <w:tcBorders>
              <w:top w:val="single" w:color="auto" w:sz="6" w:space="0"/>
              <w:left w:val="single" w:color="auto" w:sz="12" w:space="0"/>
              <w:bottom w:val="single" w:color="auto" w:sz="6" w:space="0"/>
              <w:right w:val="single" w:color="auto" w:sz="6" w:space="0"/>
            </w:tcBorders>
            <w:vAlign w:val="center"/>
          </w:tcPr>
          <w:p w14:paraId="3413B16E">
            <w:pPr>
              <w:adjustRightInd w:val="0"/>
              <w:spacing w:line="360" w:lineRule="auto"/>
              <w:jc w:val="center"/>
              <w:rPr>
                <w:rFonts w:ascii="宋体" w:hAnsi="宋体" w:eastAsia="宋体" w:cs="宋体"/>
                <w:spacing w:val="6"/>
                <w:sz w:val="22"/>
                <w:szCs w:val="22"/>
              </w:rPr>
            </w:pPr>
            <w:r>
              <w:rPr>
                <w:rFonts w:ascii="宋体" w:hAnsi="宋体" w:cs="宋体"/>
                <w:spacing w:val="6"/>
                <w:sz w:val="22"/>
                <w:szCs w:val="22"/>
              </w:rPr>
              <w:t>1</w:t>
            </w:r>
            <w:r>
              <w:rPr>
                <w:rFonts w:hint="eastAsia" w:ascii="宋体" w:hAnsi="宋体" w:cs="宋体"/>
                <w:spacing w:val="6"/>
                <w:sz w:val="22"/>
                <w:szCs w:val="22"/>
              </w:rPr>
              <w:t>3</w:t>
            </w:r>
          </w:p>
        </w:tc>
        <w:tc>
          <w:tcPr>
            <w:tcW w:w="1611" w:type="dxa"/>
            <w:tcBorders>
              <w:top w:val="single" w:color="auto" w:sz="6" w:space="0"/>
              <w:left w:val="single" w:color="auto" w:sz="6" w:space="0"/>
              <w:bottom w:val="single" w:color="auto" w:sz="6" w:space="0"/>
              <w:right w:val="single" w:color="auto" w:sz="6" w:space="0"/>
            </w:tcBorders>
            <w:vAlign w:val="center"/>
          </w:tcPr>
          <w:p w14:paraId="0ECFCF53">
            <w:pPr>
              <w:adjustRightInd w:val="0"/>
              <w:spacing w:line="360" w:lineRule="auto"/>
              <w:jc w:val="center"/>
              <w:rPr>
                <w:rFonts w:ascii="宋体" w:hAnsi="宋体" w:cs="宋体"/>
                <w:sz w:val="22"/>
                <w:szCs w:val="22"/>
              </w:rPr>
            </w:pPr>
            <w:r>
              <w:rPr>
                <w:rFonts w:ascii="宋体" w:hAnsi="宋体" w:cs="宋体"/>
                <w:sz w:val="22"/>
                <w:szCs w:val="22"/>
              </w:rPr>
              <w:t>资金来源</w:t>
            </w:r>
          </w:p>
        </w:tc>
        <w:tc>
          <w:tcPr>
            <w:tcW w:w="6565" w:type="dxa"/>
            <w:tcBorders>
              <w:top w:val="single" w:color="auto" w:sz="6" w:space="0"/>
              <w:left w:val="single" w:color="auto" w:sz="6" w:space="0"/>
              <w:bottom w:val="single" w:color="auto" w:sz="6" w:space="0"/>
              <w:right w:val="single" w:color="auto" w:sz="12" w:space="0"/>
            </w:tcBorders>
            <w:vAlign w:val="center"/>
          </w:tcPr>
          <w:p w14:paraId="6EB31F93">
            <w:pPr>
              <w:adjustRightInd w:val="0"/>
              <w:spacing w:line="360" w:lineRule="auto"/>
              <w:rPr>
                <w:rFonts w:ascii="宋体" w:hAnsi="宋体" w:cs="宋体"/>
                <w:spacing w:val="6"/>
                <w:sz w:val="22"/>
                <w:szCs w:val="22"/>
              </w:rPr>
            </w:pPr>
            <w:r>
              <w:rPr>
                <w:rFonts w:hint="eastAsia" w:ascii="宋体" w:hAnsi="宋体" w:cs="宋体"/>
                <w:spacing w:val="6"/>
                <w:sz w:val="22"/>
                <w:szCs w:val="22"/>
              </w:rPr>
              <w:t>财政资金，已落实</w:t>
            </w:r>
          </w:p>
        </w:tc>
      </w:tr>
      <w:tr w14:paraId="77FEE57F">
        <w:tblPrEx>
          <w:tblCellMar>
            <w:top w:w="0" w:type="dxa"/>
            <w:left w:w="108" w:type="dxa"/>
            <w:bottom w:w="0" w:type="dxa"/>
            <w:right w:w="108" w:type="dxa"/>
          </w:tblCellMar>
        </w:tblPrEx>
        <w:trPr>
          <w:trHeight w:val="536" w:hRule="atLeast"/>
        </w:trPr>
        <w:tc>
          <w:tcPr>
            <w:tcW w:w="828" w:type="dxa"/>
            <w:tcBorders>
              <w:top w:val="single" w:color="auto" w:sz="6" w:space="0"/>
              <w:left w:val="single" w:color="auto" w:sz="12" w:space="0"/>
              <w:bottom w:val="single" w:color="auto" w:sz="6" w:space="0"/>
              <w:right w:val="single" w:color="auto" w:sz="6" w:space="0"/>
            </w:tcBorders>
            <w:vAlign w:val="center"/>
          </w:tcPr>
          <w:p w14:paraId="43EC1E2A">
            <w:pPr>
              <w:adjustRightInd w:val="0"/>
              <w:spacing w:line="360" w:lineRule="auto"/>
              <w:jc w:val="center"/>
              <w:rPr>
                <w:rFonts w:ascii="宋体" w:hAnsi="宋体" w:eastAsia="宋体" w:cs="宋体"/>
                <w:spacing w:val="6"/>
                <w:sz w:val="22"/>
                <w:szCs w:val="22"/>
              </w:rPr>
            </w:pPr>
            <w:r>
              <w:rPr>
                <w:rFonts w:ascii="宋体" w:hAnsi="宋体" w:cs="宋体"/>
                <w:spacing w:val="6"/>
                <w:sz w:val="22"/>
                <w:szCs w:val="22"/>
              </w:rPr>
              <w:t>1</w:t>
            </w:r>
            <w:r>
              <w:rPr>
                <w:rFonts w:hint="eastAsia" w:ascii="宋体" w:hAnsi="宋体" w:cs="宋体"/>
                <w:spacing w:val="6"/>
                <w:sz w:val="22"/>
                <w:szCs w:val="22"/>
              </w:rPr>
              <w:t>4</w:t>
            </w:r>
          </w:p>
        </w:tc>
        <w:tc>
          <w:tcPr>
            <w:tcW w:w="1611" w:type="dxa"/>
            <w:tcBorders>
              <w:top w:val="single" w:color="auto" w:sz="6" w:space="0"/>
              <w:left w:val="single" w:color="auto" w:sz="6" w:space="0"/>
              <w:bottom w:val="single" w:color="auto" w:sz="6" w:space="0"/>
              <w:right w:val="single" w:color="auto" w:sz="6" w:space="0"/>
            </w:tcBorders>
            <w:vAlign w:val="center"/>
          </w:tcPr>
          <w:p w14:paraId="0A0927F8">
            <w:pPr>
              <w:adjustRightInd w:val="0"/>
              <w:spacing w:line="360" w:lineRule="auto"/>
              <w:jc w:val="center"/>
              <w:rPr>
                <w:rFonts w:ascii="宋体" w:hAnsi="宋体" w:cs="宋体"/>
                <w:spacing w:val="-40"/>
                <w:sz w:val="22"/>
                <w:szCs w:val="22"/>
                <w:highlight w:val="yellow"/>
              </w:rPr>
            </w:pPr>
            <w:r>
              <w:rPr>
                <w:rFonts w:ascii="宋体" w:hAnsi="宋体" w:cs="宋体"/>
                <w:sz w:val="22"/>
                <w:szCs w:val="22"/>
              </w:rPr>
              <w:t>供应商资</w:t>
            </w:r>
            <w:r>
              <w:rPr>
                <w:rFonts w:hint="eastAsia" w:ascii="宋体" w:hAnsi="宋体" w:cs="宋体"/>
                <w:sz w:val="22"/>
                <w:szCs w:val="22"/>
              </w:rPr>
              <w:t>格</w:t>
            </w:r>
            <w:r>
              <w:rPr>
                <w:rFonts w:ascii="宋体" w:hAnsi="宋体" w:cs="宋体"/>
                <w:sz w:val="22"/>
                <w:szCs w:val="22"/>
              </w:rPr>
              <w:t>要求</w:t>
            </w:r>
          </w:p>
        </w:tc>
        <w:tc>
          <w:tcPr>
            <w:tcW w:w="6565" w:type="dxa"/>
            <w:tcBorders>
              <w:top w:val="single" w:color="auto" w:sz="6" w:space="0"/>
              <w:left w:val="single" w:color="auto" w:sz="6" w:space="0"/>
              <w:bottom w:val="single" w:color="auto" w:sz="6" w:space="0"/>
              <w:right w:val="single" w:color="auto" w:sz="12" w:space="0"/>
            </w:tcBorders>
            <w:vAlign w:val="center"/>
          </w:tcPr>
          <w:p w14:paraId="2BA64030">
            <w:pPr>
              <w:shd w:val="clear" w:color="auto" w:fill="FFFFFF"/>
              <w:wordWrap w:val="0"/>
              <w:spacing w:line="360" w:lineRule="auto"/>
              <w:ind w:firstLine="440" w:firstLineChars="200"/>
              <w:jc w:val="left"/>
              <w:rPr>
                <w:rFonts w:ascii="宋体" w:hAnsi="宋体" w:cs="宋体"/>
                <w:sz w:val="22"/>
                <w:szCs w:val="22"/>
              </w:rPr>
            </w:pPr>
            <w:r>
              <w:rPr>
                <w:rFonts w:hint="eastAsia" w:ascii="宋体" w:hAnsi="宋体" w:cs="宋体"/>
                <w:sz w:val="22"/>
                <w:szCs w:val="22"/>
              </w:rPr>
              <w:t>1、满足《中华人民共和国政府采购法》第二十二条规定；</w:t>
            </w:r>
          </w:p>
          <w:p w14:paraId="0B6ED98B">
            <w:pPr>
              <w:shd w:val="clear" w:color="auto" w:fill="FFFFFF"/>
              <w:wordWrap w:val="0"/>
              <w:spacing w:line="360" w:lineRule="auto"/>
              <w:ind w:firstLine="440" w:firstLineChars="200"/>
              <w:jc w:val="left"/>
              <w:rPr>
                <w:rFonts w:ascii="宋体" w:hAnsi="宋体" w:cs="宋体"/>
                <w:sz w:val="22"/>
                <w:szCs w:val="22"/>
              </w:rPr>
            </w:pPr>
            <w:r>
              <w:rPr>
                <w:rFonts w:hint="eastAsia" w:ascii="宋体" w:hAnsi="宋体" w:cs="宋体"/>
                <w:sz w:val="22"/>
                <w:szCs w:val="22"/>
              </w:rPr>
              <w:t>2、落实政府采购政策满足的资格要求：根据《政府采购促进中小企业发展管理办法》（财库〔2020〕46号）规定，本项目专门面向中小企业采购；同时供应商须提供《中小企业声明函》；</w:t>
            </w:r>
          </w:p>
          <w:p w14:paraId="50285A6C">
            <w:pPr>
              <w:shd w:val="clear" w:color="auto" w:fill="FFFFFF"/>
              <w:wordWrap w:val="0"/>
              <w:spacing w:line="360" w:lineRule="auto"/>
              <w:ind w:firstLine="440" w:firstLineChars="200"/>
              <w:jc w:val="left"/>
              <w:rPr>
                <w:rFonts w:ascii="宋体" w:hAnsi="宋体" w:cs="宋体"/>
                <w:sz w:val="22"/>
                <w:szCs w:val="22"/>
              </w:rPr>
            </w:pPr>
            <w:r>
              <w:rPr>
                <w:rFonts w:hint="eastAsia" w:ascii="宋体" w:hAnsi="宋体" w:cs="宋体"/>
                <w:sz w:val="22"/>
                <w:szCs w:val="22"/>
              </w:rPr>
              <w:t>3、本项目的特定资格要求</w:t>
            </w:r>
          </w:p>
          <w:p w14:paraId="63D58E2F">
            <w:pPr>
              <w:widowControl/>
              <w:spacing w:line="360" w:lineRule="auto"/>
              <w:ind w:firstLine="420"/>
              <w:jc w:val="left"/>
              <w:rPr>
                <w:rFonts w:hint="eastAsia" w:ascii="宋体" w:hAnsi="宋体" w:cs="宋体" w:eastAsiaTheme="minorEastAsia"/>
                <w:sz w:val="22"/>
                <w:szCs w:val="22"/>
                <w:lang w:eastAsia="zh-CN"/>
              </w:rPr>
            </w:pPr>
            <w:r>
              <w:rPr>
                <w:rFonts w:hint="eastAsia" w:ascii="宋体" w:hAnsi="宋体" w:cs="宋体"/>
                <w:sz w:val="22"/>
                <w:szCs w:val="22"/>
              </w:rPr>
              <w:t>（1）供应商具有独立法人资格，并具有有效的营业执照</w:t>
            </w:r>
            <w:r>
              <w:rPr>
                <w:rFonts w:hint="eastAsia" w:ascii="宋体" w:hAnsi="宋体" w:cs="宋体"/>
                <w:sz w:val="22"/>
                <w:szCs w:val="22"/>
                <w:lang w:eastAsia="zh-CN"/>
              </w:rPr>
              <w:t>；</w:t>
            </w:r>
          </w:p>
          <w:p w14:paraId="6BF13F7A">
            <w:pPr>
              <w:widowControl/>
              <w:spacing w:line="360" w:lineRule="auto"/>
              <w:ind w:firstLine="420"/>
              <w:jc w:val="left"/>
              <w:rPr>
                <w:rFonts w:ascii="宋体" w:hAnsi="宋体" w:cs="宋体"/>
                <w:sz w:val="22"/>
                <w:szCs w:val="22"/>
              </w:rPr>
            </w:pPr>
            <w:r>
              <w:rPr>
                <w:rFonts w:hint="eastAsia" w:ascii="宋体" w:hAnsi="宋体" w:cs="宋体"/>
                <w:sz w:val="22"/>
                <w:szCs w:val="22"/>
              </w:rPr>
              <w:t>（2）供应商具有良好的商业信誉和健全的财务会计制度（提供承诺书，格式自拟）；</w:t>
            </w:r>
          </w:p>
          <w:p w14:paraId="03AE1683">
            <w:pPr>
              <w:widowControl/>
              <w:spacing w:line="360" w:lineRule="auto"/>
              <w:ind w:firstLine="420"/>
              <w:jc w:val="left"/>
              <w:rPr>
                <w:rFonts w:ascii="宋体" w:hAnsi="宋体" w:cs="宋体"/>
                <w:sz w:val="22"/>
                <w:szCs w:val="22"/>
              </w:rPr>
            </w:pPr>
            <w:r>
              <w:rPr>
                <w:rFonts w:hint="eastAsia" w:ascii="宋体" w:hAnsi="宋体" w:cs="宋体"/>
                <w:sz w:val="22"/>
                <w:szCs w:val="22"/>
              </w:rPr>
              <w:t>（3）供应商具有履行合同所必需的设备和专业技术能力（提供承诺书，格式自拟）；</w:t>
            </w:r>
          </w:p>
          <w:p w14:paraId="37FBC391">
            <w:pPr>
              <w:widowControl/>
              <w:spacing w:line="360" w:lineRule="auto"/>
              <w:ind w:firstLine="420"/>
              <w:jc w:val="left"/>
              <w:rPr>
                <w:rFonts w:ascii="宋体" w:hAnsi="宋体" w:cs="宋体"/>
                <w:sz w:val="22"/>
                <w:szCs w:val="22"/>
              </w:rPr>
            </w:pPr>
            <w:r>
              <w:rPr>
                <w:rFonts w:hint="eastAsia" w:ascii="宋体" w:hAnsi="宋体" w:cs="宋体"/>
                <w:sz w:val="22"/>
                <w:szCs w:val="22"/>
              </w:rPr>
              <w:t>（4）供应商有依法缴纳税收和社会保障资金的良好记录（提供承诺书，格式自拟）；</w:t>
            </w:r>
          </w:p>
          <w:p w14:paraId="01A816F4">
            <w:pPr>
              <w:widowControl/>
              <w:spacing w:line="360" w:lineRule="auto"/>
              <w:ind w:firstLine="420"/>
              <w:jc w:val="left"/>
              <w:rPr>
                <w:rFonts w:ascii="宋体" w:hAnsi="宋体" w:cs="宋体"/>
                <w:sz w:val="22"/>
                <w:szCs w:val="22"/>
              </w:rPr>
            </w:pPr>
            <w:r>
              <w:rPr>
                <w:rFonts w:hint="eastAsia" w:ascii="宋体" w:hAnsi="宋体" w:cs="宋体"/>
                <w:sz w:val="22"/>
                <w:szCs w:val="22"/>
              </w:rPr>
              <w:t>（5）供应商参加政府采购活动前三年内，在经营活动中没有重大违法记录（提供承诺书，格式自拟）；</w:t>
            </w:r>
          </w:p>
          <w:p w14:paraId="3A5F950A">
            <w:pPr>
              <w:widowControl/>
              <w:spacing w:line="360" w:lineRule="auto"/>
              <w:ind w:firstLine="420"/>
              <w:jc w:val="left"/>
              <w:rPr>
                <w:rFonts w:ascii="宋体" w:hAnsi="宋体" w:cs="宋体"/>
                <w:sz w:val="22"/>
                <w:szCs w:val="22"/>
              </w:rPr>
            </w:pPr>
            <w:r>
              <w:rPr>
                <w:rFonts w:hint="eastAsia" w:ascii="宋体" w:hAnsi="宋体" w:cs="宋体"/>
                <w:sz w:val="22"/>
                <w:szCs w:val="22"/>
              </w:rPr>
              <w:t>（6）供应商为生产企业的须具有食品生产许可证；</w:t>
            </w:r>
            <w:r>
              <w:rPr>
                <w:rFonts w:hint="eastAsia" w:ascii="宋体" w:hAnsi="宋体" w:cs="宋体"/>
                <w:sz w:val="22"/>
                <w:szCs w:val="22"/>
                <w:lang w:val="en-US" w:eastAsia="zh-CN"/>
              </w:rPr>
              <w:t>供应商</w:t>
            </w:r>
            <w:r>
              <w:rPr>
                <w:rFonts w:hint="eastAsia" w:ascii="宋体" w:hAnsi="宋体" w:cs="宋体"/>
                <w:sz w:val="22"/>
                <w:szCs w:val="22"/>
              </w:rPr>
              <w:t>为经销商的须具有国家相关部门批准的食品经营许可证；</w:t>
            </w:r>
          </w:p>
          <w:p w14:paraId="140A66C2">
            <w:pPr>
              <w:widowControl/>
              <w:spacing w:line="360" w:lineRule="auto"/>
              <w:ind w:firstLine="420"/>
              <w:jc w:val="left"/>
              <w:rPr>
                <w:rFonts w:ascii="宋体" w:hAnsi="宋体" w:cs="宋体"/>
                <w:sz w:val="22"/>
                <w:szCs w:val="22"/>
              </w:rPr>
            </w:pPr>
            <w:r>
              <w:rPr>
                <w:rFonts w:hint="eastAsia" w:ascii="宋体" w:hAnsi="宋体" w:cs="宋体"/>
                <w:sz w:val="22"/>
                <w:szCs w:val="22"/>
              </w:rPr>
              <w:t>（7）供应商无行贿犯罪记录行为，在中国裁判文书网自行查询结果或自行承诺（查询/承诺对象：企业、法定代表人）；</w:t>
            </w:r>
          </w:p>
          <w:p w14:paraId="2D9D9A73">
            <w:pPr>
              <w:widowControl/>
              <w:spacing w:line="360" w:lineRule="auto"/>
              <w:ind w:firstLine="420"/>
              <w:jc w:val="left"/>
              <w:rPr>
                <w:rFonts w:ascii="宋体" w:hAnsi="宋体" w:cs="宋体"/>
                <w:sz w:val="22"/>
                <w:szCs w:val="22"/>
              </w:rPr>
            </w:pPr>
            <w:r>
              <w:rPr>
                <w:rFonts w:hint="eastAsia" w:ascii="宋体" w:hAnsi="宋体" w:cs="宋体"/>
                <w:sz w:val="22"/>
                <w:szCs w:val="22"/>
              </w:rPr>
              <w:t>（8）未被列入中国执行信息公开网（http://zxgk.court.gov.cn/shixin/）失信被执行人、“信用中国”网站（www.creditchina.gov.cn）重大税收违法失信主体、“中国政府采购网”（http://www.ccgp.gov.cn/）政府采购严重违法失信行为名单，提供网页查询信息截图（查询时间自本公告发布之日起）；</w:t>
            </w:r>
          </w:p>
          <w:p w14:paraId="7504355B">
            <w:pPr>
              <w:widowControl/>
              <w:spacing w:line="360" w:lineRule="auto"/>
              <w:ind w:firstLine="420"/>
              <w:jc w:val="left"/>
              <w:rPr>
                <w:rFonts w:ascii="宋体" w:hAnsi="宋体" w:cs="宋体"/>
                <w:sz w:val="22"/>
                <w:szCs w:val="22"/>
              </w:rPr>
            </w:pPr>
            <w:r>
              <w:rPr>
                <w:rFonts w:hint="eastAsia" w:ascii="宋体" w:hAnsi="宋体" w:cs="宋体"/>
                <w:sz w:val="22"/>
                <w:szCs w:val="22"/>
                <w:lang w:val="en-US" w:eastAsia="zh-CN"/>
              </w:rPr>
              <w:t>（9）</w:t>
            </w:r>
            <w:r>
              <w:rPr>
                <w:rFonts w:hint="eastAsia" w:ascii="宋体" w:hAnsi="宋体" w:cs="宋体"/>
                <w:sz w:val="22"/>
                <w:szCs w:val="22"/>
              </w:rPr>
              <w:t>单位负责人为同一人或者存在直接控股、管理关系的不同供应商，不得参加同一合同项下的政府采购活动（提供“国家企业信用信息公示系统”http://www.gsxt.gov.cn/index.htm</w:t>
            </w:r>
            <w:r>
              <w:rPr>
                <w:rFonts w:hint="eastAsia" w:ascii="宋体" w:hAnsi="宋体" w:cs="宋体"/>
                <w:sz w:val="22"/>
                <w:szCs w:val="22"/>
                <w:lang w:val="en-US" w:eastAsia="zh-CN"/>
              </w:rPr>
              <w:t>l</w:t>
            </w:r>
            <w:r>
              <w:rPr>
                <w:rFonts w:hint="eastAsia" w:ascii="宋体" w:hAnsi="宋体" w:cs="宋体"/>
                <w:sz w:val="22"/>
                <w:szCs w:val="22"/>
              </w:rPr>
              <w:t>网页查询,需包含公司基本信息、股东信息及股权变更信息内容）；</w:t>
            </w:r>
          </w:p>
          <w:p w14:paraId="635EAE94">
            <w:pPr>
              <w:shd w:val="clear" w:color="auto" w:fill="FFFFFF"/>
              <w:wordWrap w:val="0"/>
              <w:spacing w:line="360" w:lineRule="auto"/>
              <w:ind w:firstLine="440" w:firstLineChars="200"/>
              <w:jc w:val="left"/>
              <w:rPr>
                <w:sz w:val="22"/>
                <w:szCs w:val="28"/>
              </w:rPr>
            </w:pPr>
            <w:r>
              <w:rPr>
                <w:rFonts w:hint="eastAsia" w:ascii="宋体" w:hAnsi="宋体" w:cs="宋体"/>
                <w:sz w:val="22"/>
                <w:szCs w:val="22"/>
                <w:lang w:val="en-US" w:eastAsia="zh-CN"/>
              </w:rPr>
              <w:t>（10）</w:t>
            </w:r>
            <w:r>
              <w:rPr>
                <w:rFonts w:hint="eastAsia" w:ascii="宋体" w:hAnsi="宋体" w:cs="宋体"/>
                <w:sz w:val="22"/>
                <w:szCs w:val="22"/>
              </w:rPr>
              <w:t>本项目实行资格后审</w:t>
            </w:r>
            <w:r>
              <w:rPr>
                <w:rFonts w:hint="eastAsia" w:ascii="宋体" w:hAnsi="宋体" w:cs="宋体"/>
                <w:sz w:val="22"/>
                <w:szCs w:val="22"/>
                <w:lang w:val="en-US" w:eastAsia="zh-CN"/>
              </w:rPr>
              <w:t>（提供资格后审承诺书，格式自拟）</w:t>
            </w:r>
            <w:r>
              <w:rPr>
                <w:rFonts w:hint="eastAsia" w:ascii="宋体" w:hAnsi="宋体" w:cs="宋体"/>
                <w:sz w:val="22"/>
                <w:szCs w:val="22"/>
              </w:rPr>
              <w:t>；</w:t>
            </w:r>
          </w:p>
          <w:p w14:paraId="495106DC">
            <w:pPr>
              <w:shd w:val="clear" w:color="auto" w:fill="FFFFFF"/>
              <w:wordWrap w:val="0"/>
              <w:spacing w:line="360" w:lineRule="auto"/>
              <w:ind w:firstLine="440" w:firstLineChars="200"/>
              <w:jc w:val="left"/>
              <w:rPr>
                <w:rFonts w:ascii="宋体" w:hAnsi="宋体" w:eastAsia="宋体" w:cs="宋体"/>
                <w:sz w:val="22"/>
                <w:szCs w:val="22"/>
              </w:rPr>
            </w:pPr>
            <w:r>
              <w:rPr>
                <w:rFonts w:hint="eastAsia" w:ascii="宋体" w:hAnsi="宋体" w:cs="宋体"/>
                <w:sz w:val="22"/>
                <w:szCs w:val="22"/>
                <w:lang w:val="en-US" w:eastAsia="zh-CN"/>
              </w:rPr>
              <w:t>（11）</w:t>
            </w:r>
            <w:r>
              <w:rPr>
                <w:rFonts w:hint="eastAsia" w:ascii="宋体" w:hAnsi="宋体" w:cs="宋体"/>
                <w:sz w:val="22"/>
                <w:szCs w:val="22"/>
              </w:rPr>
              <w:t>本项目不接受联合体磋商（提供非联合体承诺书，格式自拟）。</w:t>
            </w:r>
          </w:p>
        </w:tc>
      </w:tr>
      <w:tr w14:paraId="33794362">
        <w:tblPrEx>
          <w:tblCellMar>
            <w:top w:w="0" w:type="dxa"/>
            <w:left w:w="108" w:type="dxa"/>
            <w:bottom w:w="0" w:type="dxa"/>
            <w:right w:w="108" w:type="dxa"/>
          </w:tblCellMar>
        </w:tblPrEx>
        <w:trPr>
          <w:trHeight w:val="552" w:hRule="atLeast"/>
        </w:trPr>
        <w:tc>
          <w:tcPr>
            <w:tcW w:w="828" w:type="dxa"/>
            <w:tcBorders>
              <w:top w:val="single" w:color="auto" w:sz="6" w:space="0"/>
              <w:left w:val="single" w:color="auto" w:sz="12" w:space="0"/>
              <w:bottom w:val="single" w:color="auto" w:sz="6" w:space="0"/>
              <w:right w:val="single" w:color="auto" w:sz="6" w:space="0"/>
            </w:tcBorders>
            <w:vAlign w:val="center"/>
          </w:tcPr>
          <w:p w14:paraId="49F7EEAE">
            <w:pPr>
              <w:adjustRightInd w:val="0"/>
              <w:spacing w:line="360" w:lineRule="auto"/>
              <w:jc w:val="center"/>
              <w:rPr>
                <w:rFonts w:ascii="宋体" w:hAnsi="宋体" w:eastAsia="宋体" w:cs="宋体"/>
                <w:spacing w:val="6"/>
                <w:sz w:val="22"/>
                <w:szCs w:val="22"/>
              </w:rPr>
            </w:pPr>
            <w:r>
              <w:rPr>
                <w:rFonts w:ascii="宋体" w:hAnsi="宋体" w:cs="宋体"/>
                <w:spacing w:val="6"/>
                <w:sz w:val="22"/>
                <w:szCs w:val="22"/>
              </w:rPr>
              <w:t>15</w:t>
            </w:r>
          </w:p>
        </w:tc>
        <w:tc>
          <w:tcPr>
            <w:tcW w:w="1611" w:type="dxa"/>
            <w:tcBorders>
              <w:top w:val="single" w:color="auto" w:sz="6" w:space="0"/>
              <w:left w:val="single" w:color="auto" w:sz="6" w:space="0"/>
              <w:bottom w:val="single" w:color="auto" w:sz="6" w:space="0"/>
              <w:right w:val="single" w:color="auto" w:sz="6" w:space="0"/>
            </w:tcBorders>
            <w:vAlign w:val="center"/>
          </w:tcPr>
          <w:p w14:paraId="3B06712C">
            <w:pPr>
              <w:adjustRightInd w:val="0"/>
              <w:spacing w:line="360" w:lineRule="auto"/>
              <w:jc w:val="center"/>
              <w:rPr>
                <w:rFonts w:ascii="宋体" w:hAnsi="宋体" w:cs="宋体"/>
                <w:sz w:val="22"/>
                <w:szCs w:val="22"/>
              </w:rPr>
            </w:pPr>
            <w:r>
              <w:rPr>
                <w:rFonts w:ascii="宋体" w:hAnsi="宋体" w:cs="宋体"/>
                <w:sz w:val="22"/>
                <w:szCs w:val="22"/>
              </w:rPr>
              <w:t>竞争性磋商有效期</w:t>
            </w:r>
          </w:p>
        </w:tc>
        <w:tc>
          <w:tcPr>
            <w:tcW w:w="6565" w:type="dxa"/>
            <w:tcBorders>
              <w:top w:val="single" w:color="auto" w:sz="6" w:space="0"/>
              <w:left w:val="single" w:color="auto" w:sz="6" w:space="0"/>
              <w:bottom w:val="single" w:color="auto" w:sz="6" w:space="0"/>
              <w:right w:val="single" w:color="auto" w:sz="12" w:space="0"/>
            </w:tcBorders>
            <w:vAlign w:val="center"/>
          </w:tcPr>
          <w:p w14:paraId="5B742EDE">
            <w:pPr>
              <w:adjustRightInd w:val="0"/>
              <w:spacing w:line="360" w:lineRule="auto"/>
              <w:rPr>
                <w:rFonts w:ascii="宋体" w:hAnsi="宋体" w:cs="宋体"/>
                <w:sz w:val="22"/>
                <w:szCs w:val="22"/>
              </w:rPr>
            </w:pPr>
            <w:r>
              <w:rPr>
                <w:rFonts w:ascii="宋体" w:hAnsi="宋体" w:cs="宋体"/>
                <w:sz w:val="22"/>
                <w:szCs w:val="22"/>
              </w:rPr>
              <w:t>60日历天(</w:t>
            </w:r>
            <w:r>
              <w:rPr>
                <w:rFonts w:hint="eastAsia" w:ascii="宋体" w:hAnsi="宋体" w:cs="宋体"/>
                <w:sz w:val="22"/>
                <w:szCs w:val="22"/>
              </w:rPr>
              <w:t>指本次采购项目递交响应性文件截止之日起</w:t>
            </w:r>
            <w:r>
              <w:rPr>
                <w:rFonts w:ascii="宋体" w:hAnsi="宋体" w:cs="宋体"/>
                <w:sz w:val="22"/>
                <w:szCs w:val="22"/>
              </w:rPr>
              <w:t>)</w:t>
            </w:r>
          </w:p>
        </w:tc>
      </w:tr>
      <w:tr w14:paraId="73D7A7D8">
        <w:tblPrEx>
          <w:tblCellMar>
            <w:top w:w="0" w:type="dxa"/>
            <w:left w:w="108" w:type="dxa"/>
            <w:bottom w:w="0" w:type="dxa"/>
            <w:right w:w="108" w:type="dxa"/>
          </w:tblCellMar>
        </w:tblPrEx>
        <w:trPr>
          <w:trHeight w:val="901" w:hRule="atLeast"/>
        </w:trPr>
        <w:tc>
          <w:tcPr>
            <w:tcW w:w="828" w:type="dxa"/>
            <w:tcBorders>
              <w:top w:val="single" w:color="auto" w:sz="6" w:space="0"/>
              <w:left w:val="single" w:color="auto" w:sz="12" w:space="0"/>
              <w:bottom w:val="single" w:color="auto" w:sz="6" w:space="0"/>
              <w:right w:val="single" w:color="auto" w:sz="6" w:space="0"/>
            </w:tcBorders>
            <w:vAlign w:val="center"/>
          </w:tcPr>
          <w:p w14:paraId="54CA7732">
            <w:pPr>
              <w:adjustRightInd w:val="0"/>
              <w:spacing w:line="360" w:lineRule="auto"/>
              <w:jc w:val="center"/>
              <w:rPr>
                <w:rFonts w:ascii="宋体" w:hAnsi="宋体" w:eastAsia="宋体" w:cs="宋体"/>
                <w:spacing w:val="6"/>
                <w:sz w:val="22"/>
                <w:szCs w:val="22"/>
              </w:rPr>
            </w:pPr>
            <w:r>
              <w:rPr>
                <w:rFonts w:ascii="宋体" w:hAnsi="宋体" w:cs="宋体"/>
                <w:spacing w:val="6"/>
                <w:sz w:val="22"/>
                <w:szCs w:val="22"/>
              </w:rPr>
              <w:t>16</w:t>
            </w:r>
          </w:p>
        </w:tc>
        <w:tc>
          <w:tcPr>
            <w:tcW w:w="1611" w:type="dxa"/>
            <w:tcBorders>
              <w:top w:val="single" w:color="auto" w:sz="6" w:space="0"/>
              <w:left w:val="single" w:color="auto" w:sz="6" w:space="0"/>
              <w:bottom w:val="single" w:color="auto" w:sz="6" w:space="0"/>
              <w:right w:val="single" w:color="auto" w:sz="6" w:space="0"/>
            </w:tcBorders>
            <w:vAlign w:val="center"/>
          </w:tcPr>
          <w:p w14:paraId="1D28416D">
            <w:pPr>
              <w:adjustRightInd w:val="0"/>
              <w:spacing w:line="360" w:lineRule="auto"/>
              <w:jc w:val="center"/>
              <w:rPr>
                <w:rFonts w:ascii="宋体" w:hAnsi="宋体" w:cs="宋体"/>
                <w:sz w:val="22"/>
                <w:szCs w:val="22"/>
              </w:rPr>
            </w:pPr>
            <w:r>
              <w:rPr>
                <w:rFonts w:hint="eastAsia" w:ascii="宋体" w:hAnsi="宋体" w:cs="宋体"/>
                <w:sz w:val="22"/>
                <w:szCs w:val="22"/>
              </w:rPr>
              <w:t>磋商</w:t>
            </w:r>
            <w:r>
              <w:rPr>
                <w:rFonts w:ascii="宋体" w:hAnsi="宋体" w:cs="宋体"/>
                <w:sz w:val="22"/>
                <w:szCs w:val="22"/>
              </w:rPr>
              <w:t>保证金</w:t>
            </w:r>
          </w:p>
        </w:tc>
        <w:tc>
          <w:tcPr>
            <w:tcW w:w="6565" w:type="dxa"/>
            <w:tcBorders>
              <w:top w:val="single" w:color="auto" w:sz="6" w:space="0"/>
              <w:left w:val="single" w:color="auto" w:sz="6" w:space="0"/>
              <w:bottom w:val="single" w:color="auto" w:sz="6" w:space="0"/>
              <w:right w:val="single" w:color="auto" w:sz="12" w:space="0"/>
            </w:tcBorders>
            <w:vAlign w:val="center"/>
          </w:tcPr>
          <w:p w14:paraId="280C5B6B">
            <w:pPr>
              <w:adjustRightInd w:val="0"/>
              <w:spacing w:line="360" w:lineRule="auto"/>
              <w:rPr>
                <w:rFonts w:ascii="宋体" w:hAnsi="宋体" w:cs="宋体"/>
                <w:sz w:val="22"/>
                <w:szCs w:val="22"/>
              </w:rPr>
            </w:pPr>
            <w:r>
              <w:rPr>
                <w:rFonts w:hint="eastAsia" w:ascii="宋体" w:hAnsi="宋体" w:cs="宋体"/>
                <w:sz w:val="22"/>
                <w:szCs w:val="22"/>
              </w:rPr>
              <w:t>按照《河南省财政厅关于优化政府采购营商环境有关问题的通知》（豫财购[2019]4号文）的要求本项目不再收取磋商保证金</w:t>
            </w:r>
          </w:p>
        </w:tc>
      </w:tr>
      <w:tr w14:paraId="1A98AE94">
        <w:tblPrEx>
          <w:tblCellMar>
            <w:top w:w="0" w:type="dxa"/>
            <w:left w:w="108" w:type="dxa"/>
            <w:bottom w:w="0" w:type="dxa"/>
            <w:right w:w="108" w:type="dxa"/>
          </w:tblCellMar>
        </w:tblPrEx>
        <w:trPr>
          <w:trHeight w:val="901" w:hRule="atLeast"/>
        </w:trPr>
        <w:tc>
          <w:tcPr>
            <w:tcW w:w="828" w:type="dxa"/>
            <w:tcBorders>
              <w:top w:val="single" w:color="auto" w:sz="6" w:space="0"/>
              <w:left w:val="single" w:color="auto" w:sz="12" w:space="0"/>
              <w:bottom w:val="single" w:color="auto" w:sz="6" w:space="0"/>
              <w:right w:val="single" w:color="auto" w:sz="6" w:space="0"/>
            </w:tcBorders>
            <w:vAlign w:val="center"/>
          </w:tcPr>
          <w:p w14:paraId="034F584F">
            <w:pPr>
              <w:adjustRightInd w:val="0"/>
              <w:spacing w:line="360" w:lineRule="auto"/>
              <w:jc w:val="center"/>
              <w:rPr>
                <w:rFonts w:ascii="宋体" w:hAnsi="宋体" w:cs="宋体"/>
                <w:spacing w:val="6"/>
                <w:sz w:val="22"/>
                <w:szCs w:val="22"/>
              </w:rPr>
            </w:pPr>
            <w:r>
              <w:rPr>
                <w:rFonts w:hint="eastAsia" w:ascii="宋体" w:hAnsi="宋体" w:cs="宋体"/>
                <w:spacing w:val="6"/>
                <w:sz w:val="22"/>
                <w:szCs w:val="22"/>
              </w:rPr>
              <w:t>17</w:t>
            </w:r>
          </w:p>
        </w:tc>
        <w:tc>
          <w:tcPr>
            <w:tcW w:w="1611" w:type="dxa"/>
            <w:tcBorders>
              <w:top w:val="single" w:color="auto" w:sz="6" w:space="0"/>
              <w:left w:val="single" w:color="auto" w:sz="6" w:space="0"/>
              <w:bottom w:val="single" w:color="auto" w:sz="6" w:space="0"/>
              <w:right w:val="single" w:color="auto" w:sz="6" w:space="0"/>
            </w:tcBorders>
            <w:vAlign w:val="center"/>
          </w:tcPr>
          <w:p w14:paraId="27A88824">
            <w:pPr>
              <w:adjustRightInd w:val="0"/>
              <w:spacing w:line="360" w:lineRule="auto"/>
              <w:jc w:val="center"/>
              <w:rPr>
                <w:rFonts w:ascii="宋体" w:hAnsi="宋体" w:cs="宋体"/>
                <w:sz w:val="22"/>
                <w:szCs w:val="22"/>
              </w:rPr>
            </w:pPr>
            <w:r>
              <w:rPr>
                <w:rFonts w:hint="eastAsia" w:ascii="宋体" w:hAnsi="宋体"/>
                <w:sz w:val="22"/>
                <w:szCs w:val="22"/>
              </w:rPr>
              <w:t>履约保证金</w:t>
            </w:r>
          </w:p>
        </w:tc>
        <w:tc>
          <w:tcPr>
            <w:tcW w:w="6565" w:type="dxa"/>
            <w:tcBorders>
              <w:top w:val="single" w:color="auto" w:sz="6" w:space="0"/>
              <w:left w:val="single" w:color="auto" w:sz="6" w:space="0"/>
              <w:bottom w:val="single" w:color="auto" w:sz="6" w:space="0"/>
              <w:right w:val="single" w:color="auto" w:sz="12" w:space="0"/>
            </w:tcBorders>
            <w:vAlign w:val="center"/>
          </w:tcPr>
          <w:p w14:paraId="43940B0D">
            <w:pPr>
              <w:adjustRightInd w:val="0"/>
              <w:spacing w:line="360" w:lineRule="auto"/>
              <w:rPr>
                <w:rFonts w:hint="eastAsia" w:ascii="宋体" w:hAnsi="宋体" w:cs="宋体" w:eastAsiaTheme="minorEastAsia"/>
                <w:sz w:val="22"/>
                <w:szCs w:val="22"/>
                <w:lang w:eastAsia="zh-CN"/>
              </w:rPr>
            </w:pPr>
            <w:r>
              <w:rPr>
                <w:rFonts w:hint="eastAsia" w:ascii="宋体" w:hAnsi="宋体"/>
                <w:kern w:val="0"/>
                <w:sz w:val="22"/>
                <w:szCs w:val="22"/>
                <w:highlight w:val="none"/>
                <w:lang w:val="en-US" w:eastAsia="zh-CN"/>
              </w:rPr>
              <w:t>不收取</w:t>
            </w:r>
          </w:p>
        </w:tc>
      </w:tr>
      <w:tr w14:paraId="4A5DC897">
        <w:tblPrEx>
          <w:tblCellMar>
            <w:top w:w="0" w:type="dxa"/>
            <w:left w:w="108" w:type="dxa"/>
            <w:bottom w:w="0" w:type="dxa"/>
            <w:right w:w="108" w:type="dxa"/>
          </w:tblCellMar>
        </w:tblPrEx>
        <w:trPr>
          <w:trHeight w:val="615" w:hRule="atLeast"/>
        </w:trPr>
        <w:tc>
          <w:tcPr>
            <w:tcW w:w="828" w:type="dxa"/>
            <w:tcBorders>
              <w:top w:val="single" w:color="auto" w:sz="6" w:space="0"/>
              <w:left w:val="single" w:color="auto" w:sz="12" w:space="0"/>
              <w:bottom w:val="single" w:color="auto" w:sz="6" w:space="0"/>
              <w:right w:val="single" w:color="auto" w:sz="6" w:space="0"/>
            </w:tcBorders>
            <w:vAlign w:val="center"/>
          </w:tcPr>
          <w:p w14:paraId="26B848D9">
            <w:pPr>
              <w:adjustRightInd w:val="0"/>
              <w:spacing w:line="360" w:lineRule="auto"/>
              <w:jc w:val="center"/>
              <w:rPr>
                <w:rFonts w:ascii="宋体" w:hAnsi="宋体" w:cs="宋体"/>
                <w:spacing w:val="6"/>
                <w:sz w:val="22"/>
                <w:szCs w:val="22"/>
              </w:rPr>
            </w:pPr>
            <w:r>
              <w:rPr>
                <w:rFonts w:ascii="宋体" w:hAnsi="宋体" w:cs="宋体"/>
                <w:spacing w:val="6"/>
                <w:sz w:val="22"/>
                <w:szCs w:val="22"/>
              </w:rPr>
              <w:t>1</w:t>
            </w:r>
            <w:r>
              <w:rPr>
                <w:rFonts w:hint="eastAsia" w:ascii="宋体" w:hAnsi="宋体" w:cs="宋体"/>
                <w:spacing w:val="6"/>
                <w:sz w:val="22"/>
                <w:szCs w:val="22"/>
              </w:rPr>
              <w:t>8</w:t>
            </w:r>
          </w:p>
        </w:tc>
        <w:tc>
          <w:tcPr>
            <w:tcW w:w="1611" w:type="dxa"/>
            <w:tcBorders>
              <w:top w:val="single" w:color="auto" w:sz="6" w:space="0"/>
              <w:left w:val="single" w:color="auto" w:sz="6" w:space="0"/>
              <w:bottom w:val="single" w:color="auto" w:sz="6" w:space="0"/>
              <w:right w:val="single" w:color="auto" w:sz="6" w:space="0"/>
            </w:tcBorders>
            <w:vAlign w:val="center"/>
          </w:tcPr>
          <w:p w14:paraId="6398DA26">
            <w:pPr>
              <w:adjustRightInd w:val="0"/>
              <w:spacing w:line="360" w:lineRule="auto"/>
              <w:jc w:val="center"/>
              <w:rPr>
                <w:rFonts w:ascii="宋体" w:hAnsi="宋体" w:cs="宋体"/>
                <w:sz w:val="22"/>
                <w:szCs w:val="22"/>
              </w:rPr>
            </w:pPr>
            <w:r>
              <w:rPr>
                <w:rFonts w:hint="eastAsia" w:ascii="宋体" w:hAnsi="宋体" w:cs="宋体"/>
                <w:sz w:val="22"/>
                <w:szCs w:val="22"/>
              </w:rPr>
              <w:t>是否接受联合体磋商</w:t>
            </w:r>
          </w:p>
        </w:tc>
        <w:tc>
          <w:tcPr>
            <w:tcW w:w="6565" w:type="dxa"/>
            <w:tcBorders>
              <w:top w:val="single" w:color="auto" w:sz="6" w:space="0"/>
              <w:left w:val="single" w:color="auto" w:sz="6" w:space="0"/>
              <w:bottom w:val="single" w:color="auto" w:sz="6" w:space="0"/>
              <w:right w:val="single" w:color="auto" w:sz="12" w:space="0"/>
            </w:tcBorders>
            <w:vAlign w:val="center"/>
          </w:tcPr>
          <w:p w14:paraId="71A71699">
            <w:pPr>
              <w:adjustRightInd w:val="0"/>
              <w:spacing w:line="360" w:lineRule="auto"/>
              <w:rPr>
                <w:rFonts w:ascii="宋体" w:hAnsi="宋体" w:cs="宋体"/>
                <w:sz w:val="22"/>
                <w:szCs w:val="22"/>
              </w:rPr>
            </w:pPr>
            <w:r>
              <w:rPr>
                <w:rFonts w:hint="eastAsia" w:ascii="宋体" w:hAnsi="宋体" w:cs="宋体"/>
                <w:sz w:val="22"/>
                <w:szCs w:val="22"/>
              </w:rPr>
              <w:t>不接受</w:t>
            </w:r>
          </w:p>
        </w:tc>
      </w:tr>
      <w:tr w14:paraId="6D905A0E">
        <w:tblPrEx>
          <w:tblCellMar>
            <w:top w:w="0" w:type="dxa"/>
            <w:left w:w="108" w:type="dxa"/>
            <w:bottom w:w="0" w:type="dxa"/>
            <w:right w:w="108" w:type="dxa"/>
          </w:tblCellMar>
        </w:tblPrEx>
        <w:trPr>
          <w:trHeight w:val="1021" w:hRule="atLeast"/>
        </w:trPr>
        <w:tc>
          <w:tcPr>
            <w:tcW w:w="828" w:type="dxa"/>
            <w:tcBorders>
              <w:top w:val="single" w:color="auto" w:sz="6" w:space="0"/>
              <w:left w:val="single" w:color="auto" w:sz="12" w:space="0"/>
              <w:bottom w:val="single" w:color="auto" w:sz="6" w:space="0"/>
              <w:right w:val="single" w:color="auto" w:sz="6" w:space="0"/>
            </w:tcBorders>
            <w:vAlign w:val="center"/>
          </w:tcPr>
          <w:p w14:paraId="5660DD6E">
            <w:pPr>
              <w:adjustRightInd w:val="0"/>
              <w:spacing w:line="360" w:lineRule="auto"/>
              <w:jc w:val="center"/>
              <w:rPr>
                <w:rFonts w:ascii="宋体" w:hAnsi="宋体" w:cs="宋体"/>
                <w:spacing w:val="6"/>
                <w:sz w:val="22"/>
                <w:szCs w:val="22"/>
              </w:rPr>
            </w:pPr>
            <w:r>
              <w:rPr>
                <w:rFonts w:hint="eastAsia" w:ascii="宋体" w:hAnsi="宋体" w:cs="宋体"/>
                <w:spacing w:val="6"/>
                <w:sz w:val="22"/>
                <w:szCs w:val="22"/>
              </w:rPr>
              <w:t>19</w:t>
            </w:r>
          </w:p>
        </w:tc>
        <w:tc>
          <w:tcPr>
            <w:tcW w:w="1611" w:type="dxa"/>
            <w:tcBorders>
              <w:top w:val="single" w:color="auto" w:sz="6" w:space="0"/>
              <w:left w:val="single" w:color="auto" w:sz="6" w:space="0"/>
              <w:bottom w:val="single" w:color="auto" w:sz="6" w:space="0"/>
              <w:right w:val="single" w:color="auto" w:sz="6" w:space="0"/>
            </w:tcBorders>
            <w:vAlign w:val="center"/>
          </w:tcPr>
          <w:p w14:paraId="53AF7B96">
            <w:pPr>
              <w:adjustRightInd w:val="0"/>
              <w:spacing w:line="360" w:lineRule="auto"/>
              <w:jc w:val="center"/>
              <w:rPr>
                <w:rFonts w:ascii="宋体" w:hAnsi="宋体" w:cs="宋体"/>
                <w:sz w:val="22"/>
                <w:szCs w:val="22"/>
              </w:rPr>
            </w:pPr>
            <w:r>
              <w:rPr>
                <w:rFonts w:ascii="宋体" w:hAnsi="宋体" w:cs="宋体"/>
                <w:sz w:val="22"/>
                <w:szCs w:val="22"/>
              </w:rPr>
              <w:t>磋商小组的组建</w:t>
            </w:r>
          </w:p>
        </w:tc>
        <w:tc>
          <w:tcPr>
            <w:tcW w:w="6565" w:type="dxa"/>
            <w:tcBorders>
              <w:top w:val="single" w:color="auto" w:sz="6" w:space="0"/>
              <w:left w:val="single" w:color="auto" w:sz="6" w:space="0"/>
              <w:bottom w:val="single" w:color="auto" w:sz="6" w:space="0"/>
              <w:right w:val="single" w:color="auto" w:sz="12" w:space="0"/>
            </w:tcBorders>
            <w:vAlign w:val="center"/>
          </w:tcPr>
          <w:p w14:paraId="55516EDD">
            <w:pPr>
              <w:adjustRightInd w:val="0"/>
              <w:spacing w:line="360" w:lineRule="auto"/>
              <w:rPr>
                <w:rFonts w:ascii="宋体" w:hAnsi="宋体" w:cs="宋体"/>
                <w:sz w:val="22"/>
                <w:szCs w:val="22"/>
              </w:rPr>
            </w:pPr>
            <w:r>
              <w:rPr>
                <w:rFonts w:hint="eastAsia" w:ascii="宋体" w:hAnsi="宋体" w:cs="宋体"/>
                <w:sz w:val="22"/>
                <w:szCs w:val="22"/>
              </w:rPr>
              <w:t>磋商小组构成：由采购人代表及相关专业</w:t>
            </w:r>
            <w:r>
              <w:rPr>
                <w:rFonts w:hint="eastAsia" w:ascii="宋体" w:hAnsi="宋体" w:cs="宋体"/>
                <w:sz w:val="22"/>
                <w:szCs w:val="22"/>
                <w:lang w:val="en-US" w:eastAsia="zh-CN"/>
              </w:rPr>
              <w:t>经济、技术</w:t>
            </w:r>
            <w:r>
              <w:rPr>
                <w:rFonts w:hint="eastAsia" w:ascii="宋体" w:hAnsi="宋体" w:cs="宋体"/>
                <w:sz w:val="22"/>
                <w:szCs w:val="22"/>
              </w:rPr>
              <w:t>专家共 3 人组成，其中采购人代表 1 人，相关专业</w:t>
            </w:r>
            <w:r>
              <w:rPr>
                <w:rFonts w:hint="eastAsia" w:ascii="宋体" w:hAnsi="宋体" w:cs="宋体"/>
                <w:sz w:val="22"/>
                <w:szCs w:val="22"/>
                <w:lang w:val="en-US" w:eastAsia="zh-CN"/>
              </w:rPr>
              <w:t>经济、技术</w:t>
            </w:r>
            <w:r>
              <w:rPr>
                <w:rFonts w:hint="eastAsia" w:ascii="宋体" w:hAnsi="宋体" w:cs="宋体"/>
                <w:sz w:val="22"/>
                <w:szCs w:val="22"/>
              </w:rPr>
              <w:t>专家 2 人</w:t>
            </w:r>
            <w:r>
              <w:rPr>
                <w:rFonts w:hint="eastAsia" w:ascii="宋体" w:hAnsi="宋体" w:cs="宋体"/>
                <w:sz w:val="22"/>
                <w:szCs w:val="22"/>
                <w:lang w:eastAsia="zh-CN"/>
              </w:rPr>
              <w:t>，</w:t>
            </w:r>
            <w:r>
              <w:rPr>
                <w:rFonts w:hint="eastAsia" w:ascii="宋体" w:hAnsi="宋体" w:cs="宋体"/>
                <w:sz w:val="22"/>
                <w:szCs w:val="22"/>
              </w:rPr>
              <w:t>开标后从河南省财政厅综合评标专家库中随机抽取</w:t>
            </w:r>
          </w:p>
        </w:tc>
      </w:tr>
      <w:tr w14:paraId="2040A55A">
        <w:tblPrEx>
          <w:tblCellMar>
            <w:top w:w="0" w:type="dxa"/>
            <w:left w:w="108" w:type="dxa"/>
            <w:bottom w:w="0" w:type="dxa"/>
            <w:right w:w="108" w:type="dxa"/>
          </w:tblCellMar>
        </w:tblPrEx>
        <w:trPr>
          <w:trHeight w:val="615" w:hRule="atLeast"/>
        </w:trPr>
        <w:tc>
          <w:tcPr>
            <w:tcW w:w="828" w:type="dxa"/>
            <w:tcBorders>
              <w:top w:val="single" w:color="auto" w:sz="6" w:space="0"/>
              <w:left w:val="single" w:color="auto" w:sz="12" w:space="0"/>
              <w:bottom w:val="single" w:color="auto" w:sz="6" w:space="0"/>
              <w:right w:val="single" w:color="auto" w:sz="6" w:space="0"/>
            </w:tcBorders>
            <w:vAlign w:val="center"/>
          </w:tcPr>
          <w:p w14:paraId="1B47B092">
            <w:pPr>
              <w:adjustRightInd w:val="0"/>
              <w:spacing w:line="360" w:lineRule="auto"/>
              <w:jc w:val="center"/>
              <w:rPr>
                <w:rFonts w:ascii="宋体" w:hAnsi="宋体" w:eastAsia="宋体" w:cs="宋体"/>
                <w:spacing w:val="6"/>
                <w:sz w:val="22"/>
                <w:szCs w:val="22"/>
              </w:rPr>
            </w:pPr>
            <w:r>
              <w:rPr>
                <w:rFonts w:hint="eastAsia" w:ascii="宋体" w:hAnsi="宋体" w:eastAsia="宋体" w:cs="宋体"/>
                <w:spacing w:val="6"/>
                <w:sz w:val="22"/>
                <w:szCs w:val="22"/>
              </w:rPr>
              <w:t>20</w:t>
            </w:r>
          </w:p>
        </w:tc>
        <w:tc>
          <w:tcPr>
            <w:tcW w:w="1611" w:type="dxa"/>
            <w:tcBorders>
              <w:top w:val="single" w:color="auto" w:sz="6" w:space="0"/>
              <w:left w:val="single" w:color="auto" w:sz="6" w:space="0"/>
              <w:bottom w:val="single" w:color="auto" w:sz="6" w:space="0"/>
              <w:right w:val="single" w:color="auto" w:sz="6" w:space="0"/>
            </w:tcBorders>
            <w:vAlign w:val="center"/>
          </w:tcPr>
          <w:p w14:paraId="5777DD51">
            <w:pPr>
              <w:adjustRightInd w:val="0"/>
              <w:spacing w:line="360" w:lineRule="auto"/>
              <w:jc w:val="center"/>
              <w:rPr>
                <w:rFonts w:ascii="宋体" w:hAnsi="宋体" w:cs="宋体"/>
                <w:sz w:val="22"/>
                <w:szCs w:val="22"/>
              </w:rPr>
            </w:pPr>
            <w:r>
              <w:rPr>
                <w:rFonts w:ascii="宋体" w:hAnsi="宋体" w:cs="宋体"/>
                <w:sz w:val="22"/>
                <w:szCs w:val="22"/>
              </w:rPr>
              <w:t>评标标准及方法</w:t>
            </w:r>
          </w:p>
        </w:tc>
        <w:tc>
          <w:tcPr>
            <w:tcW w:w="6565" w:type="dxa"/>
            <w:tcBorders>
              <w:top w:val="single" w:color="auto" w:sz="6" w:space="0"/>
              <w:left w:val="single" w:color="auto" w:sz="6" w:space="0"/>
              <w:bottom w:val="single" w:color="auto" w:sz="6" w:space="0"/>
              <w:right w:val="single" w:color="auto" w:sz="12" w:space="0"/>
            </w:tcBorders>
            <w:vAlign w:val="center"/>
          </w:tcPr>
          <w:p w14:paraId="49CE1F04">
            <w:pPr>
              <w:adjustRightInd w:val="0"/>
              <w:spacing w:line="360" w:lineRule="auto"/>
              <w:rPr>
                <w:rFonts w:ascii="宋体" w:hAnsi="宋体" w:cs="宋体"/>
                <w:sz w:val="22"/>
                <w:szCs w:val="22"/>
              </w:rPr>
            </w:pPr>
            <w:r>
              <w:rPr>
                <w:rFonts w:ascii="宋体" w:hAnsi="宋体" w:cs="宋体"/>
                <w:sz w:val="22"/>
                <w:szCs w:val="22"/>
              </w:rPr>
              <w:t>评定办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tc>
      </w:tr>
      <w:tr w14:paraId="3570B6A1">
        <w:tblPrEx>
          <w:tblCellMar>
            <w:top w:w="0" w:type="dxa"/>
            <w:left w:w="108" w:type="dxa"/>
            <w:bottom w:w="0" w:type="dxa"/>
            <w:right w:w="108" w:type="dxa"/>
          </w:tblCellMar>
        </w:tblPrEx>
        <w:trPr>
          <w:trHeight w:val="489" w:hRule="atLeast"/>
        </w:trPr>
        <w:tc>
          <w:tcPr>
            <w:tcW w:w="828" w:type="dxa"/>
            <w:tcBorders>
              <w:top w:val="single" w:color="auto" w:sz="6" w:space="0"/>
              <w:left w:val="single" w:color="auto" w:sz="12" w:space="0"/>
              <w:bottom w:val="single" w:color="auto" w:sz="6" w:space="0"/>
              <w:right w:val="single" w:color="auto" w:sz="6" w:space="0"/>
            </w:tcBorders>
            <w:vAlign w:val="center"/>
          </w:tcPr>
          <w:p w14:paraId="41EE3CAD">
            <w:pPr>
              <w:adjustRightInd w:val="0"/>
              <w:spacing w:line="360" w:lineRule="auto"/>
              <w:jc w:val="center"/>
              <w:rPr>
                <w:rFonts w:ascii="宋体" w:hAnsi="宋体" w:cs="宋体"/>
                <w:spacing w:val="6"/>
                <w:sz w:val="22"/>
                <w:szCs w:val="22"/>
              </w:rPr>
            </w:pPr>
            <w:r>
              <w:rPr>
                <w:rFonts w:hint="eastAsia" w:ascii="宋体" w:hAnsi="宋体" w:cs="宋体"/>
                <w:spacing w:val="6"/>
                <w:sz w:val="22"/>
                <w:szCs w:val="22"/>
              </w:rPr>
              <w:t>21</w:t>
            </w:r>
          </w:p>
        </w:tc>
        <w:tc>
          <w:tcPr>
            <w:tcW w:w="1611" w:type="dxa"/>
            <w:tcBorders>
              <w:top w:val="single" w:color="auto" w:sz="6" w:space="0"/>
              <w:left w:val="single" w:color="auto" w:sz="6" w:space="0"/>
              <w:bottom w:val="single" w:color="auto" w:sz="6" w:space="0"/>
              <w:right w:val="single" w:color="auto" w:sz="6" w:space="0"/>
            </w:tcBorders>
            <w:shd w:val="clear" w:color="auto" w:fill="auto"/>
            <w:vAlign w:val="center"/>
          </w:tcPr>
          <w:p w14:paraId="3B650DAE">
            <w:pPr>
              <w:adjustRightInd w:val="0"/>
              <w:spacing w:line="360" w:lineRule="auto"/>
              <w:jc w:val="center"/>
              <w:rPr>
                <w:rFonts w:ascii="宋体" w:hAnsi="宋体" w:cs="宋体"/>
                <w:spacing w:val="6"/>
                <w:sz w:val="22"/>
                <w:szCs w:val="22"/>
              </w:rPr>
            </w:pPr>
            <w:r>
              <w:rPr>
                <w:rFonts w:hint="eastAsia" w:ascii="宋体" w:hAnsi="宋体" w:cs="宋体"/>
                <w:spacing w:val="6"/>
                <w:sz w:val="22"/>
                <w:szCs w:val="22"/>
              </w:rPr>
              <w:t>分包</w:t>
            </w:r>
          </w:p>
        </w:tc>
        <w:tc>
          <w:tcPr>
            <w:tcW w:w="6565" w:type="dxa"/>
            <w:tcBorders>
              <w:top w:val="single" w:color="auto" w:sz="6" w:space="0"/>
              <w:left w:val="single" w:color="auto" w:sz="6" w:space="0"/>
              <w:bottom w:val="single" w:color="auto" w:sz="6" w:space="0"/>
              <w:right w:val="single" w:color="auto" w:sz="12" w:space="0"/>
            </w:tcBorders>
            <w:shd w:val="clear" w:color="auto" w:fill="auto"/>
            <w:vAlign w:val="center"/>
          </w:tcPr>
          <w:p w14:paraId="3F7EAF43">
            <w:pPr>
              <w:adjustRightInd w:val="0"/>
              <w:spacing w:line="360" w:lineRule="auto"/>
              <w:jc w:val="left"/>
              <w:rPr>
                <w:rFonts w:ascii="宋体" w:hAnsi="宋体" w:cs="宋体"/>
                <w:spacing w:val="6"/>
                <w:sz w:val="22"/>
                <w:szCs w:val="22"/>
              </w:rPr>
            </w:pPr>
            <w:r>
              <w:rPr>
                <w:rFonts w:hint="eastAsia" w:ascii="宋体" w:hAnsi="宋体" w:cs="宋体"/>
                <w:spacing w:val="6"/>
                <w:sz w:val="22"/>
                <w:szCs w:val="22"/>
              </w:rPr>
              <w:t>不允许（转包、分包均不允许）</w:t>
            </w:r>
          </w:p>
        </w:tc>
      </w:tr>
      <w:tr w14:paraId="2A6DF007">
        <w:tblPrEx>
          <w:tblCellMar>
            <w:top w:w="0" w:type="dxa"/>
            <w:left w:w="108" w:type="dxa"/>
            <w:bottom w:w="0" w:type="dxa"/>
            <w:right w:w="108" w:type="dxa"/>
          </w:tblCellMar>
        </w:tblPrEx>
        <w:trPr>
          <w:trHeight w:val="90" w:hRule="atLeast"/>
        </w:trPr>
        <w:tc>
          <w:tcPr>
            <w:tcW w:w="828" w:type="dxa"/>
            <w:tcBorders>
              <w:top w:val="single" w:color="auto" w:sz="6" w:space="0"/>
              <w:left w:val="single" w:color="auto" w:sz="12" w:space="0"/>
              <w:bottom w:val="single" w:color="auto" w:sz="6" w:space="0"/>
              <w:right w:val="single" w:color="auto" w:sz="6" w:space="0"/>
            </w:tcBorders>
            <w:vAlign w:val="center"/>
          </w:tcPr>
          <w:p w14:paraId="414A8787">
            <w:pPr>
              <w:adjustRightInd w:val="0"/>
              <w:spacing w:line="360" w:lineRule="auto"/>
              <w:jc w:val="center"/>
              <w:rPr>
                <w:rFonts w:ascii="宋体" w:hAnsi="宋体" w:cs="宋体"/>
                <w:spacing w:val="6"/>
                <w:sz w:val="22"/>
                <w:szCs w:val="22"/>
              </w:rPr>
            </w:pPr>
            <w:r>
              <w:rPr>
                <w:rFonts w:hint="eastAsia" w:ascii="宋体" w:hAnsi="宋体" w:cs="宋体"/>
                <w:spacing w:val="6"/>
                <w:sz w:val="22"/>
                <w:szCs w:val="22"/>
              </w:rPr>
              <w:t>22</w:t>
            </w:r>
          </w:p>
        </w:tc>
        <w:tc>
          <w:tcPr>
            <w:tcW w:w="1611" w:type="dxa"/>
            <w:tcBorders>
              <w:top w:val="single" w:color="auto" w:sz="6" w:space="0"/>
              <w:left w:val="single" w:color="auto" w:sz="6" w:space="0"/>
              <w:bottom w:val="single" w:color="auto" w:sz="6" w:space="0"/>
              <w:right w:val="single" w:color="auto" w:sz="6" w:space="0"/>
            </w:tcBorders>
            <w:vAlign w:val="center"/>
          </w:tcPr>
          <w:p w14:paraId="7B107A39">
            <w:pPr>
              <w:adjustRightInd w:val="0"/>
              <w:spacing w:line="360" w:lineRule="auto"/>
              <w:jc w:val="center"/>
              <w:rPr>
                <w:rFonts w:ascii="宋体" w:hAnsi="宋体" w:cs="宋体"/>
                <w:sz w:val="22"/>
                <w:szCs w:val="22"/>
              </w:rPr>
            </w:pPr>
            <w:r>
              <w:rPr>
                <w:rFonts w:hint="eastAsia" w:ascii="宋体" w:hAnsi="宋体" w:cs="宋体"/>
                <w:sz w:val="22"/>
                <w:szCs w:val="22"/>
              </w:rPr>
              <w:t>政府采购服务费</w:t>
            </w:r>
          </w:p>
        </w:tc>
        <w:tc>
          <w:tcPr>
            <w:tcW w:w="6565" w:type="dxa"/>
            <w:tcBorders>
              <w:top w:val="single" w:color="auto" w:sz="6" w:space="0"/>
              <w:left w:val="single" w:color="auto" w:sz="6" w:space="0"/>
              <w:bottom w:val="single" w:color="auto" w:sz="6" w:space="0"/>
              <w:right w:val="single" w:color="auto" w:sz="12" w:space="0"/>
            </w:tcBorders>
            <w:vAlign w:val="center"/>
          </w:tcPr>
          <w:p w14:paraId="3E9832C3">
            <w:pPr>
              <w:widowControl/>
              <w:spacing w:line="440" w:lineRule="exact"/>
              <w:jc w:val="left"/>
              <w:rPr>
                <w:rFonts w:hint="eastAsia" w:ascii="宋体" w:hAnsi="宋体" w:cs="宋体"/>
                <w:kern w:val="0"/>
                <w:sz w:val="22"/>
                <w:szCs w:val="21"/>
                <w:lang w:val="en-US" w:eastAsia="zh-CN"/>
              </w:rPr>
            </w:pPr>
            <w:r>
              <w:rPr>
                <w:rFonts w:hint="eastAsia" w:ascii="宋体" w:hAnsi="宋体" w:cs="宋体"/>
                <w:kern w:val="0"/>
                <w:sz w:val="22"/>
                <w:szCs w:val="21"/>
                <w:lang w:val="en-US" w:eastAsia="zh-CN"/>
              </w:rPr>
              <w:t>磋商</w:t>
            </w:r>
            <w:r>
              <w:rPr>
                <w:rFonts w:hint="eastAsia" w:ascii="宋体" w:hAnsi="宋体" w:cs="宋体"/>
                <w:kern w:val="0"/>
                <w:sz w:val="22"/>
                <w:szCs w:val="21"/>
                <w:lang w:val="en-US"/>
              </w:rPr>
              <w:t>代理服务收费参照豫招协[2023]002号河南省招标投标协会关于印发《河南省招标代理服务收费指导意见》规定的收费标准</w:t>
            </w:r>
            <w:r>
              <w:rPr>
                <w:rFonts w:hint="eastAsia" w:ascii="宋体" w:hAnsi="宋体" w:cs="宋体"/>
                <w:kern w:val="0"/>
                <w:sz w:val="22"/>
                <w:szCs w:val="21"/>
                <w:lang w:val="en-US" w:eastAsia="zh-CN"/>
              </w:rPr>
              <w:t>向成交单位收取。招标代理服务费由成交供应商在领取成交通知书时，以现金或转账的方式一次性向缴纳。</w:t>
            </w:r>
          </w:p>
          <w:p w14:paraId="38946F70">
            <w:pPr>
              <w:widowControl/>
              <w:spacing w:line="440" w:lineRule="exact"/>
              <w:ind w:firstLine="440" w:firstLineChars="200"/>
              <w:jc w:val="left"/>
              <w:rPr>
                <w:rFonts w:hint="eastAsia" w:ascii="宋体" w:hAnsi="宋体" w:cs="宋体"/>
                <w:kern w:val="0"/>
                <w:sz w:val="22"/>
                <w:szCs w:val="21"/>
                <w:lang w:val="en-US" w:eastAsia="zh-CN"/>
              </w:rPr>
            </w:pPr>
            <w:r>
              <w:rPr>
                <w:rFonts w:hint="eastAsia" w:ascii="宋体" w:hAnsi="宋体" w:cs="宋体"/>
                <w:kern w:val="0"/>
                <w:sz w:val="22"/>
                <w:szCs w:val="21"/>
                <w:lang w:val="en-US" w:eastAsia="zh-CN"/>
              </w:rPr>
              <w:t>户名：河南友拓工程管理有限公司</w:t>
            </w:r>
          </w:p>
          <w:p w14:paraId="582F5611">
            <w:pPr>
              <w:widowControl/>
              <w:spacing w:line="440" w:lineRule="exact"/>
              <w:ind w:firstLine="440" w:firstLineChars="200"/>
              <w:jc w:val="left"/>
              <w:rPr>
                <w:rFonts w:hint="eastAsia" w:ascii="宋体" w:hAnsi="宋体" w:cs="宋体"/>
                <w:kern w:val="0"/>
                <w:sz w:val="22"/>
                <w:szCs w:val="21"/>
                <w:lang w:val="en-US" w:eastAsia="zh-CN"/>
              </w:rPr>
            </w:pPr>
            <w:r>
              <w:rPr>
                <w:rFonts w:hint="eastAsia" w:ascii="宋体" w:hAnsi="宋体" w:cs="宋体"/>
                <w:kern w:val="0"/>
                <w:sz w:val="22"/>
                <w:szCs w:val="21"/>
                <w:lang w:val="en-US" w:eastAsia="zh-CN"/>
              </w:rPr>
              <w:t xml:space="preserve">账号：41050169610800000001 </w:t>
            </w:r>
          </w:p>
          <w:p w14:paraId="6971C4BE">
            <w:pPr>
              <w:widowControl/>
              <w:spacing w:line="440" w:lineRule="exact"/>
              <w:ind w:firstLine="440" w:firstLineChars="200"/>
              <w:jc w:val="left"/>
              <w:rPr>
                <w:sz w:val="20"/>
                <w:szCs w:val="22"/>
              </w:rPr>
            </w:pPr>
            <w:r>
              <w:rPr>
                <w:rFonts w:hint="eastAsia" w:ascii="宋体" w:hAnsi="宋体" w:cs="宋体"/>
                <w:kern w:val="0"/>
                <w:sz w:val="22"/>
                <w:szCs w:val="21"/>
                <w:lang w:val="en-US" w:eastAsia="zh-CN"/>
              </w:rPr>
              <w:t>开户行：建行三门峡崤山路支行</w:t>
            </w:r>
          </w:p>
        </w:tc>
      </w:tr>
      <w:tr w14:paraId="1DE92CCE">
        <w:tblPrEx>
          <w:tblCellMar>
            <w:top w:w="0" w:type="dxa"/>
            <w:left w:w="108" w:type="dxa"/>
            <w:bottom w:w="0" w:type="dxa"/>
            <w:right w:w="108" w:type="dxa"/>
          </w:tblCellMar>
        </w:tblPrEx>
        <w:trPr>
          <w:trHeight w:val="807" w:hRule="atLeast"/>
        </w:trPr>
        <w:tc>
          <w:tcPr>
            <w:tcW w:w="828" w:type="dxa"/>
            <w:tcBorders>
              <w:top w:val="single" w:color="auto" w:sz="6" w:space="0"/>
              <w:left w:val="single" w:color="auto" w:sz="12" w:space="0"/>
              <w:bottom w:val="single" w:color="auto" w:sz="6" w:space="0"/>
              <w:right w:val="single" w:color="auto" w:sz="6" w:space="0"/>
            </w:tcBorders>
            <w:vAlign w:val="center"/>
          </w:tcPr>
          <w:p w14:paraId="506DAAD8">
            <w:pPr>
              <w:adjustRightInd w:val="0"/>
              <w:spacing w:line="360" w:lineRule="auto"/>
              <w:jc w:val="center"/>
              <w:rPr>
                <w:rFonts w:ascii="宋体" w:hAnsi="宋体" w:cs="宋体"/>
                <w:spacing w:val="6"/>
                <w:sz w:val="22"/>
                <w:szCs w:val="22"/>
              </w:rPr>
            </w:pPr>
            <w:r>
              <w:rPr>
                <w:rFonts w:hint="eastAsia" w:ascii="宋体" w:hAnsi="宋体" w:cs="宋体"/>
                <w:spacing w:val="6"/>
                <w:sz w:val="22"/>
                <w:szCs w:val="22"/>
              </w:rPr>
              <w:t>23</w:t>
            </w:r>
          </w:p>
        </w:tc>
        <w:tc>
          <w:tcPr>
            <w:tcW w:w="1611" w:type="dxa"/>
            <w:tcBorders>
              <w:top w:val="single" w:color="auto" w:sz="6" w:space="0"/>
              <w:left w:val="single" w:color="auto" w:sz="6" w:space="0"/>
              <w:bottom w:val="single" w:color="auto" w:sz="6" w:space="0"/>
              <w:right w:val="single" w:color="auto" w:sz="6" w:space="0"/>
            </w:tcBorders>
            <w:vAlign w:val="center"/>
          </w:tcPr>
          <w:p w14:paraId="51D0F92F">
            <w:pPr>
              <w:adjustRightInd w:val="0"/>
              <w:spacing w:line="360" w:lineRule="auto"/>
              <w:jc w:val="center"/>
              <w:rPr>
                <w:rFonts w:ascii="宋体" w:hAnsi="宋体" w:cs="宋体"/>
                <w:sz w:val="22"/>
                <w:szCs w:val="22"/>
              </w:rPr>
            </w:pPr>
            <w:r>
              <w:rPr>
                <w:rFonts w:hint="eastAsia" w:ascii="宋体" w:hAnsi="宋体" w:cs="宋体"/>
                <w:sz w:val="22"/>
                <w:szCs w:val="22"/>
              </w:rPr>
              <w:t>磋商预备会</w:t>
            </w:r>
          </w:p>
        </w:tc>
        <w:tc>
          <w:tcPr>
            <w:tcW w:w="6565" w:type="dxa"/>
            <w:tcBorders>
              <w:top w:val="single" w:color="auto" w:sz="6" w:space="0"/>
              <w:left w:val="single" w:color="auto" w:sz="6" w:space="0"/>
              <w:bottom w:val="single" w:color="auto" w:sz="6" w:space="0"/>
              <w:right w:val="single" w:color="auto" w:sz="12" w:space="0"/>
            </w:tcBorders>
            <w:vAlign w:val="center"/>
          </w:tcPr>
          <w:p w14:paraId="754DC85F">
            <w:pPr>
              <w:adjustRightInd w:val="0"/>
              <w:spacing w:line="360" w:lineRule="auto"/>
              <w:rPr>
                <w:rFonts w:ascii="宋体" w:hAnsi="宋体" w:cs="宋体"/>
                <w:sz w:val="22"/>
                <w:szCs w:val="22"/>
              </w:rPr>
            </w:pPr>
            <w:r>
              <w:rPr>
                <w:rFonts w:hint="eastAsia" w:ascii="宋体" w:hAnsi="宋体" w:cs="宋体"/>
                <w:sz w:val="22"/>
                <w:szCs w:val="22"/>
              </w:rPr>
              <w:t>不召开</w:t>
            </w:r>
          </w:p>
        </w:tc>
      </w:tr>
      <w:tr w14:paraId="25EBF38E">
        <w:tblPrEx>
          <w:tblCellMar>
            <w:top w:w="0" w:type="dxa"/>
            <w:left w:w="108" w:type="dxa"/>
            <w:bottom w:w="0" w:type="dxa"/>
            <w:right w:w="108" w:type="dxa"/>
          </w:tblCellMar>
        </w:tblPrEx>
        <w:trPr>
          <w:trHeight w:val="807" w:hRule="atLeast"/>
        </w:trPr>
        <w:tc>
          <w:tcPr>
            <w:tcW w:w="828" w:type="dxa"/>
            <w:tcBorders>
              <w:top w:val="single" w:color="auto" w:sz="6" w:space="0"/>
              <w:left w:val="single" w:color="auto" w:sz="12" w:space="0"/>
              <w:bottom w:val="single" w:color="auto" w:sz="6" w:space="0"/>
              <w:right w:val="single" w:color="auto" w:sz="6" w:space="0"/>
            </w:tcBorders>
            <w:vAlign w:val="center"/>
          </w:tcPr>
          <w:p w14:paraId="33081BBE">
            <w:pPr>
              <w:adjustRightInd w:val="0"/>
              <w:spacing w:line="360" w:lineRule="auto"/>
              <w:jc w:val="center"/>
              <w:rPr>
                <w:rFonts w:ascii="宋体" w:hAnsi="宋体" w:cs="宋体"/>
                <w:spacing w:val="6"/>
                <w:sz w:val="22"/>
                <w:szCs w:val="22"/>
              </w:rPr>
            </w:pPr>
            <w:r>
              <w:rPr>
                <w:rFonts w:hint="eastAsia" w:ascii="宋体" w:hAnsi="宋体" w:cs="宋体"/>
                <w:spacing w:val="6"/>
                <w:sz w:val="22"/>
                <w:szCs w:val="22"/>
              </w:rPr>
              <w:t>24</w:t>
            </w:r>
          </w:p>
        </w:tc>
        <w:tc>
          <w:tcPr>
            <w:tcW w:w="1611" w:type="dxa"/>
            <w:tcBorders>
              <w:top w:val="single" w:color="auto" w:sz="6" w:space="0"/>
              <w:left w:val="single" w:color="auto" w:sz="6" w:space="0"/>
              <w:bottom w:val="single" w:color="auto" w:sz="6" w:space="0"/>
              <w:right w:val="single" w:color="auto" w:sz="6" w:space="0"/>
            </w:tcBorders>
            <w:vAlign w:val="center"/>
          </w:tcPr>
          <w:p w14:paraId="626629AE">
            <w:pPr>
              <w:adjustRightInd w:val="0"/>
              <w:spacing w:line="360" w:lineRule="auto"/>
              <w:jc w:val="center"/>
              <w:rPr>
                <w:rFonts w:ascii="宋体" w:hAnsi="宋体" w:cs="宋体"/>
                <w:sz w:val="22"/>
                <w:szCs w:val="22"/>
              </w:rPr>
            </w:pPr>
            <w:r>
              <w:rPr>
                <w:rFonts w:hint="eastAsia" w:ascii="宋体" w:hAnsi="宋体" w:cs="宋体"/>
                <w:sz w:val="22"/>
                <w:szCs w:val="22"/>
              </w:rPr>
              <w:t>获取磋商文件时间</w:t>
            </w:r>
          </w:p>
        </w:tc>
        <w:tc>
          <w:tcPr>
            <w:tcW w:w="6565" w:type="dxa"/>
            <w:tcBorders>
              <w:top w:val="single" w:color="auto" w:sz="6" w:space="0"/>
              <w:left w:val="single" w:color="auto" w:sz="6" w:space="0"/>
              <w:bottom w:val="single" w:color="auto" w:sz="6" w:space="0"/>
              <w:right w:val="single" w:color="auto" w:sz="12" w:space="0"/>
            </w:tcBorders>
            <w:vAlign w:val="center"/>
          </w:tcPr>
          <w:p w14:paraId="7373D7BD">
            <w:pPr>
              <w:adjustRightInd w:val="0"/>
              <w:spacing w:line="360" w:lineRule="auto"/>
              <w:rPr>
                <w:rFonts w:ascii="宋体" w:hAnsi="宋体" w:cs="宋体"/>
                <w:sz w:val="22"/>
                <w:szCs w:val="22"/>
              </w:rPr>
            </w:pPr>
            <w:r>
              <w:rPr>
                <w:rFonts w:hint="eastAsia" w:ascii="宋体" w:hAnsi="宋体" w:cs="宋体"/>
                <w:sz w:val="22"/>
                <w:szCs w:val="22"/>
              </w:rPr>
              <w:t>具体详见竞争性磋商公告部分</w:t>
            </w:r>
          </w:p>
        </w:tc>
      </w:tr>
      <w:tr w14:paraId="07C9070C">
        <w:tblPrEx>
          <w:tblCellMar>
            <w:top w:w="0" w:type="dxa"/>
            <w:left w:w="108" w:type="dxa"/>
            <w:bottom w:w="0" w:type="dxa"/>
            <w:right w:w="108" w:type="dxa"/>
          </w:tblCellMar>
        </w:tblPrEx>
        <w:trPr>
          <w:trHeight w:val="807" w:hRule="atLeast"/>
        </w:trPr>
        <w:tc>
          <w:tcPr>
            <w:tcW w:w="828" w:type="dxa"/>
            <w:tcBorders>
              <w:top w:val="single" w:color="auto" w:sz="6" w:space="0"/>
              <w:left w:val="single" w:color="auto" w:sz="12" w:space="0"/>
              <w:bottom w:val="single" w:color="auto" w:sz="6" w:space="0"/>
              <w:right w:val="single" w:color="auto" w:sz="6" w:space="0"/>
            </w:tcBorders>
            <w:vAlign w:val="center"/>
          </w:tcPr>
          <w:p w14:paraId="2FF09829">
            <w:pPr>
              <w:adjustRightInd w:val="0"/>
              <w:spacing w:line="360" w:lineRule="auto"/>
              <w:jc w:val="center"/>
              <w:rPr>
                <w:rFonts w:ascii="宋体" w:hAnsi="宋体" w:cs="宋体"/>
                <w:spacing w:val="6"/>
                <w:sz w:val="22"/>
                <w:szCs w:val="22"/>
              </w:rPr>
            </w:pPr>
            <w:r>
              <w:rPr>
                <w:rFonts w:hint="eastAsia" w:ascii="宋体" w:hAnsi="宋体" w:cs="宋体"/>
                <w:spacing w:val="6"/>
                <w:sz w:val="22"/>
                <w:szCs w:val="22"/>
              </w:rPr>
              <w:t>25</w:t>
            </w:r>
          </w:p>
        </w:tc>
        <w:tc>
          <w:tcPr>
            <w:tcW w:w="1611" w:type="dxa"/>
            <w:tcBorders>
              <w:top w:val="single" w:color="auto" w:sz="6" w:space="0"/>
              <w:left w:val="single" w:color="auto" w:sz="6" w:space="0"/>
              <w:bottom w:val="single" w:color="auto" w:sz="6" w:space="0"/>
              <w:right w:val="single" w:color="auto" w:sz="6" w:space="0"/>
            </w:tcBorders>
            <w:vAlign w:val="center"/>
          </w:tcPr>
          <w:p w14:paraId="22A31AC0">
            <w:pPr>
              <w:adjustRightInd w:val="0"/>
              <w:spacing w:line="360" w:lineRule="auto"/>
              <w:jc w:val="center"/>
              <w:rPr>
                <w:rFonts w:ascii="宋体" w:hAnsi="宋体" w:cs="宋体"/>
                <w:sz w:val="22"/>
                <w:szCs w:val="22"/>
              </w:rPr>
            </w:pPr>
            <w:r>
              <w:rPr>
                <w:rFonts w:hint="eastAsia" w:ascii="宋体" w:hAnsi="宋体" w:cs="宋体"/>
                <w:sz w:val="22"/>
                <w:szCs w:val="22"/>
              </w:rPr>
              <w:t>提交磋商文件截止时间</w:t>
            </w:r>
          </w:p>
        </w:tc>
        <w:tc>
          <w:tcPr>
            <w:tcW w:w="6565" w:type="dxa"/>
            <w:tcBorders>
              <w:top w:val="single" w:color="auto" w:sz="6" w:space="0"/>
              <w:left w:val="single" w:color="auto" w:sz="6" w:space="0"/>
              <w:bottom w:val="single" w:color="auto" w:sz="6" w:space="0"/>
              <w:right w:val="single" w:color="auto" w:sz="12" w:space="0"/>
            </w:tcBorders>
            <w:vAlign w:val="center"/>
          </w:tcPr>
          <w:p w14:paraId="49DC80EA">
            <w:pPr>
              <w:adjustRightInd w:val="0"/>
              <w:spacing w:line="360" w:lineRule="auto"/>
              <w:rPr>
                <w:rFonts w:ascii="宋体" w:hAnsi="宋体" w:cs="宋体"/>
                <w:sz w:val="22"/>
                <w:szCs w:val="22"/>
              </w:rPr>
            </w:pPr>
            <w:r>
              <w:rPr>
                <w:rFonts w:hint="eastAsia" w:ascii="宋体" w:hAnsi="宋体" w:cs="宋体"/>
                <w:sz w:val="22"/>
                <w:szCs w:val="22"/>
              </w:rPr>
              <w:t>具体详见竞争性磋商公告部分</w:t>
            </w:r>
          </w:p>
        </w:tc>
      </w:tr>
      <w:tr w14:paraId="0CC1BA48">
        <w:tblPrEx>
          <w:tblCellMar>
            <w:top w:w="0" w:type="dxa"/>
            <w:left w:w="108" w:type="dxa"/>
            <w:bottom w:w="0" w:type="dxa"/>
            <w:right w:w="108" w:type="dxa"/>
          </w:tblCellMar>
        </w:tblPrEx>
        <w:trPr>
          <w:trHeight w:val="807" w:hRule="atLeast"/>
        </w:trPr>
        <w:tc>
          <w:tcPr>
            <w:tcW w:w="828" w:type="dxa"/>
            <w:tcBorders>
              <w:top w:val="single" w:color="auto" w:sz="6" w:space="0"/>
              <w:left w:val="single" w:color="auto" w:sz="12" w:space="0"/>
              <w:bottom w:val="single" w:color="auto" w:sz="6" w:space="0"/>
              <w:right w:val="single" w:color="auto" w:sz="6" w:space="0"/>
            </w:tcBorders>
            <w:vAlign w:val="center"/>
          </w:tcPr>
          <w:p w14:paraId="5C525014">
            <w:pPr>
              <w:adjustRightInd w:val="0"/>
              <w:spacing w:line="360" w:lineRule="auto"/>
              <w:jc w:val="center"/>
              <w:rPr>
                <w:rFonts w:ascii="宋体" w:hAnsi="宋体" w:cs="宋体"/>
                <w:spacing w:val="6"/>
                <w:sz w:val="22"/>
                <w:szCs w:val="22"/>
              </w:rPr>
            </w:pPr>
            <w:r>
              <w:rPr>
                <w:rFonts w:hint="eastAsia" w:ascii="宋体" w:hAnsi="宋体" w:cs="宋体"/>
                <w:spacing w:val="6"/>
                <w:sz w:val="22"/>
                <w:szCs w:val="22"/>
              </w:rPr>
              <w:t>26</w:t>
            </w:r>
          </w:p>
        </w:tc>
        <w:tc>
          <w:tcPr>
            <w:tcW w:w="1611" w:type="dxa"/>
            <w:tcBorders>
              <w:top w:val="single" w:color="auto" w:sz="6" w:space="0"/>
              <w:left w:val="single" w:color="auto" w:sz="6" w:space="0"/>
              <w:bottom w:val="single" w:color="auto" w:sz="6" w:space="0"/>
              <w:right w:val="single" w:color="auto" w:sz="6" w:space="0"/>
            </w:tcBorders>
            <w:vAlign w:val="center"/>
          </w:tcPr>
          <w:p w14:paraId="73AF4621">
            <w:pPr>
              <w:adjustRightInd w:val="0"/>
              <w:spacing w:line="360" w:lineRule="auto"/>
              <w:jc w:val="center"/>
              <w:rPr>
                <w:rFonts w:ascii="宋体" w:hAnsi="宋体" w:cs="宋体"/>
                <w:sz w:val="22"/>
                <w:szCs w:val="22"/>
              </w:rPr>
            </w:pPr>
            <w:r>
              <w:rPr>
                <w:rFonts w:hint="eastAsia" w:ascii="宋体" w:hAnsi="宋体" w:cs="宋体"/>
                <w:sz w:val="22"/>
                <w:szCs w:val="22"/>
              </w:rPr>
              <w:t>是否允许递交备选磋商方案</w:t>
            </w:r>
          </w:p>
        </w:tc>
        <w:tc>
          <w:tcPr>
            <w:tcW w:w="6565" w:type="dxa"/>
            <w:tcBorders>
              <w:top w:val="single" w:color="auto" w:sz="6" w:space="0"/>
              <w:left w:val="single" w:color="auto" w:sz="6" w:space="0"/>
              <w:bottom w:val="single" w:color="auto" w:sz="6" w:space="0"/>
              <w:right w:val="single" w:color="auto" w:sz="12" w:space="0"/>
            </w:tcBorders>
            <w:vAlign w:val="center"/>
          </w:tcPr>
          <w:p w14:paraId="51EE4F83">
            <w:pPr>
              <w:adjustRightInd w:val="0"/>
              <w:spacing w:line="360" w:lineRule="auto"/>
              <w:rPr>
                <w:rFonts w:ascii="宋体" w:hAnsi="宋体" w:cs="宋体"/>
                <w:sz w:val="22"/>
                <w:szCs w:val="22"/>
              </w:rPr>
            </w:pPr>
            <w:r>
              <w:rPr>
                <w:rFonts w:hint="eastAsia" w:ascii="宋体" w:hAnsi="宋体" w:cs="宋体"/>
                <w:sz w:val="22"/>
                <w:szCs w:val="22"/>
              </w:rPr>
              <w:t>不允许</w:t>
            </w:r>
          </w:p>
        </w:tc>
      </w:tr>
      <w:tr w14:paraId="67FBFD72">
        <w:tblPrEx>
          <w:tblCellMar>
            <w:top w:w="0" w:type="dxa"/>
            <w:left w:w="108" w:type="dxa"/>
            <w:bottom w:w="0" w:type="dxa"/>
            <w:right w:w="108" w:type="dxa"/>
          </w:tblCellMar>
        </w:tblPrEx>
        <w:trPr>
          <w:trHeight w:val="807" w:hRule="atLeast"/>
        </w:trPr>
        <w:tc>
          <w:tcPr>
            <w:tcW w:w="828" w:type="dxa"/>
            <w:tcBorders>
              <w:top w:val="single" w:color="auto" w:sz="6" w:space="0"/>
              <w:left w:val="single" w:color="auto" w:sz="12" w:space="0"/>
              <w:bottom w:val="single" w:color="auto" w:sz="6" w:space="0"/>
              <w:right w:val="single" w:color="auto" w:sz="6" w:space="0"/>
            </w:tcBorders>
            <w:vAlign w:val="center"/>
          </w:tcPr>
          <w:p w14:paraId="16D155AB">
            <w:pPr>
              <w:adjustRightInd w:val="0"/>
              <w:spacing w:line="360" w:lineRule="auto"/>
              <w:jc w:val="center"/>
              <w:rPr>
                <w:rFonts w:ascii="宋体" w:hAnsi="宋体" w:eastAsia="宋体" w:cs="宋体"/>
                <w:spacing w:val="6"/>
                <w:sz w:val="22"/>
                <w:szCs w:val="22"/>
              </w:rPr>
            </w:pPr>
            <w:r>
              <w:rPr>
                <w:rFonts w:hint="eastAsia" w:ascii="宋体" w:hAnsi="宋体" w:eastAsia="宋体" w:cs="宋体"/>
                <w:spacing w:val="6"/>
                <w:sz w:val="22"/>
                <w:szCs w:val="22"/>
              </w:rPr>
              <w:t>27</w:t>
            </w:r>
          </w:p>
        </w:tc>
        <w:tc>
          <w:tcPr>
            <w:tcW w:w="1611" w:type="dxa"/>
            <w:tcBorders>
              <w:top w:val="single" w:color="auto" w:sz="6" w:space="0"/>
              <w:left w:val="single" w:color="auto" w:sz="6" w:space="0"/>
              <w:bottom w:val="single" w:color="auto" w:sz="6" w:space="0"/>
              <w:right w:val="single" w:color="auto" w:sz="6" w:space="0"/>
            </w:tcBorders>
            <w:vAlign w:val="center"/>
          </w:tcPr>
          <w:p w14:paraId="3EF5ABFC">
            <w:pPr>
              <w:widowControl/>
              <w:jc w:val="center"/>
              <w:rPr>
                <w:rFonts w:ascii="宋体" w:hAnsi="宋体" w:cs="宋体"/>
                <w:sz w:val="22"/>
                <w:szCs w:val="22"/>
              </w:rPr>
            </w:pPr>
            <w:r>
              <w:rPr>
                <w:rFonts w:hint="eastAsia" w:ascii="宋体" w:hAnsi="宋体"/>
                <w:sz w:val="22"/>
                <w:szCs w:val="22"/>
              </w:rPr>
              <w:t>磋商报价的其他要求</w:t>
            </w:r>
          </w:p>
        </w:tc>
        <w:tc>
          <w:tcPr>
            <w:tcW w:w="6565" w:type="dxa"/>
            <w:tcBorders>
              <w:top w:val="single" w:color="auto" w:sz="6" w:space="0"/>
              <w:left w:val="single" w:color="auto" w:sz="6" w:space="0"/>
              <w:bottom w:val="single" w:color="auto" w:sz="6" w:space="0"/>
              <w:right w:val="single" w:color="auto" w:sz="12" w:space="0"/>
            </w:tcBorders>
            <w:vAlign w:val="center"/>
          </w:tcPr>
          <w:p w14:paraId="73F24B46">
            <w:pPr>
              <w:spacing w:line="360" w:lineRule="auto"/>
              <w:jc w:val="left"/>
              <w:rPr>
                <w:rFonts w:hint="eastAsia" w:ascii="宋体" w:hAnsi="宋体" w:cs="宋体"/>
                <w:b/>
                <w:bCs/>
                <w:sz w:val="22"/>
                <w:szCs w:val="22"/>
                <w:lang w:val="en-US" w:eastAsia="zh-CN"/>
              </w:rPr>
            </w:pPr>
            <w:r>
              <w:rPr>
                <w:rFonts w:hint="eastAsia" w:ascii="宋体" w:hAnsi="宋体" w:eastAsia="宋体" w:cs="宋体"/>
                <w:b/>
                <w:bCs/>
                <w:sz w:val="22"/>
                <w:szCs w:val="22"/>
              </w:rPr>
              <w:t>本项目采用报价(折扣)100%进行报价，</w:t>
            </w:r>
            <w:r>
              <w:rPr>
                <w:rFonts w:hint="eastAsia" w:ascii="宋体" w:hAnsi="宋体" w:cs="宋体"/>
                <w:b/>
                <w:bCs/>
                <w:sz w:val="22"/>
                <w:szCs w:val="22"/>
              </w:rPr>
              <w:t>分两次进行报价。</w:t>
            </w:r>
          </w:p>
          <w:p w14:paraId="6F2F75CE">
            <w:pPr>
              <w:spacing w:line="360" w:lineRule="auto"/>
              <w:jc w:val="left"/>
              <w:rPr>
                <w:rFonts w:hint="eastAsia" w:ascii="宋体" w:hAnsi="宋体" w:cs="宋体"/>
                <w:sz w:val="22"/>
                <w:szCs w:val="22"/>
              </w:rPr>
            </w:pPr>
            <w:r>
              <w:rPr>
                <w:rFonts w:hint="eastAsia" w:ascii="宋体" w:hAnsi="宋体" w:cs="宋体"/>
                <w:sz w:val="22"/>
                <w:szCs w:val="22"/>
                <w:lang w:val="en-US" w:eastAsia="zh-CN"/>
              </w:rPr>
              <w:t>注：1、</w:t>
            </w:r>
            <w:r>
              <w:rPr>
                <w:rFonts w:hint="eastAsia" w:ascii="宋体" w:hAnsi="宋体" w:cs="宋体"/>
                <w:sz w:val="22"/>
                <w:szCs w:val="22"/>
              </w:rPr>
              <w:t>供应商磋商总报价不得高于采购人公布的</w:t>
            </w:r>
            <w:r>
              <w:rPr>
                <w:rFonts w:hint="eastAsia" w:ascii="宋体" w:hAnsi="宋体" w:cs="宋体"/>
                <w:sz w:val="22"/>
                <w:szCs w:val="22"/>
                <w:lang w:val="en-US" w:eastAsia="zh-CN"/>
              </w:rPr>
              <w:t>最高限价</w:t>
            </w:r>
            <w:r>
              <w:rPr>
                <w:rFonts w:hint="eastAsia" w:ascii="宋体" w:hAnsi="宋体" w:cs="宋体"/>
                <w:sz w:val="22"/>
                <w:szCs w:val="22"/>
              </w:rPr>
              <w:t>，否则其</w:t>
            </w:r>
            <w:r>
              <w:rPr>
                <w:rFonts w:hint="eastAsia" w:ascii="宋体" w:hAnsi="宋体" w:cs="宋体"/>
                <w:sz w:val="22"/>
                <w:szCs w:val="22"/>
                <w:lang w:val="en-US" w:eastAsia="zh-CN"/>
              </w:rPr>
              <w:t>磋商</w:t>
            </w:r>
            <w:r>
              <w:rPr>
                <w:rFonts w:hint="eastAsia" w:ascii="宋体" w:hAnsi="宋体" w:cs="宋体"/>
                <w:sz w:val="22"/>
                <w:szCs w:val="22"/>
              </w:rPr>
              <w:t>将予否决。</w:t>
            </w:r>
          </w:p>
          <w:p w14:paraId="166BAF88">
            <w:pPr>
              <w:spacing w:line="360" w:lineRule="auto"/>
              <w:jc w:val="left"/>
              <w:rPr>
                <w:sz w:val="20"/>
                <w:szCs w:val="22"/>
              </w:rPr>
            </w:pPr>
            <w:r>
              <w:rPr>
                <w:rFonts w:hint="eastAsia" w:ascii="宋体" w:hAnsi="宋体" w:cs="宋体"/>
                <w:sz w:val="22"/>
                <w:szCs w:val="22"/>
                <w:lang w:val="en-US" w:eastAsia="zh-CN"/>
              </w:rPr>
              <w:t>2、</w:t>
            </w:r>
            <w:r>
              <w:rPr>
                <w:rFonts w:hint="eastAsia" w:ascii="宋体" w:hAnsi="宋体" w:cs="宋体"/>
                <w:sz w:val="22"/>
                <w:szCs w:val="22"/>
              </w:rPr>
              <w:t>磋商小组认为供应商的报价明显低于其他通过审查供应商的磋商报价，有可能影响质量或不能诚信履约的，应当要求其在磋商现场规定的合理时间内提供书面说明，或必要的材料；不能证明其报价合理性的，磋商小组将其视为无效磋商处理。</w:t>
            </w:r>
          </w:p>
        </w:tc>
      </w:tr>
      <w:tr w14:paraId="4A1AEF2C">
        <w:tblPrEx>
          <w:tblCellMar>
            <w:top w:w="0" w:type="dxa"/>
            <w:left w:w="108" w:type="dxa"/>
            <w:bottom w:w="0" w:type="dxa"/>
            <w:right w:w="108" w:type="dxa"/>
          </w:tblCellMar>
        </w:tblPrEx>
        <w:trPr>
          <w:trHeight w:val="807" w:hRule="atLeast"/>
        </w:trPr>
        <w:tc>
          <w:tcPr>
            <w:tcW w:w="828" w:type="dxa"/>
            <w:tcBorders>
              <w:top w:val="single" w:color="auto" w:sz="6" w:space="0"/>
              <w:left w:val="single" w:color="auto" w:sz="12" w:space="0"/>
              <w:bottom w:val="single" w:color="auto" w:sz="6" w:space="0"/>
              <w:right w:val="single" w:color="auto" w:sz="6" w:space="0"/>
            </w:tcBorders>
            <w:vAlign w:val="center"/>
          </w:tcPr>
          <w:p w14:paraId="1E787D00">
            <w:pPr>
              <w:adjustRightInd w:val="0"/>
              <w:spacing w:line="360" w:lineRule="auto"/>
              <w:jc w:val="center"/>
              <w:rPr>
                <w:rFonts w:ascii="宋体" w:hAnsi="宋体" w:cs="宋体"/>
                <w:spacing w:val="6"/>
                <w:sz w:val="22"/>
                <w:szCs w:val="22"/>
              </w:rPr>
            </w:pPr>
            <w:r>
              <w:rPr>
                <w:rFonts w:hint="eastAsia" w:ascii="宋体" w:hAnsi="宋体" w:cs="宋体"/>
                <w:spacing w:val="6"/>
                <w:sz w:val="22"/>
                <w:szCs w:val="22"/>
              </w:rPr>
              <w:t>28</w:t>
            </w:r>
          </w:p>
        </w:tc>
        <w:tc>
          <w:tcPr>
            <w:tcW w:w="1611" w:type="dxa"/>
            <w:tcBorders>
              <w:top w:val="single" w:color="auto" w:sz="6" w:space="0"/>
              <w:left w:val="single" w:color="auto" w:sz="6" w:space="0"/>
              <w:bottom w:val="single" w:color="auto" w:sz="6" w:space="0"/>
              <w:right w:val="single" w:color="auto" w:sz="6" w:space="0"/>
            </w:tcBorders>
            <w:vAlign w:val="center"/>
          </w:tcPr>
          <w:p w14:paraId="7EB7E2C8">
            <w:pPr>
              <w:adjustRightInd w:val="0"/>
              <w:spacing w:line="360" w:lineRule="auto"/>
              <w:rPr>
                <w:rFonts w:ascii="宋体" w:hAnsi="宋体" w:cs="宋体"/>
                <w:sz w:val="22"/>
                <w:szCs w:val="22"/>
              </w:rPr>
            </w:pPr>
            <w:r>
              <w:rPr>
                <w:rFonts w:hint="eastAsia" w:ascii="宋体" w:hAnsi="宋体" w:cs="宋体"/>
                <w:sz w:val="22"/>
                <w:szCs w:val="22"/>
              </w:rPr>
              <w:t>是否授权评审小组确定</w:t>
            </w:r>
            <w:r>
              <w:rPr>
                <w:rFonts w:hint="eastAsia" w:ascii="宋体" w:hAnsi="宋体" w:cs="宋体"/>
                <w:sz w:val="22"/>
                <w:szCs w:val="22"/>
                <w:lang w:eastAsia="zh-CN"/>
              </w:rPr>
              <w:t>成交</w:t>
            </w:r>
            <w:r>
              <w:rPr>
                <w:rFonts w:hint="eastAsia" w:ascii="宋体" w:hAnsi="宋体" w:cs="宋体"/>
                <w:sz w:val="22"/>
                <w:szCs w:val="22"/>
              </w:rPr>
              <w:t>人</w:t>
            </w:r>
          </w:p>
        </w:tc>
        <w:tc>
          <w:tcPr>
            <w:tcW w:w="6565" w:type="dxa"/>
            <w:tcBorders>
              <w:top w:val="single" w:color="auto" w:sz="6" w:space="0"/>
              <w:left w:val="single" w:color="auto" w:sz="6" w:space="0"/>
              <w:bottom w:val="single" w:color="auto" w:sz="6" w:space="0"/>
              <w:right w:val="single" w:color="auto" w:sz="12" w:space="0"/>
            </w:tcBorders>
            <w:vAlign w:val="center"/>
          </w:tcPr>
          <w:p w14:paraId="701D4693">
            <w:pPr>
              <w:adjustRightInd w:val="0"/>
              <w:spacing w:line="360" w:lineRule="auto"/>
              <w:rPr>
                <w:rFonts w:ascii="宋体" w:hAnsi="宋体" w:cs="宋体"/>
                <w:sz w:val="22"/>
                <w:szCs w:val="22"/>
              </w:rPr>
            </w:pPr>
            <w:r>
              <w:rPr>
                <w:rFonts w:hint="eastAsia" w:ascii="宋体" w:hAnsi="宋体" w:cs="宋体"/>
                <w:sz w:val="22"/>
                <w:szCs w:val="22"/>
              </w:rPr>
              <w:t>否，推荐3名</w:t>
            </w:r>
            <w:r>
              <w:rPr>
                <w:rFonts w:hint="eastAsia" w:ascii="宋体" w:hAnsi="宋体" w:cs="宋体"/>
                <w:sz w:val="22"/>
                <w:szCs w:val="22"/>
                <w:lang w:eastAsia="zh-CN"/>
              </w:rPr>
              <w:t>成交</w:t>
            </w:r>
            <w:r>
              <w:rPr>
                <w:rFonts w:hint="eastAsia" w:ascii="宋体" w:hAnsi="宋体" w:cs="宋体"/>
                <w:sz w:val="22"/>
                <w:szCs w:val="22"/>
              </w:rPr>
              <w:t>候选人；若排名第一的</w:t>
            </w:r>
            <w:r>
              <w:rPr>
                <w:rFonts w:hint="eastAsia" w:ascii="宋体" w:hAnsi="宋体" w:cs="宋体"/>
                <w:sz w:val="22"/>
                <w:szCs w:val="22"/>
                <w:lang w:eastAsia="zh-CN"/>
              </w:rPr>
              <w:t>成交</w:t>
            </w:r>
            <w:r>
              <w:rPr>
                <w:rFonts w:hint="eastAsia" w:ascii="宋体" w:hAnsi="宋体" w:cs="宋体"/>
                <w:sz w:val="22"/>
                <w:szCs w:val="22"/>
              </w:rPr>
              <w:t>候选人自愿放弃</w:t>
            </w:r>
            <w:r>
              <w:rPr>
                <w:rFonts w:hint="eastAsia" w:ascii="宋体" w:hAnsi="宋体" w:cs="宋体"/>
                <w:sz w:val="22"/>
                <w:szCs w:val="22"/>
                <w:lang w:eastAsia="zh-CN"/>
              </w:rPr>
              <w:t>成交</w:t>
            </w:r>
            <w:r>
              <w:rPr>
                <w:rFonts w:hint="eastAsia" w:ascii="宋体" w:hAnsi="宋体" w:cs="宋体"/>
                <w:sz w:val="22"/>
                <w:szCs w:val="22"/>
              </w:rPr>
              <w:t>、或因不可抗力不能履行合同、或被查实存在影响</w:t>
            </w:r>
            <w:r>
              <w:rPr>
                <w:rFonts w:hint="eastAsia" w:ascii="宋体" w:hAnsi="宋体" w:cs="宋体"/>
                <w:sz w:val="22"/>
                <w:szCs w:val="22"/>
                <w:lang w:eastAsia="zh-CN"/>
              </w:rPr>
              <w:t>成交</w:t>
            </w:r>
            <w:r>
              <w:rPr>
                <w:rFonts w:hint="eastAsia" w:ascii="宋体" w:hAnsi="宋体" w:cs="宋体"/>
                <w:sz w:val="22"/>
                <w:szCs w:val="22"/>
              </w:rPr>
              <w:t>结果的违法行为等情形，不符合</w:t>
            </w:r>
            <w:r>
              <w:rPr>
                <w:rFonts w:hint="eastAsia" w:ascii="宋体" w:hAnsi="宋体" w:cs="宋体"/>
                <w:sz w:val="22"/>
                <w:szCs w:val="22"/>
                <w:lang w:eastAsia="zh-CN"/>
              </w:rPr>
              <w:t>成交</w:t>
            </w:r>
            <w:r>
              <w:rPr>
                <w:rFonts w:hint="eastAsia" w:ascii="宋体" w:hAnsi="宋体" w:cs="宋体"/>
                <w:sz w:val="22"/>
                <w:szCs w:val="22"/>
              </w:rPr>
              <w:t>条件的，采购人可按照评审小组推荐的</w:t>
            </w:r>
            <w:r>
              <w:rPr>
                <w:rFonts w:hint="eastAsia" w:ascii="宋体" w:hAnsi="宋体" w:cs="宋体"/>
                <w:sz w:val="22"/>
                <w:szCs w:val="22"/>
                <w:lang w:eastAsia="zh-CN"/>
              </w:rPr>
              <w:t>成交</w:t>
            </w:r>
            <w:r>
              <w:rPr>
                <w:rFonts w:hint="eastAsia" w:ascii="宋体" w:hAnsi="宋体" w:cs="宋体"/>
                <w:sz w:val="22"/>
                <w:szCs w:val="22"/>
              </w:rPr>
              <w:t>候选人名单排序依次确定</w:t>
            </w:r>
            <w:r>
              <w:rPr>
                <w:rFonts w:hint="eastAsia" w:ascii="宋体" w:hAnsi="宋体" w:cs="宋体"/>
                <w:sz w:val="22"/>
                <w:szCs w:val="22"/>
                <w:lang w:eastAsia="zh-CN"/>
              </w:rPr>
              <w:t>成交</w:t>
            </w:r>
            <w:r>
              <w:rPr>
                <w:rFonts w:hint="eastAsia" w:ascii="宋体" w:hAnsi="宋体" w:cs="宋体"/>
                <w:sz w:val="22"/>
                <w:szCs w:val="22"/>
              </w:rPr>
              <w:t>人</w:t>
            </w:r>
          </w:p>
        </w:tc>
      </w:tr>
      <w:tr w14:paraId="70D43FCF">
        <w:tblPrEx>
          <w:tblCellMar>
            <w:top w:w="0" w:type="dxa"/>
            <w:left w:w="108" w:type="dxa"/>
            <w:bottom w:w="0" w:type="dxa"/>
            <w:right w:w="108" w:type="dxa"/>
          </w:tblCellMar>
        </w:tblPrEx>
        <w:trPr>
          <w:trHeight w:val="807" w:hRule="atLeast"/>
        </w:trPr>
        <w:tc>
          <w:tcPr>
            <w:tcW w:w="828" w:type="dxa"/>
            <w:tcBorders>
              <w:top w:val="single" w:color="auto" w:sz="6" w:space="0"/>
              <w:left w:val="single" w:color="auto" w:sz="12" w:space="0"/>
              <w:bottom w:val="single" w:color="auto" w:sz="6" w:space="0"/>
              <w:right w:val="single" w:color="auto" w:sz="6" w:space="0"/>
            </w:tcBorders>
            <w:vAlign w:val="center"/>
          </w:tcPr>
          <w:p w14:paraId="3ECD44B8">
            <w:pPr>
              <w:adjustRightInd w:val="0"/>
              <w:spacing w:line="360" w:lineRule="auto"/>
              <w:jc w:val="center"/>
              <w:rPr>
                <w:rFonts w:ascii="宋体" w:hAnsi="宋体" w:cs="宋体"/>
                <w:spacing w:val="6"/>
                <w:sz w:val="22"/>
                <w:szCs w:val="22"/>
              </w:rPr>
            </w:pPr>
            <w:r>
              <w:rPr>
                <w:rFonts w:hint="eastAsia" w:ascii="宋体" w:hAnsi="宋体" w:cs="宋体"/>
                <w:spacing w:val="6"/>
                <w:sz w:val="22"/>
                <w:szCs w:val="22"/>
              </w:rPr>
              <w:t>29</w:t>
            </w:r>
          </w:p>
        </w:tc>
        <w:tc>
          <w:tcPr>
            <w:tcW w:w="1611" w:type="dxa"/>
            <w:tcBorders>
              <w:top w:val="single" w:color="auto" w:sz="6" w:space="0"/>
              <w:left w:val="single" w:color="auto" w:sz="6" w:space="0"/>
              <w:bottom w:val="single" w:color="auto" w:sz="6" w:space="0"/>
              <w:right w:val="single" w:color="auto" w:sz="6" w:space="0"/>
            </w:tcBorders>
            <w:shd w:val="clear" w:color="auto" w:fill="auto"/>
            <w:vAlign w:val="center"/>
          </w:tcPr>
          <w:p w14:paraId="71D0CEA9">
            <w:pPr>
              <w:spacing w:line="360" w:lineRule="auto"/>
              <w:jc w:val="center"/>
              <w:rPr>
                <w:rFonts w:ascii="宋体" w:hAnsi="宋体" w:eastAsia="宋体" w:cs="Times New Roman"/>
                <w:color w:val="000000" w:themeColor="text1"/>
                <w:sz w:val="22"/>
                <w:szCs w:val="22"/>
                <w14:textFill>
                  <w14:solidFill>
                    <w14:schemeClr w14:val="tx1"/>
                  </w14:solidFill>
                </w14:textFill>
              </w:rPr>
            </w:pPr>
            <w:r>
              <w:rPr>
                <w:rFonts w:hint="eastAsia" w:ascii="宋体" w:hAnsi="宋体" w:eastAsia="宋体" w:cs="Times New Roman"/>
                <w:color w:val="000000" w:themeColor="text1"/>
                <w:sz w:val="22"/>
                <w:szCs w:val="22"/>
                <w14:textFill>
                  <w14:solidFill>
                    <w14:schemeClr w14:val="tx1"/>
                  </w14:solidFill>
                </w14:textFill>
              </w:rPr>
              <w:t>响应文件份数</w:t>
            </w:r>
          </w:p>
        </w:tc>
        <w:tc>
          <w:tcPr>
            <w:tcW w:w="6565" w:type="dxa"/>
            <w:tcBorders>
              <w:top w:val="single" w:color="auto" w:sz="6" w:space="0"/>
              <w:left w:val="single" w:color="auto" w:sz="6" w:space="0"/>
              <w:bottom w:val="single" w:color="auto" w:sz="6" w:space="0"/>
              <w:right w:val="single" w:color="auto" w:sz="12" w:space="0"/>
            </w:tcBorders>
            <w:shd w:val="clear" w:color="auto" w:fill="auto"/>
            <w:vAlign w:val="center"/>
          </w:tcPr>
          <w:p w14:paraId="67E2ED7F">
            <w:pPr>
              <w:spacing w:line="360" w:lineRule="auto"/>
              <w:rPr>
                <w:rFonts w:ascii="宋体" w:hAnsi="宋体" w:eastAsia="宋体" w:cs="Times New Roman"/>
                <w:color w:val="000000" w:themeColor="text1"/>
                <w:sz w:val="22"/>
                <w:szCs w:val="22"/>
                <w14:textFill>
                  <w14:solidFill>
                    <w14:schemeClr w14:val="tx1"/>
                  </w14:solidFill>
                </w14:textFill>
              </w:rPr>
            </w:pPr>
            <w:r>
              <w:rPr>
                <w:rFonts w:hint="eastAsia" w:ascii="宋体" w:hAnsi="宋体" w:eastAsia="宋体" w:cs="Times New Roman"/>
                <w:color w:val="000000" w:themeColor="text1"/>
                <w:sz w:val="22"/>
                <w:szCs w:val="22"/>
                <w14:textFill>
                  <w14:solidFill>
                    <w14:schemeClr w14:val="tx1"/>
                  </w14:solidFill>
                </w14:textFill>
              </w:rPr>
              <w:t>1、本项目采用全过程电子化</w:t>
            </w:r>
            <w:r>
              <w:rPr>
                <w:rFonts w:hint="eastAsia" w:ascii="宋体" w:hAnsi="宋体" w:eastAsia="宋体" w:cs="Times New Roman"/>
                <w:color w:val="000000" w:themeColor="text1"/>
                <w:sz w:val="22"/>
                <w:szCs w:val="22"/>
                <w:lang w:val="en-US" w:eastAsia="zh-CN"/>
                <w14:textFill>
                  <w14:solidFill>
                    <w14:schemeClr w14:val="tx1"/>
                  </w14:solidFill>
                </w14:textFill>
              </w:rPr>
              <w:t>磋商</w:t>
            </w:r>
            <w:r>
              <w:rPr>
                <w:rFonts w:hint="eastAsia" w:ascii="宋体" w:hAnsi="宋体" w:eastAsia="宋体" w:cs="Times New Roman"/>
                <w:color w:val="000000" w:themeColor="text1"/>
                <w:sz w:val="22"/>
                <w:szCs w:val="22"/>
                <w14:textFill>
                  <w14:solidFill>
                    <w14:schemeClr w14:val="tx1"/>
                  </w14:solidFill>
                </w14:textFill>
              </w:rPr>
              <w:t>，供应商需用 CA 在电子平台上传电子响应文件；</w:t>
            </w:r>
          </w:p>
          <w:p w14:paraId="67111262">
            <w:pPr>
              <w:spacing w:line="360" w:lineRule="auto"/>
              <w:rPr>
                <w:rFonts w:ascii="宋体" w:hAnsi="宋体" w:eastAsia="宋体" w:cs="Times New Roman"/>
                <w:color w:val="000000" w:themeColor="text1"/>
                <w:sz w:val="22"/>
                <w:szCs w:val="22"/>
                <w14:textFill>
                  <w14:solidFill>
                    <w14:schemeClr w14:val="tx1"/>
                  </w14:solidFill>
                </w14:textFill>
              </w:rPr>
            </w:pPr>
            <w:r>
              <w:rPr>
                <w:rFonts w:hint="eastAsia" w:ascii="宋体" w:hAnsi="宋体" w:eastAsia="宋体" w:cs="Times New Roman"/>
                <w:color w:val="000000" w:themeColor="text1"/>
                <w:sz w:val="22"/>
                <w:szCs w:val="22"/>
                <w14:textFill>
                  <w14:solidFill>
                    <w14:schemeClr w14:val="tx1"/>
                  </w14:solidFill>
                </w14:textFill>
              </w:rPr>
              <w:t>2、开标时不再递交纸质响应文件</w:t>
            </w:r>
          </w:p>
        </w:tc>
      </w:tr>
      <w:tr w14:paraId="39002F48">
        <w:tblPrEx>
          <w:tblCellMar>
            <w:top w:w="0" w:type="dxa"/>
            <w:left w:w="108" w:type="dxa"/>
            <w:bottom w:w="0" w:type="dxa"/>
            <w:right w:w="108" w:type="dxa"/>
          </w:tblCellMar>
        </w:tblPrEx>
        <w:trPr>
          <w:trHeight w:val="807" w:hRule="atLeast"/>
        </w:trPr>
        <w:tc>
          <w:tcPr>
            <w:tcW w:w="828" w:type="dxa"/>
            <w:tcBorders>
              <w:top w:val="single" w:color="auto" w:sz="6" w:space="0"/>
              <w:left w:val="single" w:color="auto" w:sz="12" w:space="0"/>
              <w:bottom w:val="single" w:color="auto" w:sz="6" w:space="0"/>
              <w:right w:val="single" w:color="auto" w:sz="6" w:space="0"/>
            </w:tcBorders>
            <w:vAlign w:val="center"/>
          </w:tcPr>
          <w:p w14:paraId="05E9AE6B">
            <w:pPr>
              <w:adjustRightInd w:val="0"/>
              <w:spacing w:line="360" w:lineRule="auto"/>
              <w:jc w:val="center"/>
              <w:rPr>
                <w:rFonts w:ascii="宋体" w:hAnsi="宋体" w:cs="宋体"/>
                <w:spacing w:val="6"/>
                <w:sz w:val="22"/>
                <w:szCs w:val="22"/>
              </w:rPr>
            </w:pPr>
            <w:r>
              <w:rPr>
                <w:rFonts w:hint="eastAsia" w:ascii="宋体" w:hAnsi="宋体" w:cs="宋体"/>
                <w:spacing w:val="6"/>
                <w:sz w:val="22"/>
                <w:szCs w:val="22"/>
              </w:rPr>
              <w:t>30</w:t>
            </w:r>
          </w:p>
        </w:tc>
        <w:tc>
          <w:tcPr>
            <w:tcW w:w="1611" w:type="dxa"/>
            <w:tcBorders>
              <w:top w:val="single" w:color="auto" w:sz="6" w:space="0"/>
              <w:left w:val="single" w:color="auto" w:sz="6" w:space="0"/>
              <w:bottom w:val="single" w:color="auto" w:sz="6" w:space="0"/>
              <w:right w:val="single" w:color="auto" w:sz="6" w:space="0"/>
            </w:tcBorders>
            <w:shd w:val="clear" w:color="auto" w:fill="auto"/>
            <w:vAlign w:val="center"/>
          </w:tcPr>
          <w:p w14:paraId="5742939C">
            <w:pPr>
              <w:spacing w:line="360" w:lineRule="auto"/>
              <w:jc w:val="center"/>
              <w:rPr>
                <w:rFonts w:ascii="宋体" w:hAnsi="宋体" w:eastAsia="宋体" w:cs="Times New Roman"/>
                <w:sz w:val="22"/>
                <w:szCs w:val="22"/>
              </w:rPr>
            </w:pPr>
            <w:r>
              <w:rPr>
                <w:rFonts w:hint="eastAsia" w:ascii="宋体" w:hAnsi="宋体" w:eastAsia="宋体" w:cs="Times New Roman"/>
                <w:sz w:val="22"/>
                <w:szCs w:val="22"/>
              </w:rPr>
              <w:t>响应文件递交</w:t>
            </w:r>
          </w:p>
        </w:tc>
        <w:tc>
          <w:tcPr>
            <w:tcW w:w="6565" w:type="dxa"/>
            <w:tcBorders>
              <w:top w:val="single" w:color="auto" w:sz="6" w:space="0"/>
              <w:left w:val="single" w:color="auto" w:sz="6" w:space="0"/>
              <w:bottom w:val="single" w:color="auto" w:sz="6" w:space="0"/>
              <w:right w:val="single" w:color="auto" w:sz="12" w:space="0"/>
            </w:tcBorders>
            <w:shd w:val="clear" w:color="auto" w:fill="auto"/>
            <w:vAlign w:val="center"/>
          </w:tcPr>
          <w:p w14:paraId="1FDB410A">
            <w:pPr>
              <w:spacing w:line="360" w:lineRule="auto"/>
              <w:rPr>
                <w:rFonts w:ascii="宋体" w:hAnsi="宋体" w:eastAsia="宋体" w:cs="Times New Roman"/>
                <w:sz w:val="22"/>
                <w:szCs w:val="22"/>
              </w:rPr>
            </w:pPr>
            <w:r>
              <w:rPr>
                <w:rFonts w:hint="eastAsia" w:ascii="宋体" w:hAnsi="宋体" w:eastAsia="宋体" w:cs="Times New Roman"/>
                <w:sz w:val="22"/>
                <w:szCs w:val="22"/>
              </w:rPr>
              <w:t>电子响应文件的电子版用企业和法人CA数字证书在磋商截止时间前上传至“三门峡市公共资源交易中心网站”。</w:t>
            </w:r>
          </w:p>
        </w:tc>
      </w:tr>
      <w:tr w14:paraId="126CB0A3">
        <w:tblPrEx>
          <w:tblCellMar>
            <w:top w:w="0" w:type="dxa"/>
            <w:left w:w="108" w:type="dxa"/>
            <w:bottom w:w="0" w:type="dxa"/>
            <w:right w:w="108" w:type="dxa"/>
          </w:tblCellMar>
        </w:tblPrEx>
        <w:trPr>
          <w:trHeight w:val="807" w:hRule="atLeast"/>
        </w:trPr>
        <w:tc>
          <w:tcPr>
            <w:tcW w:w="828" w:type="dxa"/>
            <w:tcBorders>
              <w:top w:val="single" w:color="auto" w:sz="6" w:space="0"/>
              <w:left w:val="single" w:color="auto" w:sz="12" w:space="0"/>
              <w:bottom w:val="single" w:color="auto" w:sz="6" w:space="0"/>
              <w:right w:val="single" w:color="auto" w:sz="6" w:space="0"/>
            </w:tcBorders>
            <w:vAlign w:val="center"/>
          </w:tcPr>
          <w:p w14:paraId="7613844B">
            <w:pPr>
              <w:adjustRightInd w:val="0"/>
              <w:spacing w:line="360" w:lineRule="auto"/>
              <w:jc w:val="center"/>
              <w:rPr>
                <w:rFonts w:ascii="宋体" w:hAnsi="宋体" w:cs="宋体"/>
                <w:spacing w:val="6"/>
                <w:sz w:val="22"/>
                <w:szCs w:val="22"/>
              </w:rPr>
            </w:pPr>
            <w:r>
              <w:rPr>
                <w:rFonts w:hint="eastAsia" w:ascii="宋体" w:hAnsi="宋体" w:cs="宋体"/>
                <w:spacing w:val="6"/>
                <w:sz w:val="22"/>
                <w:szCs w:val="22"/>
              </w:rPr>
              <w:t>31</w:t>
            </w:r>
          </w:p>
        </w:tc>
        <w:tc>
          <w:tcPr>
            <w:tcW w:w="1611" w:type="dxa"/>
            <w:tcBorders>
              <w:top w:val="single" w:color="auto" w:sz="6" w:space="0"/>
              <w:left w:val="single" w:color="auto" w:sz="6" w:space="0"/>
              <w:bottom w:val="single" w:color="auto" w:sz="6" w:space="0"/>
              <w:right w:val="single" w:color="auto" w:sz="6" w:space="0"/>
            </w:tcBorders>
            <w:vAlign w:val="center"/>
          </w:tcPr>
          <w:p w14:paraId="6BFE33B1">
            <w:pPr>
              <w:adjustRightInd w:val="0"/>
              <w:spacing w:line="360" w:lineRule="auto"/>
              <w:rPr>
                <w:rFonts w:ascii="宋体" w:hAnsi="宋体" w:cs="宋体"/>
                <w:sz w:val="22"/>
                <w:szCs w:val="22"/>
              </w:rPr>
            </w:pPr>
            <w:r>
              <w:rPr>
                <w:rFonts w:hint="eastAsia" w:ascii="宋体" w:hAnsi="宋体" w:cs="宋体"/>
                <w:sz w:val="22"/>
                <w:szCs w:val="22"/>
              </w:rPr>
              <w:t>开标时间和地点</w:t>
            </w:r>
          </w:p>
        </w:tc>
        <w:tc>
          <w:tcPr>
            <w:tcW w:w="6565" w:type="dxa"/>
            <w:tcBorders>
              <w:top w:val="single" w:color="auto" w:sz="6" w:space="0"/>
              <w:left w:val="single" w:color="auto" w:sz="6" w:space="0"/>
              <w:bottom w:val="single" w:color="auto" w:sz="6" w:space="0"/>
              <w:right w:val="single" w:color="auto" w:sz="12" w:space="0"/>
            </w:tcBorders>
            <w:vAlign w:val="center"/>
          </w:tcPr>
          <w:p w14:paraId="2283FDB0">
            <w:pPr>
              <w:adjustRightInd w:val="0"/>
              <w:spacing w:line="360" w:lineRule="auto"/>
              <w:rPr>
                <w:rFonts w:ascii="宋体" w:hAnsi="宋体" w:cs="宋体"/>
                <w:sz w:val="22"/>
                <w:szCs w:val="22"/>
              </w:rPr>
            </w:pPr>
            <w:r>
              <w:rPr>
                <w:rFonts w:hint="eastAsia" w:ascii="宋体" w:hAnsi="宋体" w:cs="宋体"/>
                <w:sz w:val="22"/>
                <w:szCs w:val="22"/>
              </w:rPr>
              <w:t>开标时间：详见公告部分</w:t>
            </w:r>
          </w:p>
          <w:p w14:paraId="4461B6CA">
            <w:pPr>
              <w:adjustRightInd w:val="0"/>
              <w:spacing w:line="360" w:lineRule="auto"/>
              <w:rPr>
                <w:rFonts w:ascii="宋体" w:hAnsi="宋体" w:cs="宋体"/>
                <w:sz w:val="22"/>
                <w:szCs w:val="22"/>
              </w:rPr>
            </w:pPr>
            <w:r>
              <w:rPr>
                <w:rFonts w:hint="eastAsia" w:ascii="宋体" w:hAnsi="宋体" w:cs="宋体"/>
                <w:sz w:val="22"/>
                <w:szCs w:val="22"/>
              </w:rPr>
              <w:t>开标地点：详见公告部分</w:t>
            </w:r>
          </w:p>
        </w:tc>
      </w:tr>
      <w:tr w14:paraId="368E790C">
        <w:tblPrEx>
          <w:tblCellMar>
            <w:top w:w="0" w:type="dxa"/>
            <w:left w:w="108" w:type="dxa"/>
            <w:bottom w:w="0" w:type="dxa"/>
            <w:right w:w="108" w:type="dxa"/>
          </w:tblCellMar>
        </w:tblPrEx>
        <w:trPr>
          <w:trHeight w:val="694" w:hRule="atLeast"/>
        </w:trPr>
        <w:tc>
          <w:tcPr>
            <w:tcW w:w="828" w:type="dxa"/>
            <w:vMerge w:val="restart"/>
            <w:tcBorders>
              <w:top w:val="single" w:color="auto" w:sz="6" w:space="0"/>
              <w:left w:val="single" w:color="auto" w:sz="12" w:space="0"/>
              <w:right w:val="single" w:color="auto" w:sz="6" w:space="0"/>
            </w:tcBorders>
            <w:vAlign w:val="center"/>
          </w:tcPr>
          <w:p w14:paraId="0C2EC487">
            <w:pPr>
              <w:adjustRightInd w:val="0"/>
              <w:spacing w:line="360" w:lineRule="auto"/>
              <w:jc w:val="center"/>
              <w:rPr>
                <w:rFonts w:ascii="宋体" w:hAnsi="宋体" w:eastAsia="宋体" w:cs="宋体"/>
                <w:spacing w:val="6"/>
                <w:sz w:val="22"/>
                <w:szCs w:val="22"/>
              </w:rPr>
            </w:pPr>
            <w:r>
              <w:rPr>
                <w:rFonts w:hint="eastAsia" w:ascii="宋体" w:hAnsi="宋体" w:cs="宋体"/>
                <w:spacing w:val="6"/>
                <w:sz w:val="22"/>
                <w:szCs w:val="22"/>
              </w:rPr>
              <w:t>32</w:t>
            </w:r>
          </w:p>
        </w:tc>
        <w:tc>
          <w:tcPr>
            <w:tcW w:w="1611" w:type="dxa"/>
            <w:vMerge w:val="restart"/>
            <w:tcBorders>
              <w:top w:val="single" w:color="auto" w:sz="6" w:space="0"/>
              <w:left w:val="single" w:color="auto" w:sz="6" w:space="0"/>
              <w:right w:val="single" w:color="auto" w:sz="6" w:space="0"/>
            </w:tcBorders>
            <w:vAlign w:val="center"/>
          </w:tcPr>
          <w:p w14:paraId="4D4F3CAE">
            <w:pPr>
              <w:adjustRightInd w:val="0"/>
              <w:spacing w:line="360" w:lineRule="auto"/>
              <w:rPr>
                <w:rFonts w:ascii="宋体" w:hAnsi="宋体" w:cs="宋体"/>
                <w:sz w:val="22"/>
                <w:szCs w:val="22"/>
              </w:rPr>
            </w:pPr>
            <w:r>
              <w:rPr>
                <w:rFonts w:hint="eastAsia" w:ascii="宋体" w:hAnsi="宋体" w:cs="宋体"/>
                <w:sz w:val="22"/>
                <w:szCs w:val="22"/>
              </w:rPr>
              <w:t>供应商提出问题的截止时间</w:t>
            </w:r>
          </w:p>
        </w:tc>
        <w:tc>
          <w:tcPr>
            <w:tcW w:w="6565" w:type="dxa"/>
            <w:tcBorders>
              <w:top w:val="single" w:color="auto" w:sz="6" w:space="0"/>
              <w:left w:val="single" w:color="auto" w:sz="6" w:space="0"/>
              <w:bottom w:val="single" w:color="auto" w:sz="6" w:space="0"/>
              <w:right w:val="single" w:color="auto" w:sz="12" w:space="0"/>
            </w:tcBorders>
            <w:shd w:val="clear" w:color="auto" w:fill="auto"/>
            <w:vAlign w:val="center"/>
          </w:tcPr>
          <w:p w14:paraId="38E8BDC2">
            <w:pPr>
              <w:spacing w:line="480" w:lineRule="exact"/>
              <w:rPr>
                <w:rFonts w:ascii="宋体" w:hAnsi="宋体" w:eastAsia="宋体" w:cs="Times New Roman"/>
                <w:color w:val="000000" w:themeColor="text1"/>
                <w:sz w:val="22"/>
                <w:szCs w:val="22"/>
                <w14:textFill>
                  <w14:solidFill>
                    <w14:schemeClr w14:val="tx1"/>
                  </w14:solidFill>
                </w14:textFill>
              </w:rPr>
            </w:pPr>
            <w:r>
              <w:rPr>
                <w:rFonts w:hint="eastAsia" w:ascii="宋体" w:hAnsi="宋体"/>
                <w:sz w:val="22"/>
                <w:szCs w:val="22"/>
              </w:rPr>
              <w:t>时间：提交首次响应文件截止时间前</w:t>
            </w:r>
            <w:r>
              <w:rPr>
                <w:rFonts w:ascii="宋体" w:hAnsi="宋体"/>
                <w:sz w:val="22"/>
                <w:szCs w:val="22"/>
                <w:u w:val="single"/>
              </w:rPr>
              <w:t>5</w:t>
            </w:r>
            <w:r>
              <w:rPr>
                <w:rFonts w:hint="eastAsia" w:ascii="宋体" w:hAnsi="宋体"/>
                <w:sz w:val="22"/>
                <w:szCs w:val="22"/>
              </w:rPr>
              <w:t>日</w:t>
            </w:r>
          </w:p>
        </w:tc>
      </w:tr>
      <w:tr w14:paraId="1B1766BB">
        <w:tblPrEx>
          <w:tblCellMar>
            <w:top w:w="0" w:type="dxa"/>
            <w:left w:w="108" w:type="dxa"/>
            <w:bottom w:w="0" w:type="dxa"/>
            <w:right w:w="108" w:type="dxa"/>
          </w:tblCellMar>
        </w:tblPrEx>
        <w:trPr>
          <w:trHeight w:val="694" w:hRule="atLeast"/>
        </w:trPr>
        <w:tc>
          <w:tcPr>
            <w:tcW w:w="828" w:type="dxa"/>
            <w:vMerge w:val="continue"/>
            <w:tcBorders>
              <w:left w:val="single" w:color="auto" w:sz="12" w:space="0"/>
              <w:bottom w:val="single" w:color="auto" w:sz="6" w:space="0"/>
              <w:right w:val="single" w:color="auto" w:sz="6" w:space="0"/>
            </w:tcBorders>
            <w:vAlign w:val="center"/>
          </w:tcPr>
          <w:p w14:paraId="1B69E4AF">
            <w:pPr>
              <w:adjustRightInd w:val="0"/>
              <w:spacing w:line="360" w:lineRule="auto"/>
              <w:rPr>
                <w:sz w:val="20"/>
                <w:szCs w:val="22"/>
              </w:rPr>
            </w:pPr>
          </w:p>
        </w:tc>
        <w:tc>
          <w:tcPr>
            <w:tcW w:w="1611" w:type="dxa"/>
            <w:vMerge w:val="continue"/>
            <w:tcBorders>
              <w:left w:val="single" w:color="auto" w:sz="6" w:space="0"/>
              <w:bottom w:val="single" w:color="auto" w:sz="6" w:space="0"/>
              <w:right w:val="single" w:color="auto" w:sz="6" w:space="0"/>
            </w:tcBorders>
            <w:vAlign w:val="center"/>
          </w:tcPr>
          <w:p w14:paraId="21BC8CFE">
            <w:pPr>
              <w:adjustRightInd w:val="0"/>
              <w:spacing w:line="360" w:lineRule="auto"/>
              <w:rPr>
                <w:sz w:val="20"/>
                <w:szCs w:val="22"/>
              </w:rPr>
            </w:pPr>
          </w:p>
        </w:tc>
        <w:tc>
          <w:tcPr>
            <w:tcW w:w="6565" w:type="dxa"/>
            <w:tcBorders>
              <w:top w:val="single" w:color="auto" w:sz="6" w:space="0"/>
              <w:left w:val="single" w:color="auto" w:sz="6" w:space="0"/>
              <w:bottom w:val="single" w:color="auto" w:sz="6" w:space="0"/>
              <w:right w:val="single" w:color="auto" w:sz="12" w:space="0"/>
            </w:tcBorders>
            <w:shd w:val="clear" w:color="auto" w:fill="auto"/>
            <w:vAlign w:val="center"/>
          </w:tcPr>
          <w:p w14:paraId="1BA34784">
            <w:pPr>
              <w:spacing w:line="480" w:lineRule="exact"/>
              <w:rPr>
                <w:rFonts w:ascii="宋体" w:hAnsi="宋体"/>
                <w:sz w:val="22"/>
                <w:szCs w:val="22"/>
              </w:rPr>
            </w:pPr>
            <w:r>
              <w:rPr>
                <w:rFonts w:hint="eastAsia" w:ascii="宋体" w:hAnsi="宋体"/>
                <w:sz w:val="22"/>
                <w:szCs w:val="22"/>
              </w:rPr>
              <w:t>形式：在三门峡市公共资源交易中心系统平台提出</w:t>
            </w:r>
          </w:p>
        </w:tc>
      </w:tr>
      <w:tr w14:paraId="203F097B">
        <w:tblPrEx>
          <w:tblCellMar>
            <w:top w:w="0" w:type="dxa"/>
            <w:left w:w="108" w:type="dxa"/>
            <w:bottom w:w="0" w:type="dxa"/>
            <w:right w:w="108" w:type="dxa"/>
          </w:tblCellMar>
        </w:tblPrEx>
        <w:trPr>
          <w:trHeight w:val="694" w:hRule="atLeast"/>
        </w:trPr>
        <w:tc>
          <w:tcPr>
            <w:tcW w:w="828" w:type="dxa"/>
            <w:tcBorders>
              <w:left w:val="single" w:color="auto" w:sz="12" w:space="0"/>
              <w:bottom w:val="single" w:color="auto" w:sz="6" w:space="0"/>
              <w:right w:val="single" w:color="auto" w:sz="6" w:space="0"/>
            </w:tcBorders>
            <w:vAlign w:val="center"/>
          </w:tcPr>
          <w:p w14:paraId="75455ABF">
            <w:pPr>
              <w:adjustRightInd w:val="0"/>
              <w:spacing w:line="360" w:lineRule="auto"/>
              <w:jc w:val="center"/>
              <w:rPr>
                <w:sz w:val="20"/>
                <w:szCs w:val="22"/>
              </w:rPr>
            </w:pPr>
            <w:r>
              <w:rPr>
                <w:rFonts w:hint="eastAsia"/>
                <w:sz w:val="20"/>
                <w:szCs w:val="22"/>
              </w:rPr>
              <w:t>33</w:t>
            </w:r>
          </w:p>
        </w:tc>
        <w:tc>
          <w:tcPr>
            <w:tcW w:w="1611" w:type="dxa"/>
            <w:tcBorders>
              <w:left w:val="single" w:color="auto" w:sz="6" w:space="0"/>
              <w:bottom w:val="single" w:color="auto" w:sz="6" w:space="0"/>
              <w:right w:val="single" w:color="auto" w:sz="6" w:space="0"/>
            </w:tcBorders>
            <w:shd w:val="clear" w:color="auto" w:fill="auto"/>
            <w:vAlign w:val="center"/>
          </w:tcPr>
          <w:p w14:paraId="56B183D8">
            <w:pPr>
              <w:spacing w:line="360" w:lineRule="auto"/>
              <w:jc w:val="center"/>
              <w:rPr>
                <w:rFonts w:ascii="宋体" w:hAnsi="宋体"/>
                <w:sz w:val="22"/>
                <w:szCs w:val="22"/>
              </w:rPr>
            </w:pPr>
            <w:r>
              <w:rPr>
                <w:rFonts w:hint="eastAsia" w:ascii="宋体" w:hAnsi="宋体"/>
                <w:sz w:val="22"/>
                <w:szCs w:val="22"/>
              </w:rPr>
              <w:t>竞争性磋商文件澄清发出的形式</w:t>
            </w:r>
          </w:p>
        </w:tc>
        <w:tc>
          <w:tcPr>
            <w:tcW w:w="6565" w:type="dxa"/>
            <w:tcBorders>
              <w:top w:val="single" w:color="auto" w:sz="6" w:space="0"/>
              <w:left w:val="single" w:color="auto" w:sz="6" w:space="0"/>
              <w:bottom w:val="single" w:color="auto" w:sz="6" w:space="0"/>
              <w:right w:val="single" w:color="auto" w:sz="12" w:space="0"/>
            </w:tcBorders>
            <w:shd w:val="clear" w:color="auto" w:fill="auto"/>
            <w:vAlign w:val="center"/>
          </w:tcPr>
          <w:p w14:paraId="671FBFD0">
            <w:pPr>
              <w:spacing w:line="480" w:lineRule="exact"/>
              <w:rPr>
                <w:rFonts w:ascii="宋体" w:hAnsi="宋体"/>
                <w:sz w:val="22"/>
                <w:szCs w:val="22"/>
              </w:rPr>
            </w:pPr>
            <w:r>
              <w:rPr>
                <w:rFonts w:hint="eastAsia" w:ascii="宋体" w:hAnsi="宋体"/>
                <w:sz w:val="22"/>
                <w:szCs w:val="22"/>
              </w:rPr>
              <w:t>通过三门峡市公共资源交易中心系统平台发布且同时在原公告媒体发布澄清公告</w:t>
            </w:r>
          </w:p>
        </w:tc>
      </w:tr>
      <w:tr w14:paraId="01B5062B">
        <w:tblPrEx>
          <w:tblCellMar>
            <w:top w:w="0" w:type="dxa"/>
            <w:left w:w="108" w:type="dxa"/>
            <w:bottom w:w="0" w:type="dxa"/>
            <w:right w:w="108" w:type="dxa"/>
          </w:tblCellMar>
        </w:tblPrEx>
        <w:trPr>
          <w:trHeight w:val="807" w:hRule="atLeast"/>
        </w:trPr>
        <w:tc>
          <w:tcPr>
            <w:tcW w:w="828" w:type="dxa"/>
            <w:tcBorders>
              <w:top w:val="single" w:color="auto" w:sz="6" w:space="0"/>
              <w:left w:val="single" w:color="auto" w:sz="12" w:space="0"/>
              <w:bottom w:val="single" w:color="auto" w:sz="6" w:space="0"/>
              <w:right w:val="single" w:color="auto" w:sz="6" w:space="0"/>
            </w:tcBorders>
            <w:vAlign w:val="center"/>
          </w:tcPr>
          <w:p w14:paraId="39D7FD87">
            <w:pPr>
              <w:adjustRightInd w:val="0"/>
              <w:spacing w:line="360" w:lineRule="auto"/>
              <w:jc w:val="center"/>
              <w:rPr>
                <w:rFonts w:ascii="宋体" w:hAnsi="宋体" w:eastAsia="宋体" w:cs="宋体"/>
                <w:spacing w:val="6"/>
                <w:sz w:val="22"/>
                <w:szCs w:val="22"/>
              </w:rPr>
            </w:pPr>
            <w:r>
              <w:rPr>
                <w:rFonts w:hint="eastAsia" w:ascii="宋体" w:hAnsi="宋体" w:cs="宋体"/>
                <w:spacing w:val="6"/>
                <w:sz w:val="22"/>
                <w:szCs w:val="22"/>
              </w:rPr>
              <w:t>34</w:t>
            </w:r>
          </w:p>
        </w:tc>
        <w:tc>
          <w:tcPr>
            <w:tcW w:w="1611" w:type="dxa"/>
            <w:tcBorders>
              <w:top w:val="single" w:color="auto" w:sz="6" w:space="0"/>
              <w:left w:val="single" w:color="auto" w:sz="6" w:space="0"/>
              <w:bottom w:val="single" w:color="auto" w:sz="6" w:space="0"/>
              <w:right w:val="single" w:color="auto" w:sz="6" w:space="0"/>
            </w:tcBorders>
            <w:vAlign w:val="center"/>
          </w:tcPr>
          <w:p w14:paraId="69CC9BF2">
            <w:pPr>
              <w:adjustRightInd w:val="0"/>
              <w:spacing w:line="360" w:lineRule="auto"/>
              <w:rPr>
                <w:rFonts w:ascii="宋体" w:hAnsi="宋体" w:cs="宋体"/>
                <w:sz w:val="22"/>
                <w:szCs w:val="22"/>
              </w:rPr>
            </w:pPr>
            <w:r>
              <w:rPr>
                <w:rFonts w:hint="eastAsia" w:ascii="宋体" w:hAnsi="宋体" w:cs="宋体"/>
                <w:sz w:val="22"/>
                <w:szCs w:val="22"/>
              </w:rPr>
              <w:t>采购人书面澄清的时间</w:t>
            </w:r>
          </w:p>
        </w:tc>
        <w:tc>
          <w:tcPr>
            <w:tcW w:w="6565" w:type="dxa"/>
            <w:tcBorders>
              <w:top w:val="single" w:color="auto" w:sz="6" w:space="0"/>
              <w:left w:val="single" w:color="auto" w:sz="6" w:space="0"/>
              <w:bottom w:val="single" w:color="auto" w:sz="6" w:space="0"/>
              <w:right w:val="single" w:color="auto" w:sz="12" w:space="0"/>
            </w:tcBorders>
            <w:vAlign w:val="center"/>
          </w:tcPr>
          <w:p w14:paraId="1BA42E54">
            <w:pPr>
              <w:adjustRightInd w:val="0"/>
              <w:spacing w:line="360" w:lineRule="auto"/>
              <w:rPr>
                <w:rFonts w:ascii="宋体" w:hAnsi="宋体" w:cs="宋体"/>
                <w:sz w:val="22"/>
                <w:szCs w:val="22"/>
              </w:rPr>
            </w:pPr>
            <w:r>
              <w:rPr>
                <w:rFonts w:hint="eastAsia" w:ascii="宋体" w:hAnsi="宋体" w:cs="宋体"/>
                <w:sz w:val="22"/>
                <w:szCs w:val="22"/>
              </w:rPr>
              <w:t>递交响应文件的截止之日5日前</w:t>
            </w:r>
          </w:p>
        </w:tc>
      </w:tr>
      <w:tr w14:paraId="583A6FF7">
        <w:tblPrEx>
          <w:tblCellMar>
            <w:top w:w="0" w:type="dxa"/>
            <w:left w:w="108" w:type="dxa"/>
            <w:bottom w:w="0" w:type="dxa"/>
            <w:right w:w="108" w:type="dxa"/>
          </w:tblCellMar>
        </w:tblPrEx>
        <w:trPr>
          <w:trHeight w:val="807" w:hRule="atLeast"/>
        </w:trPr>
        <w:tc>
          <w:tcPr>
            <w:tcW w:w="828" w:type="dxa"/>
            <w:tcBorders>
              <w:top w:val="single" w:color="auto" w:sz="6" w:space="0"/>
              <w:left w:val="single" w:color="auto" w:sz="12" w:space="0"/>
              <w:bottom w:val="single" w:color="auto" w:sz="6" w:space="0"/>
              <w:right w:val="single" w:color="auto" w:sz="6" w:space="0"/>
            </w:tcBorders>
            <w:vAlign w:val="center"/>
          </w:tcPr>
          <w:p w14:paraId="3B3C819B">
            <w:pPr>
              <w:adjustRightInd w:val="0"/>
              <w:spacing w:line="360" w:lineRule="auto"/>
              <w:jc w:val="center"/>
              <w:rPr>
                <w:rFonts w:ascii="宋体" w:hAnsi="宋体" w:cs="宋体"/>
                <w:spacing w:val="6"/>
                <w:sz w:val="22"/>
                <w:szCs w:val="22"/>
              </w:rPr>
            </w:pPr>
            <w:r>
              <w:rPr>
                <w:rFonts w:hint="eastAsia" w:ascii="宋体" w:hAnsi="宋体" w:cs="宋体"/>
                <w:spacing w:val="6"/>
                <w:sz w:val="22"/>
                <w:szCs w:val="22"/>
              </w:rPr>
              <w:t>35</w:t>
            </w:r>
          </w:p>
        </w:tc>
        <w:tc>
          <w:tcPr>
            <w:tcW w:w="1611" w:type="dxa"/>
            <w:tcBorders>
              <w:top w:val="single" w:color="auto" w:sz="6" w:space="0"/>
              <w:left w:val="single" w:color="auto" w:sz="6" w:space="0"/>
              <w:bottom w:val="single" w:color="auto" w:sz="6" w:space="0"/>
              <w:right w:val="single" w:color="auto" w:sz="6" w:space="0"/>
            </w:tcBorders>
            <w:vAlign w:val="center"/>
          </w:tcPr>
          <w:p w14:paraId="3C352070">
            <w:pPr>
              <w:adjustRightInd w:val="0"/>
              <w:spacing w:line="360" w:lineRule="auto"/>
              <w:jc w:val="center"/>
              <w:rPr>
                <w:rFonts w:ascii="宋体" w:hAnsi="宋体" w:cs="宋体"/>
                <w:sz w:val="22"/>
                <w:szCs w:val="22"/>
              </w:rPr>
            </w:pPr>
            <w:r>
              <w:rPr>
                <w:rFonts w:hint="eastAsia" w:ascii="宋体" w:hAnsi="宋体" w:cs="宋体"/>
                <w:sz w:val="22"/>
                <w:szCs w:val="22"/>
              </w:rPr>
              <w:t>偏离</w:t>
            </w:r>
          </w:p>
        </w:tc>
        <w:tc>
          <w:tcPr>
            <w:tcW w:w="6565" w:type="dxa"/>
            <w:tcBorders>
              <w:top w:val="single" w:color="auto" w:sz="6" w:space="0"/>
              <w:left w:val="single" w:color="auto" w:sz="6" w:space="0"/>
              <w:bottom w:val="single" w:color="auto" w:sz="6" w:space="0"/>
              <w:right w:val="single" w:color="auto" w:sz="12" w:space="0"/>
            </w:tcBorders>
            <w:vAlign w:val="center"/>
          </w:tcPr>
          <w:p w14:paraId="3C6974A8">
            <w:pPr>
              <w:spacing w:line="480" w:lineRule="exact"/>
              <w:jc w:val="left"/>
              <w:rPr>
                <w:rFonts w:ascii="宋体" w:hAnsi="宋体" w:cs="宋体"/>
                <w:sz w:val="22"/>
                <w:szCs w:val="22"/>
              </w:rPr>
            </w:pPr>
            <w:r>
              <w:rPr>
                <w:rFonts w:hint="eastAsia" w:ascii="宋体" w:hAnsi="宋体" w:cs="宋体"/>
                <w:sz w:val="22"/>
                <w:szCs w:val="22"/>
              </w:rPr>
              <w:t>不允许</w:t>
            </w:r>
          </w:p>
        </w:tc>
      </w:tr>
      <w:tr w14:paraId="0A4425E0">
        <w:tblPrEx>
          <w:tblCellMar>
            <w:top w:w="0" w:type="dxa"/>
            <w:left w:w="108" w:type="dxa"/>
            <w:bottom w:w="0" w:type="dxa"/>
            <w:right w:w="108" w:type="dxa"/>
          </w:tblCellMar>
        </w:tblPrEx>
        <w:trPr>
          <w:trHeight w:val="807" w:hRule="atLeast"/>
        </w:trPr>
        <w:tc>
          <w:tcPr>
            <w:tcW w:w="828" w:type="dxa"/>
            <w:tcBorders>
              <w:top w:val="single" w:color="auto" w:sz="6" w:space="0"/>
              <w:left w:val="single" w:color="auto" w:sz="12" w:space="0"/>
              <w:bottom w:val="single" w:color="auto" w:sz="6" w:space="0"/>
              <w:right w:val="single" w:color="auto" w:sz="6" w:space="0"/>
            </w:tcBorders>
            <w:vAlign w:val="center"/>
          </w:tcPr>
          <w:p w14:paraId="1EB003DE">
            <w:pPr>
              <w:adjustRightInd w:val="0"/>
              <w:spacing w:line="360" w:lineRule="auto"/>
              <w:jc w:val="center"/>
              <w:rPr>
                <w:rFonts w:ascii="宋体" w:hAnsi="宋体" w:cs="宋体"/>
                <w:spacing w:val="6"/>
                <w:sz w:val="22"/>
                <w:szCs w:val="22"/>
              </w:rPr>
            </w:pPr>
            <w:r>
              <w:rPr>
                <w:rFonts w:hint="eastAsia" w:ascii="宋体" w:hAnsi="宋体" w:cs="宋体"/>
                <w:spacing w:val="6"/>
                <w:sz w:val="22"/>
                <w:szCs w:val="22"/>
              </w:rPr>
              <w:t>36</w:t>
            </w:r>
          </w:p>
        </w:tc>
        <w:tc>
          <w:tcPr>
            <w:tcW w:w="1611" w:type="dxa"/>
            <w:tcBorders>
              <w:top w:val="single" w:color="auto" w:sz="6" w:space="0"/>
              <w:left w:val="single" w:color="auto" w:sz="6" w:space="0"/>
              <w:bottom w:val="single" w:color="auto" w:sz="6" w:space="0"/>
              <w:right w:val="single" w:color="auto" w:sz="6" w:space="0"/>
            </w:tcBorders>
            <w:shd w:val="clear" w:color="auto" w:fill="auto"/>
            <w:vAlign w:val="center"/>
          </w:tcPr>
          <w:p w14:paraId="351758E0">
            <w:pPr>
              <w:adjustRightInd w:val="0"/>
              <w:snapToGrid w:val="0"/>
              <w:spacing w:line="360" w:lineRule="auto"/>
              <w:rPr>
                <w:rFonts w:ascii="宋体" w:hAnsi="宋体" w:cs="宋体"/>
                <w:spacing w:val="11"/>
                <w:sz w:val="22"/>
                <w:szCs w:val="22"/>
              </w:rPr>
            </w:pPr>
            <w:r>
              <w:rPr>
                <w:rFonts w:hint="eastAsia" w:ascii="宋体" w:hAnsi="宋体" w:cs="宋体"/>
                <w:spacing w:val="11"/>
                <w:sz w:val="22"/>
                <w:szCs w:val="22"/>
              </w:rPr>
              <w:t>构成磋商文件的其他材料</w:t>
            </w:r>
          </w:p>
        </w:tc>
        <w:tc>
          <w:tcPr>
            <w:tcW w:w="6565" w:type="dxa"/>
            <w:tcBorders>
              <w:top w:val="single" w:color="auto" w:sz="6" w:space="0"/>
              <w:left w:val="single" w:color="auto" w:sz="6" w:space="0"/>
              <w:bottom w:val="single" w:color="auto" w:sz="6" w:space="0"/>
              <w:right w:val="single" w:color="auto" w:sz="12" w:space="0"/>
            </w:tcBorders>
            <w:shd w:val="clear" w:color="auto" w:fill="auto"/>
            <w:vAlign w:val="center"/>
          </w:tcPr>
          <w:p w14:paraId="767B2D1B">
            <w:pPr>
              <w:adjustRightInd w:val="0"/>
              <w:snapToGrid w:val="0"/>
              <w:spacing w:line="360" w:lineRule="auto"/>
              <w:rPr>
                <w:rFonts w:ascii="宋体" w:hAnsi="宋体" w:cs="宋体"/>
                <w:spacing w:val="11"/>
                <w:sz w:val="22"/>
                <w:szCs w:val="22"/>
              </w:rPr>
            </w:pPr>
            <w:r>
              <w:rPr>
                <w:rFonts w:hint="eastAsia" w:ascii="宋体" w:hAnsi="宋体" w:cs="宋体"/>
                <w:spacing w:val="11"/>
                <w:sz w:val="22"/>
                <w:szCs w:val="22"/>
              </w:rPr>
              <w:t>采购人在磋商期间发出的竞争性磋商文件修改、磋商答疑纪要及澄清</w:t>
            </w:r>
            <w:r>
              <w:rPr>
                <w:rFonts w:hint="eastAsia" w:ascii="宋体" w:hAnsi="宋体" w:cs="宋体"/>
                <w:sz w:val="22"/>
                <w:szCs w:val="22"/>
              </w:rPr>
              <w:t>等均是竞争性磋商文件的组成部分</w:t>
            </w:r>
          </w:p>
        </w:tc>
      </w:tr>
      <w:tr w14:paraId="4940A1E2">
        <w:tblPrEx>
          <w:tblCellMar>
            <w:top w:w="0" w:type="dxa"/>
            <w:left w:w="108" w:type="dxa"/>
            <w:bottom w:w="0" w:type="dxa"/>
            <w:right w:w="108" w:type="dxa"/>
          </w:tblCellMar>
        </w:tblPrEx>
        <w:trPr>
          <w:trHeight w:val="807" w:hRule="atLeast"/>
        </w:trPr>
        <w:tc>
          <w:tcPr>
            <w:tcW w:w="828" w:type="dxa"/>
            <w:tcBorders>
              <w:top w:val="single" w:color="auto" w:sz="6" w:space="0"/>
              <w:left w:val="single" w:color="auto" w:sz="12" w:space="0"/>
              <w:bottom w:val="single" w:color="auto" w:sz="6" w:space="0"/>
              <w:right w:val="single" w:color="auto" w:sz="6" w:space="0"/>
            </w:tcBorders>
            <w:vAlign w:val="center"/>
          </w:tcPr>
          <w:p w14:paraId="47AF7C30">
            <w:pPr>
              <w:adjustRightInd w:val="0"/>
              <w:spacing w:line="360" w:lineRule="auto"/>
              <w:jc w:val="center"/>
              <w:rPr>
                <w:rFonts w:ascii="宋体" w:hAnsi="宋体" w:cs="宋体"/>
                <w:spacing w:val="6"/>
                <w:sz w:val="22"/>
                <w:szCs w:val="22"/>
              </w:rPr>
            </w:pPr>
            <w:r>
              <w:rPr>
                <w:rFonts w:hint="eastAsia" w:ascii="宋体" w:hAnsi="宋体" w:cs="宋体"/>
                <w:spacing w:val="6"/>
                <w:sz w:val="22"/>
                <w:szCs w:val="22"/>
              </w:rPr>
              <w:t>37</w:t>
            </w:r>
          </w:p>
        </w:tc>
        <w:tc>
          <w:tcPr>
            <w:tcW w:w="1611" w:type="dxa"/>
            <w:tcBorders>
              <w:top w:val="single" w:color="auto" w:sz="6" w:space="0"/>
              <w:left w:val="single" w:color="auto" w:sz="6" w:space="0"/>
              <w:bottom w:val="single" w:color="auto" w:sz="6" w:space="0"/>
              <w:right w:val="single" w:color="auto" w:sz="6" w:space="0"/>
            </w:tcBorders>
            <w:shd w:val="clear" w:color="auto" w:fill="auto"/>
            <w:vAlign w:val="center"/>
          </w:tcPr>
          <w:p w14:paraId="18B24C81">
            <w:pPr>
              <w:adjustRightInd w:val="0"/>
              <w:snapToGrid w:val="0"/>
              <w:spacing w:line="360" w:lineRule="auto"/>
              <w:rPr>
                <w:rFonts w:ascii="宋体" w:hAnsi="宋体" w:cs="宋体"/>
                <w:spacing w:val="11"/>
                <w:sz w:val="22"/>
                <w:szCs w:val="22"/>
              </w:rPr>
            </w:pPr>
            <w:r>
              <w:rPr>
                <w:rFonts w:hint="eastAsia" w:ascii="宋体" w:hAnsi="宋体" w:cs="宋体"/>
                <w:spacing w:val="11"/>
                <w:sz w:val="22"/>
                <w:szCs w:val="22"/>
              </w:rPr>
              <w:t>供应商确认收到磋商文件澄清的时间</w:t>
            </w:r>
          </w:p>
        </w:tc>
        <w:tc>
          <w:tcPr>
            <w:tcW w:w="6565" w:type="dxa"/>
            <w:tcBorders>
              <w:top w:val="single" w:color="auto" w:sz="6" w:space="0"/>
              <w:left w:val="single" w:color="auto" w:sz="6" w:space="0"/>
              <w:bottom w:val="single" w:color="auto" w:sz="6" w:space="0"/>
              <w:right w:val="single" w:color="auto" w:sz="12" w:space="0"/>
            </w:tcBorders>
            <w:shd w:val="clear" w:color="auto" w:fill="auto"/>
            <w:vAlign w:val="center"/>
          </w:tcPr>
          <w:p w14:paraId="6083FD26">
            <w:pPr>
              <w:adjustRightInd w:val="0"/>
              <w:snapToGrid w:val="0"/>
              <w:spacing w:line="360" w:lineRule="auto"/>
              <w:rPr>
                <w:rFonts w:ascii="宋体" w:hAnsi="宋体" w:cs="宋体"/>
                <w:spacing w:val="11"/>
                <w:sz w:val="22"/>
                <w:szCs w:val="22"/>
              </w:rPr>
            </w:pPr>
            <w:r>
              <w:rPr>
                <w:rFonts w:hint="eastAsia" w:ascii="宋体" w:hAnsi="宋体" w:cs="宋体"/>
                <w:spacing w:val="11"/>
                <w:sz w:val="22"/>
                <w:szCs w:val="22"/>
              </w:rPr>
              <w:t>收到澄清后24小时内（以发出时间为准）</w:t>
            </w:r>
          </w:p>
        </w:tc>
      </w:tr>
      <w:tr w14:paraId="400EFE30">
        <w:tblPrEx>
          <w:tblCellMar>
            <w:top w:w="0" w:type="dxa"/>
            <w:left w:w="108" w:type="dxa"/>
            <w:bottom w:w="0" w:type="dxa"/>
            <w:right w:w="108" w:type="dxa"/>
          </w:tblCellMar>
        </w:tblPrEx>
        <w:trPr>
          <w:trHeight w:val="807" w:hRule="atLeast"/>
        </w:trPr>
        <w:tc>
          <w:tcPr>
            <w:tcW w:w="828" w:type="dxa"/>
            <w:tcBorders>
              <w:top w:val="single" w:color="auto" w:sz="6" w:space="0"/>
              <w:left w:val="single" w:color="auto" w:sz="12" w:space="0"/>
              <w:bottom w:val="single" w:color="auto" w:sz="6" w:space="0"/>
              <w:right w:val="single" w:color="auto" w:sz="6" w:space="0"/>
            </w:tcBorders>
            <w:vAlign w:val="center"/>
          </w:tcPr>
          <w:p w14:paraId="29BAF385">
            <w:pPr>
              <w:adjustRightInd w:val="0"/>
              <w:spacing w:line="360" w:lineRule="auto"/>
              <w:jc w:val="center"/>
              <w:rPr>
                <w:rFonts w:ascii="宋体" w:hAnsi="宋体" w:cs="宋体"/>
                <w:spacing w:val="6"/>
                <w:sz w:val="22"/>
                <w:szCs w:val="22"/>
              </w:rPr>
            </w:pPr>
            <w:r>
              <w:rPr>
                <w:rFonts w:hint="eastAsia" w:ascii="宋体" w:hAnsi="宋体" w:cs="宋体"/>
                <w:spacing w:val="6"/>
                <w:sz w:val="22"/>
                <w:szCs w:val="22"/>
              </w:rPr>
              <w:t>38</w:t>
            </w:r>
          </w:p>
        </w:tc>
        <w:tc>
          <w:tcPr>
            <w:tcW w:w="1611" w:type="dxa"/>
            <w:tcBorders>
              <w:top w:val="single" w:color="auto" w:sz="6" w:space="0"/>
              <w:left w:val="single" w:color="auto" w:sz="6" w:space="0"/>
              <w:bottom w:val="single" w:color="auto" w:sz="6" w:space="0"/>
              <w:right w:val="single" w:color="auto" w:sz="6" w:space="0"/>
            </w:tcBorders>
            <w:shd w:val="clear" w:color="auto" w:fill="auto"/>
            <w:vAlign w:val="center"/>
          </w:tcPr>
          <w:p w14:paraId="511C40B7">
            <w:pPr>
              <w:adjustRightInd w:val="0"/>
              <w:snapToGrid w:val="0"/>
              <w:spacing w:line="360" w:lineRule="auto"/>
              <w:rPr>
                <w:rFonts w:ascii="宋体" w:hAnsi="宋体" w:cs="宋体"/>
                <w:spacing w:val="11"/>
                <w:sz w:val="22"/>
                <w:szCs w:val="22"/>
              </w:rPr>
            </w:pPr>
            <w:r>
              <w:rPr>
                <w:rFonts w:hint="eastAsia" w:ascii="宋体" w:hAnsi="宋体" w:cs="宋体"/>
                <w:spacing w:val="11"/>
                <w:sz w:val="22"/>
                <w:szCs w:val="22"/>
              </w:rPr>
              <w:t>供应商确认收到磋商文件修改的时间</w:t>
            </w:r>
          </w:p>
        </w:tc>
        <w:tc>
          <w:tcPr>
            <w:tcW w:w="6565" w:type="dxa"/>
            <w:tcBorders>
              <w:top w:val="single" w:color="auto" w:sz="6" w:space="0"/>
              <w:left w:val="single" w:color="auto" w:sz="6" w:space="0"/>
              <w:bottom w:val="single" w:color="auto" w:sz="6" w:space="0"/>
              <w:right w:val="single" w:color="auto" w:sz="12" w:space="0"/>
            </w:tcBorders>
            <w:shd w:val="clear" w:color="auto" w:fill="auto"/>
            <w:vAlign w:val="center"/>
          </w:tcPr>
          <w:p w14:paraId="0445A68B">
            <w:pPr>
              <w:adjustRightInd w:val="0"/>
              <w:snapToGrid w:val="0"/>
              <w:spacing w:line="360" w:lineRule="auto"/>
              <w:rPr>
                <w:rFonts w:ascii="宋体" w:hAnsi="宋体" w:cs="宋体"/>
                <w:spacing w:val="11"/>
                <w:sz w:val="22"/>
                <w:szCs w:val="22"/>
              </w:rPr>
            </w:pPr>
            <w:r>
              <w:rPr>
                <w:rFonts w:hint="eastAsia" w:ascii="宋体" w:hAnsi="宋体" w:cs="宋体"/>
                <w:spacing w:val="11"/>
                <w:sz w:val="22"/>
                <w:szCs w:val="22"/>
              </w:rPr>
              <w:t>收到澄清后24小时内（以发出时间为准）</w:t>
            </w:r>
          </w:p>
        </w:tc>
      </w:tr>
      <w:tr w14:paraId="06926B38">
        <w:tblPrEx>
          <w:tblCellMar>
            <w:top w:w="0" w:type="dxa"/>
            <w:left w:w="108" w:type="dxa"/>
            <w:bottom w:w="0" w:type="dxa"/>
            <w:right w:w="108" w:type="dxa"/>
          </w:tblCellMar>
        </w:tblPrEx>
        <w:trPr>
          <w:trHeight w:val="807" w:hRule="atLeast"/>
        </w:trPr>
        <w:tc>
          <w:tcPr>
            <w:tcW w:w="828" w:type="dxa"/>
            <w:tcBorders>
              <w:top w:val="single" w:color="auto" w:sz="6" w:space="0"/>
              <w:left w:val="single" w:color="auto" w:sz="12" w:space="0"/>
              <w:bottom w:val="single" w:color="auto" w:sz="6" w:space="0"/>
              <w:right w:val="single" w:color="auto" w:sz="6" w:space="0"/>
            </w:tcBorders>
            <w:vAlign w:val="center"/>
          </w:tcPr>
          <w:p w14:paraId="76BA077E">
            <w:pPr>
              <w:adjustRightInd w:val="0"/>
              <w:spacing w:line="360" w:lineRule="auto"/>
              <w:jc w:val="center"/>
              <w:rPr>
                <w:rFonts w:ascii="宋体" w:hAnsi="宋体" w:cs="宋体"/>
                <w:spacing w:val="6"/>
                <w:sz w:val="22"/>
                <w:szCs w:val="22"/>
              </w:rPr>
            </w:pPr>
            <w:r>
              <w:rPr>
                <w:rFonts w:hint="eastAsia" w:ascii="宋体" w:hAnsi="宋体" w:cs="宋体"/>
                <w:spacing w:val="6"/>
                <w:sz w:val="22"/>
                <w:szCs w:val="22"/>
              </w:rPr>
              <w:t>39</w:t>
            </w:r>
          </w:p>
        </w:tc>
        <w:tc>
          <w:tcPr>
            <w:tcW w:w="1611" w:type="dxa"/>
            <w:tcBorders>
              <w:top w:val="single" w:color="auto" w:sz="6" w:space="0"/>
              <w:left w:val="single" w:color="auto" w:sz="6" w:space="0"/>
              <w:bottom w:val="single" w:color="auto" w:sz="6" w:space="0"/>
              <w:right w:val="single" w:color="auto" w:sz="6" w:space="0"/>
            </w:tcBorders>
            <w:shd w:val="clear" w:color="auto" w:fill="auto"/>
            <w:vAlign w:val="center"/>
          </w:tcPr>
          <w:p w14:paraId="732C3B20">
            <w:pPr>
              <w:adjustRightInd w:val="0"/>
              <w:snapToGrid w:val="0"/>
              <w:spacing w:line="360" w:lineRule="auto"/>
              <w:jc w:val="center"/>
              <w:rPr>
                <w:rFonts w:ascii="宋体" w:hAnsi="宋体" w:cs="宋体"/>
                <w:spacing w:val="11"/>
                <w:sz w:val="22"/>
                <w:szCs w:val="22"/>
              </w:rPr>
            </w:pPr>
            <w:r>
              <w:rPr>
                <w:rFonts w:hint="eastAsia" w:ascii="宋体" w:hAnsi="宋体" w:cs="宋体"/>
                <w:spacing w:val="11"/>
                <w:sz w:val="22"/>
                <w:szCs w:val="22"/>
              </w:rPr>
              <w:t>是否退还响应文件</w:t>
            </w:r>
          </w:p>
        </w:tc>
        <w:tc>
          <w:tcPr>
            <w:tcW w:w="6565" w:type="dxa"/>
            <w:tcBorders>
              <w:top w:val="single" w:color="auto" w:sz="6" w:space="0"/>
              <w:left w:val="single" w:color="auto" w:sz="6" w:space="0"/>
              <w:bottom w:val="single" w:color="auto" w:sz="6" w:space="0"/>
              <w:right w:val="single" w:color="auto" w:sz="12" w:space="0"/>
            </w:tcBorders>
            <w:shd w:val="clear" w:color="auto" w:fill="auto"/>
            <w:vAlign w:val="center"/>
          </w:tcPr>
          <w:p w14:paraId="3F4C8E97">
            <w:pPr>
              <w:adjustRightInd w:val="0"/>
              <w:snapToGrid w:val="0"/>
              <w:spacing w:line="360" w:lineRule="auto"/>
              <w:jc w:val="left"/>
              <w:rPr>
                <w:rFonts w:ascii="宋体" w:hAnsi="宋体" w:cs="宋体"/>
                <w:spacing w:val="11"/>
                <w:sz w:val="22"/>
                <w:szCs w:val="22"/>
              </w:rPr>
            </w:pPr>
            <w:r>
              <w:rPr>
                <w:rFonts w:hint="eastAsia" w:ascii="宋体" w:hAnsi="宋体" w:cs="宋体"/>
                <w:spacing w:val="11"/>
                <w:sz w:val="22"/>
                <w:szCs w:val="22"/>
              </w:rPr>
              <w:t>否</w:t>
            </w:r>
          </w:p>
        </w:tc>
      </w:tr>
      <w:tr w14:paraId="3F3F041B">
        <w:tblPrEx>
          <w:tblCellMar>
            <w:top w:w="0" w:type="dxa"/>
            <w:left w:w="108" w:type="dxa"/>
            <w:bottom w:w="0" w:type="dxa"/>
            <w:right w:w="108" w:type="dxa"/>
          </w:tblCellMar>
        </w:tblPrEx>
        <w:trPr>
          <w:trHeight w:val="523" w:hRule="atLeast"/>
        </w:trPr>
        <w:tc>
          <w:tcPr>
            <w:tcW w:w="828" w:type="dxa"/>
            <w:tcBorders>
              <w:top w:val="single" w:color="auto" w:sz="6" w:space="0"/>
              <w:left w:val="single" w:color="auto" w:sz="12" w:space="0"/>
              <w:bottom w:val="single" w:color="auto" w:sz="6" w:space="0"/>
              <w:right w:val="single" w:color="auto" w:sz="6" w:space="0"/>
            </w:tcBorders>
            <w:vAlign w:val="center"/>
          </w:tcPr>
          <w:p w14:paraId="3F4FD517">
            <w:pPr>
              <w:adjustRightInd w:val="0"/>
              <w:spacing w:line="360" w:lineRule="auto"/>
              <w:jc w:val="center"/>
              <w:rPr>
                <w:rFonts w:hint="default" w:ascii="宋体" w:hAnsi="宋体" w:cs="宋体" w:eastAsiaTheme="minorEastAsia"/>
                <w:spacing w:val="6"/>
                <w:sz w:val="22"/>
                <w:szCs w:val="22"/>
                <w:lang w:val="en-US" w:eastAsia="zh-CN"/>
              </w:rPr>
            </w:pPr>
            <w:r>
              <w:rPr>
                <w:rFonts w:hint="eastAsia" w:ascii="宋体" w:hAnsi="宋体" w:cs="宋体"/>
                <w:spacing w:val="6"/>
                <w:sz w:val="22"/>
                <w:szCs w:val="22"/>
                <w:lang w:val="en-US" w:eastAsia="zh-CN"/>
              </w:rPr>
              <w:t>40</w:t>
            </w:r>
          </w:p>
        </w:tc>
        <w:tc>
          <w:tcPr>
            <w:tcW w:w="1611" w:type="dxa"/>
            <w:tcBorders>
              <w:top w:val="single" w:color="auto" w:sz="6" w:space="0"/>
              <w:left w:val="single" w:color="auto" w:sz="6" w:space="0"/>
              <w:bottom w:val="single" w:color="auto" w:sz="6" w:space="0"/>
              <w:right w:val="single" w:color="auto" w:sz="6" w:space="0"/>
            </w:tcBorders>
            <w:shd w:val="clear" w:color="auto" w:fill="auto"/>
            <w:vAlign w:val="center"/>
          </w:tcPr>
          <w:p w14:paraId="4CAC2DC6">
            <w:pPr>
              <w:adjustRightInd w:val="0"/>
              <w:snapToGrid w:val="0"/>
              <w:spacing w:line="360" w:lineRule="auto"/>
              <w:jc w:val="center"/>
              <w:rPr>
                <w:rFonts w:hint="eastAsia" w:ascii="宋体" w:hAnsi="宋体" w:cs="宋体" w:eastAsiaTheme="minorEastAsia"/>
                <w:spacing w:val="11"/>
                <w:sz w:val="22"/>
                <w:szCs w:val="22"/>
                <w:lang w:val="en-US" w:eastAsia="zh-CN"/>
              </w:rPr>
            </w:pPr>
            <w:r>
              <w:rPr>
                <w:rFonts w:hint="eastAsia" w:ascii="宋体" w:hAnsi="宋体" w:cs="宋体"/>
                <w:spacing w:val="11"/>
                <w:sz w:val="22"/>
                <w:szCs w:val="22"/>
                <w:lang w:val="en-US" w:eastAsia="zh-CN"/>
              </w:rPr>
              <w:t>所属行业</w:t>
            </w:r>
          </w:p>
        </w:tc>
        <w:tc>
          <w:tcPr>
            <w:tcW w:w="6565" w:type="dxa"/>
            <w:tcBorders>
              <w:top w:val="single" w:color="auto" w:sz="6" w:space="0"/>
              <w:left w:val="single" w:color="auto" w:sz="6" w:space="0"/>
              <w:bottom w:val="single" w:color="auto" w:sz="6" w:space="0"/>
              <w:right w:val="single" w:color="auto" w:sz="12" w:space="0"/>
            </w:tcBorders>
            <w:shd w:val="clear" w:color="auto" w:fill="auto"/>
            <w:vAlign w:val="center"/>
          </w:tcPr>
          <w:p w14:paraId="25D4635B">
            <w:pPr>
              <w:adjustRightInd w:val="0"/>
              <w:snapToGrid w:val="0"/>
              <w:spacing w:line="360" w:lineRule="auto"/>
              <w:jc w:val="left"/>
              <w:rPr>
                <w:rFonts w:hint="eastAsia" w:ascii="宋体" w:hAnsi="宋体" w:cs="宋体" w:eastAsiaTheme="minorEastAsia"/>
                <w:spacing w:val="11"/>
                <w:sz w:val="22"/>
                <w:szCs w:val="22"/>
                <w:lang w:val="en-US" w:eastAsia="zh-CN"/>
              </w:rPr>
            </w:pPr>
            <w:r>
              <w:rPr>
                <w:rFonts w:hint="eastAsia" w:ascii="宋体" w:hAnsi="宋体" w:cs="宋体"/>
                <w:spacing w:val="11"/>
                <w:sz w:val="22"/>
                <w:szCs w:val="22"/>
                <w:lang w:val="en-US" w:eastAsia="zh-CN"/>
              </w:rPr>
              <w:t>批发业</w:t>
            </w:r>
          </w:p>
        </w:tc>
      </w:tr>
      <w:tr w14:paraId="05E250E4">
        <w:tblPrEx>
          <w:tblCellMar>
            <w:top w:w="0" w:type="dxa"/>
            <w:left w:w="108" w:type="dxa"/>
            <w:bottom w:w="0" w:type="dxa"/>
            <w:right w:w="108" w:type="dxa"/>
          </w:tblCellMar>
        </w:tblPrEx>
        <w:trPr>
          <w:trHeight w:val="807" w:hRule="atLeast"/>
        </w:trPr>
        <w:tc>
          <w:tcPr>
            <w:tcW w:w="828" w:type="dxa"/>
            <w:tcBorders>
              <w:top w:val="single" w:color="auto" w:sz="6" w:space="0"/>
              <w:left w:val="single" w:color="auto" w:sz="12" w:space="0"/>
              <w:bottom w:val="single" w:color="auto" w:sz="6" w:space="0"/>
              <w:right w:val="single" w:color="auto" w:sz="6" w:space="0"/>
            </w:tcBorders>
            <w:vAlign w:val="center"/>
          </w:tcPr>
          <w:p w14:paraId="0D9434CA">
            <w:pPr>
              <w:adjustRightInd w:val="0"/>
              <w:spacing w:line="360" w:lineRule="auto"/>
              <w:jc w:val="center"/>
              <w:rPr>
                <w:rFonts w:hint="eastAsia" w:ascii="宋体" w:hAnsi="宋体" w:cs="宋体" w:eastAsiaTheme="minorEastAsia"/>
                <w:spacing w:val="6"/>
                <w:sz w:val="22"/>
                <w:szCs w:val="22"/>
                <w:lang w:eastAsia="zh-CN"/>
              </w:rPr>
            </w:pPr>
            <w:r>
              <w:rPr>
                <w:rFonts w:hint="eastAsia" w:ascii="宋体" w:hAnsi="宋体" w:cs="宋体"/>
                <w:spacing w:val="6"/>
                <w:sz w:val="22"/>
                <w:szCs w:val="22"/>
              </w:rPr>
              <w:t>4</w:t>
            </w:r>
            <w:r>
              <w:rPr>
                <w:rFonts w:hint="eastAsia" w:ascii="宋体" w:hAnsi="宋体" w:cs="宋体"/>
                <w:spacing w:val="6"/>
                <w:sz w:val="22"/>
                <w:szCs w:val="22"/>
                <w:lang w:val="en-US" w:eastAsia="zh-CN"/>
              </w:rPr>
              <w:t>1</w:t>
            </w:r>
          </w:p>
        </w:tc>
        <w:tc>
          <w:tcPr>
            <w:tcW w:w="1611" w:type="dxa"/>
            <w:tcBorders>
              <w:top w:val="single" w:color="auto" w:sz="6" w:space="0"/>
              <w:left w:val="single" w:color="auto" w:sz="6" w:space="0"/>
              <w:bottom w:val="single" w:color="auto" w:sz="6" w:space="0"/>
              <w:right w:val="single" w:color="auto" w:sz="6" w:space="0"/>
            </w:tcBorders>
            <w:vAlign w:val="center"/>
          </w:tcPr>
          <w:p w14:paraId="15612713">
            <w:pPr>
              <w:adjustRightInd w:val="0"/>
              <w:spacing w:line="360" w:lineRule="auto"/>
              <w:jc w:val="center"/>
              <w:rPr>
                <w:rFonts w:ascii="宋体" w:hAnsi="宋体" w:cs="宋体"/>
                <w:sz w:val="22"/>
                <w:szCs w:val="22"/>
              </w:rPr>
            </w:pPr>
            <w:r>
              <w:rPr>
                <w:rFonts w:hint="eastAsia" w:ascii="宋体" w:hAnsi="宋体" w:cs="宋体"/>
                <w:sz w:val="22"/>
                <w:szCs w:val="22"/>
              </w:rPr>
              <w:t>电子化交易注意事项</w:t>
            </w:r>
          </w:p>
        </w:tc>
        <w:tc>
          <w:tcPr>
            <w:tcW w:w="6565" w:type="dxa"/>
            <w:tcBorders>
              <w:top w:val="single" w:color="auto" w:sz="6" w:space="0"/>
              <w:left w:val="single" w:color="auto" w:sz="6" w:space="0"/>
              <w:bottom w:val="single" w:color="auto" w:sz="6" w:space="0"/>
              <w:right w:val="single" w:color="auto" w:sz="12" w:space="0"/>
            </w:tcBorders>
            <w:vAlign w:val="center"/>
          </w:tcPr>
          <w:p w14:paraId="235AE86C">
            <w:pPr>
              <w:spacing w:line="440" w:lineRule="exact"/>
              <w:rPr>
                <w:rFonts w:ascii="宋体" w:hAnsi="宋体" w:cs="宋体"/>
                <w:sz w:val="22"/>
                <w:szCs w:val="20"/>
              </w:rPr>
            </w:pPr>
            <w:r>
              <w:rPr>
                <w:rFonts w:hint="eastAsia" w:ascii="宋体" w:hAnsi="宋体" w:cs="宋体"/>
                <w:sz w:val="22"/>
                <w:szCs w:val="20"/>
              </w:rPr>
              <w:t>具体要求：本项目为电子化、无纸化交易项目，响应文件是供应商通过中心响应文件制作系统制作，并经过签章和加密后生成的电子版响应文件。</w:t>
            </w:r>
          </w:p>
          <w:p w14:paraId="37CC5906">
            <w:pPr>
              <w:spacing w:line="440" w:lineRule="exact"/>
              <w:rPr>
                <w:rFonts w:ascii="宋体" w:hAnsi="宋体" w:cs="宋体"/>
                <w:sz w:val="22"/>
                <w:szCs w:val="20"/>
              </w:rPr>
            </w:pPr>
            <w:r>
              <w:rPr>
                <w:rFonts w:hint="eastAsia" w:ascii="宋体" w:hAnsi="宋体" w:cs="宋体"/>
                <w:sz w:val="22"/>
                <w:szCs w:val="20"/>
              </w:rPr>
              <w:t>电子化响应文件具体制作文件请点击</w:t>
            </w:r>
            <w:r>
              <w:rPr>
                <w:sz w:val="20"/>
                <w:szCs w:val="22"/>
              </w:rPr>
              <w:fldChar w:fldCharType="begin"/>
            </w:r>
            <w:r>
              <w:rPr>
                <w:sz w:val="20"/>
                <w:szCs w:val="22"/>
              </w:rPr>
              <w:instrText xml:space="preserve"> HYPERLINK "http://t.cn/A6ZvtVob" </w:instrText>
            </w:r>
            <w:r>
              <w:rPr>
                <w:sz w:val="20"/>
                <w:szCs w:val="22"/>
              </w:rPr>
              <w:fldChar w:fldCharType="separate"/>
            </w:r>
            <w:r>
              <w:rPr>
                <w:rFonts w:ascii="宋体" w:hAnsi="宋体" w:cs="宋体"/>
                <w:sz w:val="22"/>
                <w:szCs w:val="20"/>
                <w:u w:val="single"/>
              </w:rPr>
              <w:t>https://download.bqpoint.com/download/downloaddetail.html?SourceFrom=Ztb&amp;ZtbSoftXiaQuCode=1506&amp;ZtbSoftType=tballinclusive</w:t>
            </w:r>
            <w:r>
              <w:rPr>
                <w:rFonts w:ascii="宋体" w:hAnsi="宋体" w:cs="宋体"/>
                <w:sz w:val="22"/>
                <w:szCs w:val="20"/>
                <w:u w:val="single"/>
              </w:rPr>
              <w:fldChar w:fldCharType="end"/>
            </w:r>
            <w:r>
              <w:rPr>
                <w:rFonts w:hint="eastAsia" w:ascii="宋体" w:hAnsi="宋体" w:cs="宋体"/>
                <w:sz w:val="22"/>
                <w:szCs w:val="20"/>
              </w:rPr>
              <w:t>进行下载。</w:t>
            </w:r>
          </w:p>
          <w:p w14:paraId="37FE3C4F">
            <w:pPr>
              <w:spacing w:line="440" w:lineRule="exact"/>
              <w:rPr>
                <w:rFonts w:ascii="宋体" w:hAnsi="宋体" w:cs="宋体"/>
                <w:sz w:val="22"/>
                <w:szCs w:val="20"/>
              </w:rPr>
            </w:pPr>
            <w:r>
              <w:rPr>
                <w:rFonts w:hint="eastAsia" w:ascii="宋体" w:hAnsi="宋体" w:cs="宋体"/>
                <w:b/>
                <w:sz w:val="22"/>
                <w:szCs w:val="20"/>
              </w:rPr>
              <w:t>温馨提示：本项目为电子化、无纸化交易项目，为保证您能</w:t>
            </w:r>
            <w:r>
              <w:rPr>
                <w:rFonts w:hint="eastAsia" w:ascii="宋体" w:hAnsi="宋体" w:cs="宋体"/>
                <w:b/>
                <w:sz w:val="22"/>
                <w:szCs w:val="20"/>
                <w:lang w:val="en-US" w:eastAsia="zh-CN"/>
              </w:rPr>
              <w:t>磋商</w:t>
            </w:r>
            <w:r>
              <w:rPr>
                <w:rFonts w:hint="eastAsia" w:ascii="宋体" w:hAnsi="宋体" w:cs="宋体"/>
                <w:b/>
                <w:sz w:val="22"/>
                <w:szCs w:val="20"/>
              </w:rPr>
              <w:t>成功，请需仔细阅读以下条款。</w:t>
            </w:r>
          </w:p>
          <w:p w14:paraId="62BB3D20">
            <w:pPr>
              <w:spacing w:line="440" w:lineRule="exact"/>
              <w:rPr>
                <w:rFonts w:hint="eastAsia" w:ascii="宋体" w:hAnsi="宋体" w:cs="宋体" w:eastAsiaTheme="minorEastAsia"/>
                <w:b/>
                <w:sz w:val="22"/>
                <w:szCs w:val="20"/>
                <w:lang w:eastAsia="zh-CN"/>
              </w:rPr>
            </w:pPr>
            <w:r>
              <w:rPr>
                <w:rFonts w:hint="eastAsia" w:ascii="宋体" w:hAnsi="宋体" w:cs="宋体"/>
                <w:b/>
                <w:sz w:val="22"/>
                <w:szCs w:val="20"/>
              </w:rPr>
              <w:t>一、电子化</w:t>
            </w:r>
            <w:r>
              <w:rPr>
                <w:rFonts w:hint="eastAsia" w:ascii="宋体" w:hAnsi="宋体" w:cs="宋体"/>
                <w:b/>
                <w:sz w:val="22"/>
                <w:szCs w:val="20"/>
                <w:lang w:val="en-US" w:eastAsia="zh-CN"/>
              </w:rPr>
              <w:t>磋商</w:t>
            </w:r>
          </w:p>
          <w:p w14:paraId="7F28AF53">
            <w:pPr>
              <w:spacing w:line="440" w:lineRule="exact"/>
              <w:rPr>
                <w:rFonts w:ascii="宋体" w:hAnsi="宋体" w:cs="宋体"/>
                <w:b/>
                <w:sz w:val="22"/>
                <w:szCs w:val="20"/>
              </w:rPr>
            </w:pPr>
            <w:r>
              <w:rPr>
                <w:rFonts w:hint="eastAsia" w:ascii="宋体" w:hAnsi="宋体" w:cs="宋体"/>
                <w:sz w:val="22"/>
                <w:szCs w:val="20"/>
              </w:rPr>
              <w:t>（一）网上磋商保证金的缴纳</w:t>
            </w:r>
          </w:p>
          <w:p w14:paraId="00A6429C">
            <w:pPr>
              <w:spacing w:line="440" w:lineRule="exact"/>
              <w:rPr>
                <w:rFonts w:ascii="宋体" w:hAnsi="宋体" w:cs="宋体"/>
                <w:spacing w:val="11"/>
                <w:sz w:val="22"/>
                <w:szCs w:val="22"/>
              </w:rPr>
            </w:pPr>
            <w:r>
              <w:rPr>
                <w:rFonts w:hint="eastAsia" w:ascii="宋体" w:hAnsi="宋体" w:cs="宋体"/>
                <w:spacing w:val="11"/>
                <w:sz w:val="22"/>
                <w:szCs w:val="22"/>
              </w:rPr>
              <w:t>按照《河南省财政厅关于优化政府采购营商环境有关问题的通知》（豫财购[2019]4号文）的要求本项目不再收取磋商保证金。</w:t>
            </w:r>
          </w:p>
          <w:p w14:paraId="126BA429">
            <w:pPr>
              <w:spacing w:line="440" w:lineRule="exact"/>
              <w:rPr>
                <w:rFonts w:ascii="宋体" w:hAnsi="宋体" w:cs="宋体"/>
                <w:sz w:val="22"/>
                <w:szCs w:val="20"/>
              </w:rPr>
            </w:pPr>
            <w:r>
              <w:rPr>
                <w:rFonts w:hint="eastAsia" w:ascii="宋体" w:hAnsi="宋体" w:cs="宋体"/>
                <w:sz w:val="22"/>
                <w:szCs w:val="20"/>
              </w:rPr>
              <w:t>（二）电子化响应文件的签章</w:t>
            </w:r>
          </w:p>
          <w:p w14:paraId="4CF48DAA">
            <w:pPr>
              <w:spacing w:line="440" w:lineRule="exact"/>
              <w:rPr>
                <w:rFonts w:ascii="宋体" w:hAnsi="宋体" w:cs="宋体"/>
                <w:sz w:val="22"/>
                <w:szCs w:val="20"/>
              </w:rPr>
            </w:pPr>
            <w:r>
              <w:rPr>
                <w:rFonts w:hint="eastAsia" w:ascii="宋体" w:hAnsi="宋体" w:cs="宋体"/>
                <w:sz w:val="22"/>
                <w:szCs w:val="20"/>
              </w:rPr>
              <w:t>1、供应商在生成电子化响应文件后，应对电子化响应文件进行签章，未进行签章的视为无效</w:t>
            </w:r>
            <w:r>
              <w:rPr>
                <w:rFonts w:hint="eastAsia" w:ascii="宋体" w:hAnsi="宋体" w:cs="宋体"/>
                <w:sz w:val="22"/>
                <w:szCs w:val="20"/>
                <w:lang w:val="en-US" w:eastAsia="zh-CN"/>
              </w:rPr>
              <w:t>磋商</w:t>
            </w:r>
            <w:r>
              <w:rPr>
                <w:rFonts w:hint="eastAsia" w:ascii="宋体" w:hAnsi="宋体" w:cs="宋体"/>
                <w:sz w:val="22"/>
                <w:szCs w:val="20"/>
              </w:rPr>
              <w:t>。</w:t>
            </w:r>
          </w:p>
          <w:p w14:paraId="2715BB6D">
            <w:pPr>
              <w:spacing w:line="440" w:lineRule="exact"/>
              <w:rPr>
                <w:rFonts w:ascii="宋体" w:hAnsi="宋体" w:cs="宋体"/>
                <w:b/>
                <w:sz w:val="22"/>
                <w:szCs w:val="20"/>
              </w:rPr>
            </w:pPr>
            <w:r>
              <w:rPr>
                <w:rFonts w:hint="eastAsia" w:ascii="宋体" w:hAnsi="宋体" w:cs="宋体"/>
                <w:sz w:val="22"/>
                <w:szCs w:val="20"/>
              </w:rPr>
              <w:t>2、</w:t>
            </w:r>
            <w:r>
              <w:rPr>
                <w:rFonts w:hint="eastAsia" w:ascii="宋体" w:hAnsi="宋体" w:cs="宋体"/>
                <w:b/>
                <w:sz w:val="22"/>
                <w:szCs w:val="20"/>
              </w:rPr>
              <w:t>供应商在进行电子化响应文件签章时，竞争性磋商文件中要求供应商盖章的，以签盖单位章为准；要求法定代表人或委托代理人签章的，以签盖法定代表人签章为准。</w:t>
            </w:r>
          </w:p>
          <w:p w14:paraId="065D249E">
            <w:pPr>
              <w:spacing w:line="440" w:lineRule="exact"/>
              <w:rPr>
                <w:rFonts w:ascii="宋体" w:hAnsi="宋体" w:cs="宋体"/>
                <w:b/>
                <w:sz w:val="22"/>
                <w:szCs w:val="20"/>
              </w:rPr>
            </w:pPr>
            <w:r>
              <w:rPr>
                <w:rFonts w:hint="eastAsia" w:ascii="宋体" w:hAnsi="宋体" w:cs="宋体"/>
                <w:sz w:val="22"/>
                <w:szCs w:val="20"/>
              </w:rPr>
              <w:t>（三）电子化响应文件的格式及上传</w:t>
            </w:r>
          </w:p>
          <w:p w14:paraId="2D0A5435">
            <w:pPr>
              <w:spacing w:line="440" w:lineRule="exact"/>
              <w:ind w:firstLine="110" w:firstLineChars="50"/>
              <w:rPr>
                <w:rFonts w:ascii="宋体" w:hAnsi="宋体" w:cs="宋体"/>
                <w:sz w:val="22"/>
                <w:szCs w:val="20"/>
              </w:rPr>
            </w:pPr>
            <w:r>
              <w:rPr>
                <w:rFonts w:hint="eastAsia" w:ascii="宋体" w:hAnsi="宋体" w:cs="宋体"/>
                <w:sz w:val="22"/>
                <w:szCs w:val="20"/>
              </w:rPr>
              <w:t>1、供应商所上传的电子化响应文件，应是通过中心响应文件制作系统制作的（响应文件制作工具下载地址：https://download.bqpoint.com/download/downloaddetail.html?SourceFrom=Ztb&amp;ZtbSoftXiaQuCode=1506&amp;ZtbSoftType=tballinclusive），经过签章和加密后生成的电子版响应文件。其中包含用于响应文件上传的主文件（后缀为.smxtf）和用于应急补救的响应文件备份文件（后缀为.nsmxtf）。</w:t>
            </w:r>
          </w:p>
          <w:p w14:paraId="595823A5">
            <w:pPr>
              <w:spacing w:line="440" w:lineRule="exact"/>
              <w:ind w:firstLine="220" w:firstLineChars="100"/>
              <w:rPr>
                <w:rFonts w:ascii="宋体" w:hAnsi="宋体" w:cs="宋体"/>
                <w:sz w:val="22"/>
                <w:szCs w:val="20"/>
              </w:rPr>
            </w:pPr>
            <w:r>
              <w:rPr>
                <w:rFonts w:hint="eastAsia" w:ascii="宋体" w:hAnsi="宋体" w:cs="宋体"/>
                <w:sz w:val="22"/>
                <w:szCs w:val="20"/>
              </w:rPr>
              <w:t>2、电子化响应文件应在</w:t>
            </w:r>
            <w:r>
              <w:rPr>
                <w:rFonts w:hint="eastAsia" w:ascii="宋体" w:hAnsi="宋体" w:cs="宋体"/>
                <w:sz w:val="22"/>
                <w:szCs w:val="20"/>
                <w:lang w:val="en-US" w:eastAsia="zh-CN"/>
              </w:rPr>
              <w:t>磋商</w:t>
            </w:r>
            <w:r>
              <w:rPr>
                <w:rFonts w:hint="eastAsia" w:ascii="宋体" w:hAnsi="宋体" w:cs="宋体"/>
                <w:sz w:val="22"/>
                <w:szCs w:val="20"/>
              </w:rPr>
              <w:t>截止时间前成功上传至三门峡市公共资源电子化交易系统。至</w:t>
            </w:r>
            <w:r>
              <w:rPr>
                <w:rFonts w:hint="eastAsia" w:ascii="宋体" w:hAnsi="宋体" w:cs="宋体"/>
                <w:sz w:val="22"/>
                <w:szCs w:val="20"/>
                <w:lang w:val="en-US" w:eastAsia="zh-CN"/>
              </w:rPr>
              <w:t>磋商</w:t>
            </w:r>
            <w:r>
              <w:rPr>
                <w:rFonts w:hint="eastAsia" w:ascii="宋体" w:hAnsi="宋体" w:cs="宋体"/>
                <w:sz w:val="22"/>
                <w:szCs w:val="20"/>
              </w:rPr>
              <w:t>截止时间止，仍未上传成功的电子化响应文件将不予接收。</w:t>
            </w:r>
          </w:p>
          <w:p w14:paraId="71363F3C">
            <w:pPr>
              <w:spacing w:line="440" w:lineRule="exact"/>
              <w:ind w:firstLine="221" w:firstLineChars="100"/>
              <w:rPr>
                <w:rFonts w:ascii="宋体" w:hAnsi="宋体" w:cs="宋体"/>
                <w:sz w:val="22"/>
                <w:szCs w:val="20"/>
              </w:rPr>
            </w:pPr>
            <w:r>
              <w:rPr>
                <w:rFonts w:hint="eastAsia" w:ascii="宋体" w:hAnsi="宋体" w:cs="宋体"/>
                <w:b/>
                <w:sz w:val="22"/>
                <w:szCs w:val="20"/>
              </w:rPr>
              <w:t>注：</w:t>
            </w:r>
            <w:r>
              <w:rPr>
                <w:rFonts w:hint="eastAsia" w:ascii="宋体" w:hAnsi="宋体" w:cs="宋体"/>
                <w:sz w:val="22"/>
                <w:szCs w:val="20"/>
              </w:rPr>
              <w:t>如按照电子化投标操作教材制作完成的电子化响应文件无法上传的，供应商应在</w:t>
            </w:r>
            <w:r>
              <w:rPr>
                <w:rFonts w:hint="eastAsia" w:ascii="宋体" w:hAnsi="宋体" w:cs="宋体"/>
                <w:b/>
                <w:sz w:val="22"/>
                <w:szCs w:val="20"/>
                <w:lang w:eastAsia="zh-CN"/>
              </w:rPr>
              <w:t>磋商</w:t>
            </w:r>
            <w:r>
              <w:rPr>
                <w:rFonts w:hint="eastAsia" w:ascii="宋体" w:hAnsi="宋体" w:cs="宋体"/>
                <w:b/>
                <w:sz w:val="22"/>
                <w:szCs w:val="20"/>
              </w:rPr>
              <w:t>截止时间前尽早的</w:t>
            </w:r>
            <w:r>
              <w:rPr>
                <w:rFonts w:hint="eastAsia" w:ascii="宋体" w:hAnsi="宋体" w:cs="宋体"/>
                <w:sz w:val="22"/>
                <w:szCs w:val="20"/>
              </w:rPr>
              <w:t>联系中心技术人员，以便有充分的时间进行处理。供应商应充分考虑到处理技术问题和上传数据等工作所需的时间问题，响应文件未在</w:t>
            </w:r>
            <w:r>
              <w:rPr>
                <w:rFonts w:hint="eastAsia" w:ascii="宋体" w:hAnsi="宋体" w:cs="宋体"/>
                <w:sz w:val="22"/>
                <w:szCs w:val="20"/>
                <w:lang w:val="en-US" w:eastAsia="zh-CN"/>
              </w:rPr>
              <w:t>磋商</w:t>
            </w:r>
            <w:r>
              <w:rPr>
                <w:rFonts w:hint="eastAsia" w:ascii="宋体" w:hAnsi="宋体" w:cs="宋体"/>
                <w:sz w:val="22"/>
                <w:szCs w:val="20"/>
              </w:rPr>
              <w:t>截止时间前成功上传的，其响应文件不予接收。</w:t>
            </w:r>
          </w:p>
          <w:p w14:paraId="0CFFDFF0">
            <w:pPr>
              <w:spacing w:line="440" w:lineRule="exact"/>
              <w:ind w:firstLine="220" w:firstLineChars="100"/>
              <w:rPr>
                <w:rFonts w:ascii="宋体" w:hAnsi="宋体" w:cs="宋体"/>
                <w:sz w:val="22"/>
                <w:szCs w:val="20"/>
              </w:rPr>
            </w:pPr>
            <w:r>
              <w:rPr>
                <w:rFonts w:hint="eastAsia" w:ascii="宋体" w:hAnsi="宋体" w:cs="宋体"/>
                <w:sz w:val="22"/>
                <w:szCs w:val="20"/>
              </w:rPr>
              <w:t>技术联系电话：0398-3117871</w:t>
            </w:r>
          </w:p>
          <w:p w14:paraId="386273E0">
            <w:pPr>
              <w:spacing w:line="440" w:lineRule="exact"/>
              <w:ind w:firstLine="220" w:firstLineChars="100"/>
              <w:rPr>
                <w:rFonts w:ascii="宋体" w:hAnsi="宋体" w:cs="宋体"/>
                <w:sz w:val="22"/>
                <w:szCs w:val="20"/>
              </w:rPr>
            </w:pPr>
            <w:r>
              <w:rPr>
                <w:rFonts w:hint="eastAsia" w:ascii="宋体" w:hAnsi="宋体" w:cs="宋体"/>
                <w:sz w:val="22"/>
                <w:szCs w:val="20"/>
              </w:rPr>
              <w:t>新点客服电话：4009980000</w:t>
            </w:r>
          </w:p>
          <w:p w14:paraId="7E142BB6">
            <w:pPr>
              <w:spacing w:line="440" w:lineRule="exact"/>
              <w:rPr>
                <w:rFonts w:ascii="宋体" w:hAnsi="宋体" w:cs="宋体"/>
                <w:sz w:val="22"/>
                <w:szCs w:val="20"/>
              </w:rPr>
            </w:pPr>
            <w:r>
              <w:rPr>
                <w:rFonts w:hint="eastAsia" w:ascii="宋体" w:hAnsi="宋体" w:cs="宋体"/>
                <w:sz w:val="22"/>
                <w:szCs w:val="20"/>
              </w:rPr>
              <w:t>（四）电子化项目开标、解密、唱标、评标</w:t>
            </w:r>
          </w:p>
          <w:p w14:paraId="4B5AD3A6">
            <w:pPr>
              <w:spacing w:line="440" w:lineRule="exact"/>
              <w:ind w:firstLine="110" w:firstLineChars="50"/>
              <w:rPr>
                <w:rFonts w:ascii="宋体" w:hAnsi="宋体" w:cs="宋体"/>
                <w:sz w:val="22"/>
                <w:szCs w:val="20"/>
              </w:rPr>
            </w:pPr>
            <w:r>
              <w:rPr>
                <w:rFonts w:hint="eastAsia" w:ascii="宋体" w:hAnsi="宋体" w:cs="宋体"/>
                <w:sz w:val="22"/>
                <w:szCs w:val="20"/>
              </w:rPr>
              <w:t>1、本项目采用</w:t>
            </w:r>
            <w:r>
              <w:rPr>
                <w:rFonts w:hint="eastAsia" w:ascii="宋体" w:hAnsi="宋体" w:cs="宋体"/>
                <w:b/>
                <w:sz w:val="22"/>
                <w:szCs w:val="20"/>
              </w:rPr>
              <w:t>电子化、无纸化</w:t>
            </w:r>
            <w:r>
              <w:rPr>
                <w:rFonts w:hint="eastAsia" w:ascii="宋体" w:hAnsi="宋体" w:cs="宋体"/>
                <w:sz w:val="22"/>
                <w:szCs w:val="20"/>
              </w:rPr>
              <w:t>进行</w:t>
            </w:r>
            <w:r>
              <w:rPr>
                <w:rFonts w:hint="eastAsia" w:ascii="宋体" w:hAnsi="宋体" w:cs="宋体"/>
                <w:sz w:val="22"/>
                <w:szCs w:val="20"/>
                <w:lang w:val="en-US" w:eastAsia="zh-CN"/>
              </w:rPr>
              <w:t>磋商</w:t>
            </w:r>
            <w:r>
              <w:rPr>
                <w:rFonts w:hint="eastAsia" w:ascii="宋体" w:hAnsi="宋体" w:cs="宋体"/>
                <w:sz w:val="22"/>
                <w:szCs w:val="20"/>
              </w:rPr>
              <w:t>，开标当日，供应商无需到开标现场参加开标会议，供应商应当在</w:t>
            </w:r>
            <w:r>
              <w:rPr>
                <w:rFonts w:hint="eastAsia" w:ascii="宋体" w:hAnsi="宋体" w:cs="宋体"/>
                <w:sz w:val="22"/>
                <w:szCs w:val="20"/>
                <w:lang w:val="en-US" w:eastAsia="zh-CN"/>
              </w:rPr>
              <w:t>磋商</w:t>
            </w:r>
            <w:r>
              <w:rPr>
                <w:rFonts w:hint="eastAsia" w:ascii="宋体" w:hAnsi="宋体" w:cs="宋体"/>
                <w:sz w:val="22"/>
                <w:szCs w:val="20"/>
              </w:rPr>
              <w:t>截止时间前，登陆不见面开标大厅选择登陆三门峡市公共资源电子招投标系统进行登陆（网址为http://120.194.249.36:10094/BidOpening/bidopeninghallaction/hall/login）,在线准时参加开标活动并进行响应文件解密等</w:t>
            </w:r>
          </w:p>
          <w:p w14:paraId="15D8355E">
            <w:pPr>
              <w:spacing w:line="440" w:lineRule="exact"/>
              <w:ind w:firstLine="110" w:firstLineChars="50"/>
              <w:rPr>
                <w:rFonts w:ascii="宋体" w:hAnsi="宋体" w:cs="宋体"/>
                <w:sz w:val="22"/>
                <w:szCs w:val="20"/>
              </w:rPr>
            </w:pPr>
            <w:r>
              <w:rPr>
                <w:rFonts w:hint="eastAsia" w:ascii="宋体" w:hAnsi="宋体" w:cs="宋体"/>
                <w:sz w:val="22"/>
                <w:szCs w:val="20"/>
              </w:rPr>
              <w:t>2、电子化响应文件采用一次加密方式。开标时，由供应商使用CA 证书，在规定时间内对其电子化响应文件进行解密。每位供应商的解密时间为开标时间起30 分钟内，如在规定时间内未完成解密的，其响应文件不予开标、唱标。</w:t>
            </w:r>
          </w:p>
          <w:p w14:paraId="00785013">
            <w:pPr>
              <w:spacing w:line="440" w:lineRule="exact"/>
              <w:ind w:firstLine="110" w:firstLineChars="50"/>
              <w:rPr>
                <w:rFonts w:ascii="宋体" w:hAnsi="宋体" w:cs="宋体"/>
                <w:b/>
                <w:sz w:val="22"/>
                <w:szCs w:val="20"/>
              </w:rPr>
            </w:pPr>
            <w:r>
              <w:rPr>
                <w:rFonts w:hint="eastAsia" w:ascii="宋体" w:hAnsi="宋体" w:cs="宋体"/>
                <w:sz w:val="22"/>
                <w:szCs w:val="20"/>
              </w:rPr>
              <w:t>3、电子化响应文件解密异常的处理</w:t>
            </w:r>
          </w:p>
          <w:p w14:paraId="2200EF3E">
            <w:pPr>
              <w:spacing w:line="440" w:lineRule="exact"/>
              <w:ind w:firstLine="110" w:firstLineChars="50"/>
              <w:rPr>
                <w:rFonts w:ascii="宋体" w:hAnsi="宋体" w:cs="宋体"/>
                <w:sz w:val="22"/>
                <w:szCs w:val="20"/>
              </w:rPr>
            </w:pPr>
            <w:r>
              <w:rPr>
                <w:rFonts w:hint="eastAsia" w:ascii="宋体" w:hAnsi="宋体" w:cs="宋体"/>
                <w:sz w:val="22"/>
                <w:szCs w:val="20"/>
              </w:rPr>
              <w:t>如出现供应商的电子响应文件无法解密等异常情况，供应商应及时致电中介服务机构说明。响应文件异常，按以下步骤进行处理：</w:t>
            </w:r>
          </w:p>
          <w:p w14:paraId="6D0D2B6D">
            <w:pPr>
              <w:spacing w:line="440" w:lineRule="exact"/>
              <w:rPr>
                <w:rFonts w:ascii="宋体" w:hAnsi="宋体" w:cs="宋体"/>
                <w:sz w:val="22"/>
                <w:szCs w:val="20"/>
              </w:rPr>
            </w:pPr>
            <w:r>
              <w:rPr>
                <w:rFonts w:hint="eastAsia" w:ascii="宋体" w:hAnsi="宋体" w:cs="宋体"/>
                <w:sz w:val="22"/>
                <w:szCs w:val="20"/>
              </w:rPr>
              <w:t>（1）首先由技术人员进行问题排查。</w:t>
            </w:r>
          </w:p>
          <w:p w14:paraId="01E9003B">
            <w:pPr>
              <w:spacing w:line="440" w:lineRule="exact"/>
              <w:rPr>
                <w:rFonts w:ascii="宋体" w:hAnsi="宋体" w:cs="宋体"/>
                <w:sz w:val="22"/>
                <w:szCs w:val="20"/>
              </w:rPr>
            </w:pPr>
            <w:r>
              <w:rPr>
                <w:rFonts w:hint="eastAsia" w:ascii="宋体" w:hAnsi="宋体" w:cs="宋体"/>
                <w:sz w:val="22"/>
                <w:szCs w:val="20"/>
              </w:rPr>
              <w:t>（2）经技术人员排查后，是供应商文件自身问题导致响应文件无法解密的，该响应文件将不予接收、解密和唱标。开标会议继续进行。</w:t>
            </w:r>
          </w:p>
          <w:p w14:paraId="184CBB63">
            <w:pPr>
              <w:spacing w:line="440" w:lineRule="exact"/>
              <w:rPr>
                <w:rFonts w:ascii="宋体" w:hAnsi="宋体" w:cs="宋体"/>
                <w:sz w:val="22"/>
                <w:szCs w:val="20"/>
              </w:rPr>
            </w:pPr>
            <w:r>
              <w:rPr>
                <w:rFonts w:hint="eastAsia" w:ascii="宋体" w:hAnsi="宋体" w:cs="宋体"/>
                <w:sz w:val="22"/>
                <w:szCs w:val="20"/>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1C5A2530">
            <w:pPr>
              <w:spacing w:line="440" w:lineRule="exact"/>
              <w:rPr>
                <w:rFonts w:ascii="宋体" w:hAnsi="宋体" w:cs="宋体"/>
                <w:sz w:val="22"/>
                <w:szCs w:val="20"/>
              </w:rPr>
            </w:pPr>
            <w:r>
              <w:rPr>
                <w:rFonts w:hint="eastAsia" w:ascii="宋体" w:hAnsi="宋体" w:cs="宋体"/>
                <w:sz w:val="22"/>
                <w:szCs w:val="20"/>
              </w:rPr>
              <w:t>4、待所有供应商响应文件解密完成后，由中介服务机构操作，对所有已解密响应文件进行唱标。</w:t>
            </w:r>
          </w:p>
          <w:p w14:paraId="58BACAD4">
            <w:pPr>
              <w:spacing w:line="440" w:lineRule="exact"/>
              <w:rPr>
                <w:rFonts w:ascii="宋体" w:hAnsi="宋体" w:cs="宋体"/>
                <w:sz w:val="22"/>
                <w:szCs w:val="20"/>
              </w:rPr>
            </w:pPr>
            <w:r>
              <w:rPr>
                <w:rFonts w:hint="eastAsia" w:ascii="宋体" w:hAnsi="宋体" w:cs="宋体"/>
                <w:b/>
                <w:sz w:val="22"/>
                <w:szCs w:val="20"/>
              </w:rPr>
              <w:t>供应商应保证在开标期间电话、电脑、网络能够正常工作，供应商因停电、电脑病毒、网络堵塞等原因，未在规定的解密时间内对响应文件进行解密的，其响应文件不予接收、唱标。</w:t>
            </w:r>
          </w:p>
          <w:p w14:paraId="5FEA3EC3">
            <w:pPr>
              <w:spacing w:line="440" w:lineRule="exact"/>
              <w:rPr>
                <w:rFonts w:ascii="宋体" w:hAnsi="宋体" w:cs="宋体"/>
                <w:sz w:val="22"/>
                <w:szCs w:val="20"/>
              </w:rPr>
            </w:pPr>
            <w:r>
              <w:rPr>
                <w:rFonts w:ascii="宋体" w:hAnsi="宋体" w:cs="宋体"/>
                <w:sz w:val="22"/>
                <w:szCs w:val="20"/>
              </w:rPr>
              <w:t>5</w:t>
            </w:r>
            <w:r>
              <w:rPr>
                <w:rFonts w:hint="eastAsia" w:ascii="宋体" w:hAnsi="宋体" w:cs="宋体"/>
                <w:sz w:val="22"/>
                <w:szCs w:val="20"/>
              </w:rPr>
              <w:t>、评标时，评标委员会对电子化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评标委员会。</w:t>
            </w:r>
          </w:p>
          <w:p w14:paraId="23A4DC3B">
            <w:pPr>
              <w:spacing w:line="440" w:lineRule="exact"/>
              <w:rPr>
                <w:rFonts w:ascii="宋体" w:hAnsi="宋体" w:cs="宋体"/>
                <w:sz w:val="22"/>
                <w:szCs w:val="20"/>
              </w:rPr>
            </w:pPr>
            <w:r>
              <w:rPr>
                <w:rFonts w:ascii="宋体" w:hAnsi="宋体" w:cs="宋体"/>
                <w:sz w:val="22"/>
                <w:szCs w:val="20"/>
              </w:rPr>
              <w:t>6</w:t>
            </w:r>
            <w:r>
              <w:rPr>
                <w:rFonts w:hint="eastAsia" w:ascii="宋体" w:hAnsi="宋体" w:cs="宋体"/>
                <w:sz w:val="22"/>
                <w:szCs w:val="20"/>
              </w:rPr>
              <w:t>、如评标委员会对需要回复的供应商连续三次致电未接通的，视为供应商放弃回复，评标委员会将自行对需要回复的内容进行认定。</w:t>
            </w:r>
          </w:p>
          <w:p w14:paraId="40CA3458">
            <w:pPr>
              <w:spacing w:line="440" w:lineRule="exact"/>
              <w:rPr>
                <w:rFonts w:ascii="宋体" w:hAnsi="宋体" w:cs="宋体"/>
                <w:b/>
                <w:bCs/>
                <w:sz w:val="22"/>
                <w:szCs w:val="20"/>
              </w:rPr>
            </w:pPr>
            <w:r>
              <w:rPr>
                <w:rFonts w:hint="eastAsia" w:ascii="宋体" w:hAnsi="宋体" w:cs="宋体"/>
                <w:b/>
                <w:bCs/>
                <w:sz w:val="22"/>
                <w:szCs w:val="20"/>
              </w:rPr>
              <w:t>二、相关证书原件的提交</w:t>
            </w:r>
          </w:p>
          <w:p w14:paraId="18EFE6EA">
            <w:pPr>
              <w:spacing w:line="440" w:lineRule="exact"/>
              <w:ind w:firstLine="110" w:firstLineChars="50"/>
              <w:rPr>
                <w:rFonts w:ascii="宋体" w:hAnsi="宋体" w:cs="宋体"/>
                <w:b/>
                <w:sz w:val="22"/>
                <w:szCs w:val="20"/>
              </w:rPr>
            </w:pPr>
            <w:r>
              <w:rPr>
                <w:rFonts w:hint="eastAsia" w:ascii="宋体" w:hAnsi="宋体" w:cs="宋体"/>
                <w:sz w:val="22"/>
                <w:szCs w:val="20"/>
              </w:rPr>
              <w:t>本项目实行资格后审，</w:t>
            </w:r>
            <w:r>
              <w:rPr>
                <w:rFonts w:hint="eastAsia" w:ascii="宋体" w:hAnsi="宋体" w:cs="宋体"/>
                <w:b/>
                <w:sz w:val="22"/>
                <w:szCs w:val="20"/>
              </w:rPr>
              <w:t>竞争性磋商文件中要求供应商提交相关资料原件的，供应商需将原件扫描件制作到电子响应文件中，涉及到资格审查、企业荣誉、人员业绩、企业业绩等计分部分时，以供应商自行上传到响应文件中的相应内容为准。</w:t>
            </w:r>
          </w:p>
          <w:p w14:paraId="2D3C30DA">
            <w:pPr>
              <w:adjustRightInd w:val="0"/>
              <w:spacing w:line="360" w:lineRule="auto"/>
              <w:rPr>
                <w:rFonts w:ascii="宋体" w:hAnsi="宋体" w:cs="宋体"/>
                <w:sz w:val="22"/>
                <w:szCs w:val="22"/>
              </w:rPr>
            </w:pPr>
            <w:r>
              <w:rPr>
                <w:rFonts w:hint="eastAsia" w:ascii="宋体" w:hAnsi="宋体" w:cs="宋体"/>
                <w:b/>
                <w:sz w:val="22"/>
                <w:szCs w:val="20"/>
              </w:rPr>
              <w:t>提示：本项目为电子化、无纸化交易项目，为保证您能</w:t>
            </w:r>
            <w:r>
              <w:rPr>
                <w:rFonts w:hint="eastAsia" w:ascii="宋体" w:hAnsi="宋体" w:cs="宋体"/>
                <w:b/>
                <w:sz w:val="22"/>
                <w:szCs w:val="20"/>
                <w:lang w:eastAsia="zh-CN"/>
              </w:rPr>
              <w:t>磋商</w:t>
            </w:r>
            <w:r>
              <w:rPr>
                <w:rFonts w:hint="eastAsia" w:ascii="宋体" w:hAnsi="宋体" w:cs="宋体"/>
                <w:b/>
                <w:sz w:val="22"/>
                <w:szCs w:val="20"/>
              </w:rPr>
              <w:t>成功，请需仔细阅读以上条款。</w:t>
            </w:r>
          </w:p>
        </w:tc>
      </w:tr>
      <w:tr w14:paraId="10D5FF85">
        <w:tblPrEx>
          <w:tblCellMar>
            <w:top w:w="0" w:type="dxa"/>
            <w:left w:w="108" w:type="dxa"/>
            <w:bottom w:w="0" w:type="dxa"/>
            <w:right w:w="108" w:type="dxa"/>
          </w:tblCellMar>
        </w:tblPrEx>
        <w:trPr>
          <w:trHeight w:val="807" w:hRule="atLeast"/>
        </w:trPr>
        <w:tc>
          <w:tcPr>
            <w:tcW w:w="828" w:type="dxa"/>
            <w:tcBorders>
              <w:top w:val="single" w:color="auto" w:sz="6" w:space="0"/>
              <w:left w:val="single" w:color="auto" w:sz="12" w:space="0"/>
              <w:bottom w:val="single" w:color="auto" w:sz="6" w:space="0"/>
              <w:right w:val="single" w:color="auto" w:sz="6" w:space="0"/>
            </w:tcBorders>
            <w:vAlign w:val="center"/>
          </w:tcPr>
          <w:p w14:paraId="24FEED9E">
            <w:pPr>
              <w:adjustRightInd w:val="0"/>
              <w:spacing w:line="360" w:lineRule="auto"/>
              <w:jc w:val="center"/>
              <w:rPr>
                <w:rFonts w:hint="default" w:ascii="宋体" w:hAnsi="宋体" w:cs="宋体" w:eastAsiaTheme="minorEastAsia"/>
                <w:spacing w:val="6"/>
                <w:sz w:val="22"/>
                <w:szCs w:val="22"/>
                <w:lang w:val="en-US" w:eastAsia="zh-CN"/>
              </w:rPr>
            </w:pPr>
            <w:r>
              <w:rPr>
                <w:rFonts w:hint="eastAsia" w:ascii="宋体" w:hAnsi="宋体" w:cs="宋体"/>
                <w:spacing w:val="6"/>
                <w:sz w:val="22"/>
                <w:szCs w:val="22"/>
                <w:lang w:val="en-US" w:eastAsia="zh-CN"/>
              </w:rPr>
              <w:t>42</w:t>
            </w:r>
          </w:p>
        </w:tc>
        <w:tc>
          <w:tcPr>
            <w:tcW w:w="1611" w:type="dxa"/>
            <w:tcBorders>
              <w:top w:val="single" w:color="auto" w:sz="6" w:space="0"/>
              <w:left w:val="single" w:color="auto" w:sz="6" w:space="0"/>
              <w:bottom w:val="single" w:color="auto" w:sz="6" w:space="0"/>
              <w:right w:val="single" w:color="auto" w:sz="6" w:space="0"/>
            </w:tcBorders>
            <w:shd w:val="clear" w:color="auto" w:fill="auto"/>
            <w:vAlign w:val="center"/>
          </w:tcPr>
          <w:p w14:paraId="70BBA3AA">
            <w:pPr>
              <w:adjustRightInd w:val="0"/>
              <w:snapToGrid w:val="0"/>
              <w:spacing w:line="360" w:lineRule="auto"/>
              <w:jc w:val="center"/>
              <w:rPr>
                <w:rFonts w:ascii="宋体" w:hAnsi="宋体" w:cs="宋体"/>
                <w:b/>
                <w:bCs/>
                <w:spacing w:val="11"/>
                <w:sz w:val="22"/>
                <w:szCs w:val="22"/>
              </w:rPr>
            </w:pPr>
            <w:r>
              <w:rPr>
                <w:rFonts w:hint="eastAsia" w:ascii="宋体" w:hAnsi="宋体"/>
                <w:sz w:val="22"/>
                <w:szCs w:val="22"/>
              </w:rPr>
              <w:t>其他</w:t>
            </w:r>
          </w:p>
        </w:tc>
        <w:tc>
          <w:tcPr>
            <w:tcW w:w="6565" w:type="dxa"/>
            <w:tcBorders>
              <w:top w:val="single" w:color="auto" w:sz="6" w:space="0"/>
              <w:left w:val="single" w:color="auto" w:sz="6" w:space="0"/>
              <w:bottom w:val="single" w:color="auto" w:sz="6" w:space="0"/>
              <w:right w:val="single" w:color="auto" w:sz="12" w:space="0"/>
            </w:tcBorders>
            <w:shd w:val="clear" w:color="auto" w:fill="auto"/>
          </w:tcPr>
          <w:p w14:paraId="0228BE7C">
            <w:pPr>
              <w:widowControl/>
              <w:spacing w:line="440" w:lineRule="exact"/>
              <w:jc w:val="left"/>
              <w:rPr>
                <w:rFonts w:ascii="宋体" w:hAnsi="宋体" w:cs="宋体"/>
                <w:kern w:val="0"/>
                <w:sz w:val="22"/>
                <w:szCs w:val="21"/>
              </w:rPr>
            </w:pPr>
            <w:r>
              <w:rPr>
                <w:rFonts w:hint="eastAsia" w:ascii="宋体" w:hAnsi="宋体" w:cs="宋体"/>
                <w:kern w:val="0"/>
                <w:sz w:val="22"/>
                <w:szCs w:val="21"/>
              </w:rPr>
              <w:t>1、电子化响应文件应在磋商截止时间前成功上传至三门峡市公共资源电子化交易系统。至磋商截止时间止，仍未上传成功的电子化响应文件，将不予接受 。</w:t>
            </w:r>
          </w:p>
          <w:p w14:paraId="54188F1C">
            <w:pPr>
              <w:widowControl/>
              <w:spacing w:line="440" w:lineRule="exact"/>
              <w:jc w:val="left"/>
              <w:rPr>
                <w:rFonts w:ascii="宋体" w:hAnsi="宋体" w:cs="宋体"/>
                <w:kern w:val="0"/>
                <w:sz w:val="22"/>
                <w:szCs w:val="21"/>
              </w:rPr>
            </w:pPr>
            <w:r>
              <w:rPr>
                <w:rFonts w:hint="eastAsia" w:ascii="宋体" w:hAnsi="宋体" w:cs="宋体"/>
                <w:kern w:val="0"/>
                <w:sz w:val="22"/>
                <w:szCs w:val="21"/>
                <w:lang w:val="en-US" w:eastAsia="zh-CN"/>
              </w:rPr>
              <w:t>2</w:t>
            </w:r>
            <w:r>
              <w:rPr>
                <w:rFonts w:hint="eastAsia" w:ascii="宋体" w:hAnsi="宋体" w:cs="宋体"/>
                <w:kern w:val="0"/>
                <w:sz w:val="22"/>
                <w:szCs w:val="21"/>
              </w:rPr>
              <w:t xml:space="preserve">、供应商成交后必须向采购人提供与所投相同的同质量、品质的服务。供应商必须在规定时间内对采购人进行服务，不得拖延。 </w:t>
            </w:r>
          </w:p>
          <w:p w14:paraId="3AF31B3A">
            <w:pPr>
              <w:widowControl/>
              <w:spacing w:line="440" w:lineRule="exact"/>
              <w:jc w:val="left"/>
              <w:rPr>
                <w:rFonts w:hint="eastAsia" w:ascii="宋体" w:hAnsi="宋体" w:cs="宋体"/>
                <w:kern w:val="0"/>
                <w:sz w:val="22"/>
                <w:szCs w:val="21"/>
              </w:rPr>
            </w:pPr>
            <w:r>
              <w:rPr>
                <w:rFonts w:hint="eastAsia" w:ascii="宋体" w:hAnsi="宋体" w:cs="宋体"/>
                <w:kern w:val="0"/>
                <w:sz w:val="22"/>
                <w:szCs w:val="21"/>
                <w:lang w:val="en-US" w:eastAsia="zh-CN"/>
              </w:rPr>
              <w:t>3</w:t>
            </w:r>
            <w:r>
              <w:rPr>
                <w:rFonts w:hint="eastAsia" w:ascii="宋体" w:hAnsi="宋体" w:cs="宋体"/>
                <w:kern w:val="0"/>
                <w:sz w:val="22"/>
                <w:szCs w:val="21"/>
              </w:rPr>
              <w:t>、开标结束后请各供应商响应文件中预留的电话保持畅通，以方便提醒二次报价，未在规定时间内进行二次报价的按自动放弃处理。</w:t>
            </w:r>
          </w:p>
          <w:p w14:paraId="3F257823">
            <w:pPr>
              <w:widowControl/>
              <w:spacing w:line="440" w:lineRule="exact"/>
              <w:jc w:val="left"/>
              <w:rPr>
                <w:rFonts w:ascii="宋体" w:hAnsi="宋体" w:cs="宋体"/>
                <w:kern w:val="0"/>
                <w:sz w:val="22"/>
                <w:szCs w:val="21"/>
              </w:rPr>
            </w:pPr>
            <w:r>
              <w:rPr>
                <w:rFonts w:hint="eastAsia" w:ascii="宋体" w:hAnsi="宋体" w:cs="宋体"/>
                <w:kern w:val="0"/>
                <w:sz w:val="22"/>
                <w:szCs w:val="21"/>
                <w:lang w:val="en-US" w:eastAsia="zh-CN"/>
              </w:rPr>
              <w:t>4</w:t>
            </w:r>
            <w:r>
              <w:rPr>
                <w:rFonts w:hint="eastAsia" w:ascii="宋体" w:hAnsi="宋体" w:cs="宋体"/>
                <w:kern w:val="0"/>
                <w:sz w:val="22"/>
                <w:szCs w:val="21"/>
              </w:rPr>
              <w:t>、磋商文件的最终解释权归采购人。其它未尽事宜，按</w:t>
            </w:r>
          </w:p>
          <w:p w14:paraId="47A74480">
            <w:pPr>
              <w:widowControl/>
              <w:spacing w:line="440" w:lineRule="exact"/>
              <w:jc w:val="left"/>
              <w:rPr>
                <w:rFonts w:ascii="宋体" w:hAnsi="宋体" w:cs="宋体"/>
                <w:kern w:val="0"/>
                <w:sz w:val="22"/>
                <w:szCs w:val="21"/>
              </w:rPr>
            </w:pPr>
            <w:r>
              <w:rPr>
                <w:rFonts w:hint="eastAsia" w:ascii="宋体" w:hAnsi="宋体" w:cs="宋体"/>
                <w:kern w:val="0"/>
                <w:sz w:val="22"/>
                <w:szCs w:val="21"/>
              </w:rPr>
              <w:t>国家有关法律、法规执行。</w:t>
            </w:r>
          </w:p>
        </w:tc>
      </w:tr>
      <w:tr w14:paraId="51828EA7">
        <w:tblPrEx>
          <w:tblCellMar>
            <w:top w:w="0" w:type="dxa"/>
            <w:left w:w="108" w:type="dxa"/>
            <w:bottom w:w="0" w:type="dxa"/>
            <w:right w:w="108" w:type="dxa"/>
          </w:tblCellMar>
        </w:tblPrEx>
        <w:trPr>
          <w:trHeight w:val="807" w:hRule="atLeast"/>
        </w:trPr>
        <w:tc>
          <w:tcPr>
            <w:tcW w:w="9004" w:type="dxa"/>
            <w:gridSpan w:val="3"/>
            <w:tcBorders>
              <w:top w:val="single" w:color="auto" w:sz="6" w:space="0"/>
              <w:left w:val="single" w:color="auto" w:sz="12" w:space="0"/>
              <w:bottom w:val="single" w:color="auto" w:sz="6" w:space="0"/>
              <w:right w:val="single" w:color="auto" w:sz="12" w:space="0"/>
            </w:tcBorders>
            <w:vAlign w:val="center"/>
          </w:tcPr>
          <w:p w14:paraId="5F76966E">
            <w:pPr>
              <w:pStyle w:val="41"/>
              <w:spacing w:before="118" w:line="366" w:lineRule="auto"/>
              <w:ind w:left="118" w:right="111" w:firstLine="485"/>
              <w:rPr>
                <w:kern w:val="0"/>
                <w:sz w:val="22"/>
                <w:szCs w:val="22"/>
                <w:lang w:eastAsia="zh-CN"/>
              </w:rPr>
            </w:pPr>
            <w:r>
              <w:rPr>
                <w:rFonts w:hint="eastAsia"/>
                <w:kern w:val="0"/>
                <w:sz w:val="22"/>
                <w:szCs w:val="22"/>
                <w:lang w:eastAsia="zh-CN"/>
              </w:rPr>
              <w:t>备注：本项目采用报价(折扣)100%进行报价，成交折扣在整个合同执行过程中，不因国家政策变化而变动。根据成交折扣计算出的实际支付金额包含所供货物价格、运送到甲方指定地点所发生的运费、装卸费、调换等环节所发生的费用及其他相关费用和所需缴纳的一切相关税费。实际支付金额不得超过该项目预算金额。</w:t>
            </w:r>
          </w:p>
          <w:p w14:paraId="4938A976">
            <w:pPr>
              <w:pStyle w:val="41"/>
              <w:spacing w:before="118" w:line="366" w:lineRule="auto"/>
              <w:ind w:left="118" w:right="111" w:firstLine="485"/>
              <w:rPr>
                <w:b/>
                <w:bCs/>
                <w:spacing w:val="-3"/>
                <w:sz w:val="22"/>
                <w:szCs w:val="22"/>
                <w:lang w:eastAsia="zh-CN"/>
              </w:rPr>
            </w:pPr>
            <w:r>
              <w:rPr>
                <w:rFonts w:hint="eastAsia"/>
                <w:b/>
                <w:bCs/>
                <w:spacing w:val="-3"/>
                <w:sz w:val="22"/>
                <w:szCs w:val="22"/>
                <w:lang w:eastAsia="zh-CN"/>
              </w:rPr>
              <w:t>综合执行单价=（三门峡市发展和改革委员会同期公布的三门峡市重要农副产品每日价格表单价×70%+供应商报价×30%）×成交折扣</w:t>
            </w:r>
          </w:p>
          <w:p w14:paraId="67357610">
            <w:pPr>
              <w:overflowPunct w:val="0"/>
              <w:adjustRightInd w:val="0"/>
              <w:snapToGrid w:val="0"/>
              <w:spacing w:line="360" w:lineRule="auto"/>
              <w:ind w:firstLine="420" w:firstLineChars="200"/>
              <w:jc w:val="left"/>
              <w:rPr>
                <w:rFonts w:ascii="宋体" w:hAnsi="宋体" w:eastAsia="宋体" w:cs="宋体"/>
                <w:color w:val="000000"/>
                <w:sz w:val="22"/>
                <w:szCs w:val="22"/>
              </w:rPr>
            </w:pPr>
            <w:r>
              <w:rPr>
                <w:rFonts w:hint="eastAsia" w:ascii="宋体" w:hAnsi="宋体" w:eastAsia="宋体" w:cs="宋体"/>
                <w:snapToGrid w:val="0"/>
                <w:color w:val="000000"/>
                <w:spacing w:val="-5"/>
                <w:kern w:val="0"/>
                <w:sz w:val="22"/>
                <w:szCs w:val="22"/>
              </w:rPr>
              <w:t>注：</w:t>
            </w:r>
            <w:r>
              <w:rPr>
                <w:rFonts w:hint="eastAsia" w:ascii="宋体" w:hAnsi="宋体" w:eastAsia="宋体" w:cs="宋体"/>
                <w:color w:val="000000"/>
                <w:sz w:val="22"/>
                <w:szCs w:val="22"/>
              </w:rPr>
              <w:t>1、依据三门峡市发展和改革委员会同期公布的三门峡市重要农副产品价格表，最终确定的综合执行单价最高不得高于三门峡市发展和改革委员会同期公布的三门峡市重要农副产品价格表单价的10%。</w:t>
            </w:r>
          </w:p>
          <w:p w14:paraId="224AE7CD">
            <w:pPr>
              <w:overflowPunct w:val="0"/>
              <w:adjustRightInd w:val="0"/>
              <w:snapToGrid w:val="0"/>
              <w:spacing w:line="360" w:lineRule="auto"/>
              <w:ind w:firstLine="440" w:firstLineChars="200"/>
              <w:jc w:val="left"/>
              <w:rPr>
                <w:rFonts w:ascii="宋体" w:hAnsi="宋体" w:eastAsia="宋体" w:cs="宋体"/>
                <w:color w:val="000000"/>
                <w:sz w:val="22"/>
                <w:szCs w:val="22"/>
              </w:rPr>
            </w:pPr>
            <w:r>
              <w:rPr>
                <w:rFonts w:hint="eastAsia" w:ascii="宋体" w:hAnsi="宋体" w:eastAsia="宋体" w:cs="宋体"/>
                <w:color w:val="000000"/>
                <w:sz w:val="22"/>
                <w:szCs w:val="22"/>
              </w:rPr>
              <w:t>2、其中三门峡市发展和改革委员会同期公布的三门峡市重要农副产品每日价格表中存在未列明的重要农副产品，综合执行单价按照如下公式计算：</w:t>
            </w:r>
          </w:p>
          <w:p w14:paraId="043E7C1C">
            <w:pPr>
              <w:widowControl/>
              <w:spacing w:line="440" w:lineRule="exact"/>
              <w:ind w:firstLine="440" w:firstLineChars="200"/>
              <w:jc w:val="left"/>
              <w:rPr>
                <w:rFonts w:ascii="宋体" w:hAnsi="宋体" w:eastAsia="宋体" w:cs="宋体"/>
                <w:color w:val="000000"/>
                <w:sz w:val="22"/>
                <w:szCs w:val="22"/>
              </w:rPr>
            </w:pPr>
            <w:r>
              <w:rPr>
                <w:rFonts w:hint="eastAsia" w:ascii="宋体" w:hAnsi="宋体" w:eastAsia="宋体" w:cs="宋体"/>
                <w:color w:val="000000"/>
                <w:sz w:val="22"/>
                <w:szCs w:val="22"/>
              </w:rPr>
              <w:t>综合执行单价=（本地批发1市场调研单价×40%+本地批发2市场调研单价×30%+供应商报价×30%）×成交折扣</w:t>
            </w:r>
          </w:p>
          <w:p w14:paraId="3A3EFA86">
            <w:pPr>
              <w:widowControl/>
              <w:spacing w:line="440" w:lineRule="exact"/>
              <w:ind w:firstLine="440" w:firstLineChars="200"/>
              <w:jc w:val="left"/>
              <w:rPr>
                <w:rFonts w:ascii="宋体" w:hAnsi="宋体" w:eastAsia="宋体" w:cs="宋体"/>
                <w:color w:val="000000"/>
                <w:sz w:val="22"/>
                <w:szCs w:val="22"/>
              </w:rPr>
            </w:pPr>
            <w:r>
              <w:rPr>
                <w:rFonts w:hint="eastAsia" w:ascii="宋体" w:hAnsi="宋体" w:eastAsia="宋体" w:cs="宋体"/>
                <w:color w:val="000000"/>
                <w:sz w:val="22"/>
                <w:szCs w:val="22"/>
              </w:rPr>
              <w:t xml:space="preserve">3. </w:t>
            </w:r>
            <w:r>
              <w:rPr>
                <w:rFonts w:hint="eastAsia" w:ascii="宋体" w:hAnsi="宋体" w:eastAsia="宋体" w:cs="宋体"/>
                <w:color w:val="000000"/>
                <w:sz w:val="22"/>
                <w:szCs w:val="22"/>
                <w:lang w:val="en-US" w:eastAsia="zh-CN"/>
              </w:rPr>
              <w:t>磋商</w:t>
            </w:r>
            <w:r>
              <w:rPr>
                <w:rFonts w:hint="eastAsia" w:ascii="宋体" w:hAnsi="宋体" w:eastAsia="宋体" w:cs="宋体"/>
                <w:color w:val="000000"/>
                <w:sz w:val="22"/>
                <w:szCs w:val="22"/>
              </w:rPr>
              <w:t>（报价）货物执行标准</w:t>
            </w:r>
          </w:p>
          <w:p w14:paraId="0C3AD2D7">
            <w:pPr>
              <w:widowControl/>
              <w:spacing w:line="440" w:lineRule="exact"/>
              <w:ind w:firstLine="440" w:firstLineChars="200"/>
              <w:jc w:val="left"/>
              <w:rPr>
                <w:rFonts w:ascii="宋体" w:hAnsi="宋体" w:eastAsia="宋体" w:cs="宋体"/>
                <w:color w:val="000000"/>
                <w:sz w:val="24"/>
                <w:szCs w:val="24"/>
                <w:highlight w:val="yellow"/>
              </w:rPr>
            </w:pPr>
            <w:r>
              <w:rPr>
                <w:rFonts w:hint="eastAsia" w:ascii="宋体" w:hAnsi="宋体" w:eastAsia="宋体" w:cs="宋体"/>
                <w:color w:val="000000"/>
                <w:sz w:val="22"/>
                <w:szCs w:val="22"/>
              </w:rPr>
              <w:t>食用禽蛋执行 GB 4789.1-2016 国家标准、蔬菜符合质量安全要求。</w:t>
            </w:r>
          </w:p>
        </w:tc>
      </w:tr>
    </w:tbl>
    <w:p w14:paraId="33030CDA">
      <w:pPr>
        <w:spacing w:line="360" w:lineRule="auto"/>
        <w:jc w:val="center"/>
        <w:rPr>
          <w:rFonts w:hint="eastAsia" w:ascii="宋体" w:hAnsi="宋体"/>
          <w:b/>
          <w:bCs/>
          <w:sz w:val="24"/>
        </w:rPr>
      </w:pPr>
    </w:p>
    <w:p w14:paraId="19827294">
      <w:pPr>
        <w:spacing w:line="360" w:lineRule="auto"/>
        <w:jc w:val="center"/>
        <w:rPr>
          <w:rFonts w:hint="eastAsia" w:ascii="宋体" w:hAnsi="宋体"/>
          <w:b/>
          <w:bCs/>
          <w:sz w:val="24"/>
        </w:rPr>
      </w:pPr>
    </w:p>
    <w:p w14:paraId="1A1113AC">
      <w:pPr>
        <w:spacing w:line="360" w:lineRule="auto"/>
        <w:jc w:val="center"/>
        <w:rPr>
          <w:rFonts w:hint="eastAsia" w:ascii="宋体" w:hAnsi="宋体"/>
          <w:b/>
          <w:bCs/>
          <w:sz w:val="24"/>
        </w:rPr>
      </w:pPr>
    </w:p>
    <w:p w14:paraId="02ECD787">
      <w:pPr>
        <w:spacing w:line="360" w:lineRule="auto"/>
        <w:jc w:val="center"/>
        <w:rPr>
          <w:rFonts w:hint="eastAsia" w:ascii="宋体" w:hAnsi="宋体"/>
          <w:b/>
          <w:bCs/>
          <w:sz w:val="24"/>
        </w:rPr>
      </w:pPr>
    </w:p>
    <w:p w14:paraId="12F29ECE">
      <w:pPr>
        <w:spacing w:line="360" w:lineRule="auto"/>
        <w:jc w:val="center"/>
        <w:rPr>
          <w:rFonts w:ascii="宋体" w:hAnsi="宋体"/>
          <w:b/>
          <w:bCs/>
          <w:sz w:val="24"/>
        </w:rPr>
      </w:pPr>
      <w:r>
        <w:rPr>
          <w:rFonts w:hint="eastAsia" w:ascii="宋体" w:hAnsi="宋体"/>
          <w:b/>
          <w:bCs/>
          <w:sz w:val="24"/>
        </w:rPr>
        <w:t>总则</w:t>
      </w:r>
    </w:p>
    <w:p w14:paraId="5F9608E6">
      <w:pPr>
        <w:spacing w:line="360" w:lineRule="auto"/>
        <w:ind w:firstLine="436" w:firstLineChars="181"/>
        <w:rPr>
          <w:rFonts w:ascii="宋体" w:hAnsi="宋体"/>
          <w:b/>
          <w:bCs/>
          <w:sz w:val="24"/>
        </w:rPr>
      </w:pPr>
      <w:r>
        <w:rPr>
          <w:rFonts w:ascii="宋体" w:hAnsi="宋体"/>
          <w:b/>
          <w:bCs/>
          <w:sz w:val="24"/>
        </w:rPr>
        <w:t>1</w:t>
      </w:r>
      <w:r>
        <w:rPr>
          <w:rFonts w:hint="eastAsia" w:ascii="宋体" w:hAnsi="宋体"/>
          <w:b/>
          <w:bCs/>
          <w:sz w:val="24"/>
        </w:rPr>
        <w:t>、项目概况</w:t>
      </w:r>
    </w:p>
    <w:p w14:paraId="2F4823FC">
      <w:pPr>
        <w:autoSpaceDE w:val="0"/>
        <w:autoSpaceDN w:val="0"/>
        <w:adjustRightIn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1.1服务内容：详见供应商须知前附表。</w:t>
      </w:r>
    </w:p>
    <w:p w14:paraId="27005BCC">
      <w:pPr>
        <w:autoSpaceDE w:val="0"/>
        <w:autoSpaceDN w:val="0"/>
        <w:adjustRightIn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1.2资金来源：详见供应商须知前附表。</w:t>
      </w:r>
    </w:p>
    <w:p w14:paraId="1C7E894A">
      <w:pPr>
        <w:autoSpaceDE w:val="0"/>
        <w:autoSpaceDN w:val="0"/>
        <w:adjustRightIn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1.3质量要求：详见供应商须知前附表。</w:t>
      </w:r>
    </w:p>
    <w:p w14:paraId="082EFC9E">
      <w:pPr>
        <w:autoSpaceDE w:val="0"/>
        <w:autoSpaceDN w:val="0"/>
        <w:adjustRightIn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1.4服务</w:t>
      </w:r>
      <w:r>
        <w:rPr>
          <w:rFonts w:hint="eastAsia" w:ascii="宋体" w:hAnsi="宋体" w:eastAsia="宋体" w:cs="Times New Roman"/>
          <w:sz w:val="24"/>
          <w:lang w:val="en-US" w:eastAsia="zh-CN"/>
        </w:rPr>
        <w:t>周</w:t>
      </w:r>
      <w:r>
        <w:rPr>
          <w:rFonts w:hint="eastAsia" w:ascii="宋体" w:hAnsi="宋体" w:eastAsia="宋体" w:cs="Times New Roman"/>
          <w:sz w:val="24"/>
        </w:rPr>
        <w:t>期：详见供应商须知前附表。</w:t>
      </w:r>
    </w:p>
    <w:p w14:paraId="7B5CF9F8">
      <w:pPr>
        <w:autoSpaceDE w:val="0"/>
        <w:autoSpaceDN w:val="0"/>
        <w:adjustRightIn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1.5服务地点：详见供应商须知前附表。</w:t>
      </w:r>
    </w:p>
    <w:p w14:paraId="46E0EAA1">
      <w:pPr>
        <w:spacing w:line="360" w:lineRule="auto"/>
        <w:ind w:firstLine="424" w:firstLineChars="176"/>
        <w:rPr>
          <w:rFonts w:ascii="宋体" w:hAnsi="宋体"/>
          <w:b/>
          <w:bCs/>
          <w:sz w:val="24"/>
        </w:rPr>
      </w:pPr>
      <w:r>
        <w:rPr>
          <w:rFonts w:ascii="宋体" w:hAnsi="宋体"/>
          <w:b/>
          <w:bCs/>
          <w:sz w:val="24"/>
        </w:rPr>
        <w:t>2</w:t>
      </w:r>
      <w:r>
        <w:rPr>
          <w:rFonts w:hint="eastAsia" w:ascii="宋体" w:hAnsi="宋体"/>
          <w:b/>
          <w:bCs/>
          <w:sz w:val="24"/>
        </w:rPr>
        <w:t>、合格的供应商</w:t>
      </w:r>
    </w:p>
    <w:p w14:paraId="5550BB01">
      <w:pPr>
        <w:spacing w:line="360" w:lineRule="auto"/>
        <w:ind w:firstLine="422" w:firstLineChars="176"/>
        <w:rPr>
          <w:rFonts w:ascii="宋体" w:hAnsi="宋体"/>
          <w:kern w:val="0"/>
          <w:sz w:val="24"/>
        </w:rPr>
      </w:pPr>
      <w:r>
        <w:rPr>
          <w:rFonts w:hint="eastAsia" w:ascii="宋体" w:hAnsi="宋体"/>
          <w:sz w:val="24"/>
        </w:rPr>
        <w:t>详见</w:t>
      </w:r>
      <w:r>
        <w:rPr>
          <w:rFonts w:hint="eastAsia" w:ascii="宋体" w:hAnsi="宋体"/>
          <w:kern w:val="0"/>
          <w:sz w:val="24"/>
        </w:rPr>
        <w:t>供应商须知前附表。</w:t>
      </w:r>
    </w:p>
    <w:p w14:paraId="665E440D">
      <w:pPr>
        <w:spacing w:line="360" w:lineRule="auto"/>
        <w:ind w:firstLine="424" w:firstLineChars="176"/>
        <w:rPr>
          <w:rFonts w:ascii="宋体" w:hAnsi="宋体"/>
          <w:b/>
          <w:bCs/>
          <w:sz w:val="24"/>
        </w:rPr>
      </w:pPr>
      <w:r>
        <w:rPr>
          <w:rFonts w:ascii="宋体" w:hAnsi="宋体"/>
          <w:b/>
          <w:bCs/>
          <w:sz w:val="24"/>
        </w:rPr>
        <w:t>3</w:t>
      </w:r>
      <w:r>
        <w:rPr>
          <w:rFonts w:hint="eastAsia" w:ascii="宋体" w:hAnsi="宋体"/>
          <w:b/>
          <w:bCs/>
          <w:sz w:val="24"/>
        </w:rPr>
        <w:t>、费用</w:t>
      </w:r>
    </w:p>
    <w:p w14:paraId="388933F4">
      <w:pPr>
        <w:widowControl/>
        <w:spacing w:line="480" w:lineRule="exact"/>
        <w:ind w:firstLine="480" w:firstLineChars="200"/>
        <w:rPr>
          <w:rFonts w:ascii="宋体" w:hAnsi="宋体"/>
          <w:kern w:val="0"/>
          <w:sz w:val="24"/>
        </w:rPr>
      </w:pPr>
      <w:r>
        <w:rPr>
          <w:rFonts w:hint="eastAsia" w:ascii="宋体" w:hAnsi="宋体"/>
          <w:kern w:val="0"/>
          <w:sz w:val="24"/>
        </w:rPr>
        <w:t>3.1</w:t>
      </w:r>
      <w:r>
        <w:rPr>
          <w:rFonts w:hint="eastAsia" w:ascii="宋体" w:hAnsi="宋体" w:cs="宋体"/>
          <w:sz w:val="24"/>
        </w:rPr>
        <w:t>无论磋商中的结果如何，供应商均应自行承担所有参与磋商活动有关的全部费用</w:t>
      </w:r>
      <w:r>
        <w:rPr>
          <w:rFonts w:hint="eastAsia" w:ascii="宋体" w:hAnsi="宋体"/>
          <w:kern w:val="0"/>
          <w:sz w:val="24"/>
        </w:rPr>
        <w:t>。</w:t>
      </w:r>
    </w:p>
    <w:p w14:paraId="5AACCB00">
      <w:pPr>
        <w:spacing w:line="360" w:lineRule="auto"/>
        <w:ind w:firstLine="424" w:firstLineChars="176"/>
        <w:rPr>
          <w:rFonts w:ascii="宋体" w:hAnsi="宋体"/>
          <w:b/>
          <w:bCs/>
          <w:sz w:val="24"/>
        </w:rPr>
      </w:pPr>
      <w:r>
        <w:rPr>
          <w:rFonts w:ascii="宋体" w:hAnsi="宋体"/>
          <w:b/>
          <w:bCs/>
          <w:sz w:val="24"/>
        </w:rPr>
        <w:t>4</w:t>
      </w:r>
      <w:r>
        <w:rPr>
          <w:rFonts w:hint="eastAsia" w:ascii="宋体" w:hAnsi="宋体"/>
          <w:b/>
          <w:bCs/>
          <w:sz w:val="24"/>
        </w:rPr>
        <w:t>、竞争性磋商文件的构成</w:t>
      </w:r>
    </w:p>
    <w:p w14:paraId="370E8D5F">
      <w:pPr>
        <w:spacing w:line="360" w:lineRule="auto"/>
        <w:ind w:firstLine="422" w:firstLineChars="176"/>
        <w:rPr>
          <w:rFonts w:ascii="宋体" w:hAnsi="宋体"/>
          <w:sz w:val="24"/>
        </w:rPr>
      </w:pPr>
      <w:r>
        <w:rPr>
          <w:rFonts w:hint="eastAsia" w:ascii="宋体" w:hAnsi="宋体"/>
          <w:sz w:val="24"/>
        </w:rPr>
        <w:t>第一章 竞争性磋商公告</w:t>
      </w:r>
    </w:p>
    <w:p w14:paraId="7DED0566">
      <w:pPr>
        <w:spacing w:line="360" w:lineRule="auto"/>
        <w:ind w:firstLine="422" w:firstLineChars="176"/>
        <w:rPr>
          <w:rFonts w:ascii="宋体" w:hAnsi="宋体"/>
          <w:sz w:val="24"/>
        </w:rPr>
      </w:pPr>
      <w:r>
        <w:rPr>
          <w:rFonts w:hint="eastAsia" w:ascii="宋体" w:hAnsi="宋体"/>
          <w:sz w:val="24"/>
        </w:rPr>
        <w:t>第二章 供应商须知</w:t>
      </w:r>
    </w:p>
    <w:p w14:paraId="2B3B09BB">
      <w:pPr>
        <w:spacing w:line="360" w:lineRule="auto"/>
        <w:ind w:firstLine="422" w:firstLineChars="176"/>
        <w:rPr>
          <w:rFonts w:ascii="宋体" w:hAnsi="宋体"/>
          <w:sz w:val="24"/>
        </w:rPr>
      </w:pPr>
      <w:r>
        <w:rPr>
          <w:rFonts w:hint="eastAsia" w:ascii="宋体" w:hAnsi="宋体"/>
          <w:sz w:val="24"/>
        </w:rPr>
        <w:t>第三章 评审办法</w:t>
      </w:r>
    </w:p>
    <w:p w14:paraId="5B20B818">
      <w:pPr>
        <w:spacing w:line="360" w:lineRule="auto"/>
        <w:ind w:firstLine="422" w:firstLineChars="176"/>
        <w:rPr>
          <w:rFonts w:ascii="宋体" w:hAnsi="宋体"/>
          <w:sz w:val="24"/>
        </w:rPr>
      </w:pPr>
      <w:r>
        <w:rPr>
          <w:rFonts w:hint="eastAsia" w:ascii="宋体" w:hAnsi="宋体"/>
          <w:sz w:val="24"/>
        </w:rPr>
        <w:t xml:space="preserve">第四章 </w:t>
      </w:r>
      <w:r>
        <w:rPr>
          <w:rFonts w:hint="eastAsia" w:ascii="宋体" w:hAnsi="宋体" w:cs="宋体"/>
          <w:bCs/>
          <w:sz w:val="24"/>
        </w:rPr>
        <w:t>服务内容及要求</w:t>
      </w:r>
    </w:p>
    <w:p w14:paraId="0BDEBCCB">
      <w:pPr>
        <w:spacing w:line="360" w:lineRule="auto"/>
        <w:ind w:firstLine="422" w:firstLineChars="176"/>
        <w:rPr>
          <w:rFonts w:ascii="宋体" w:hAnsi="宋体"/>
          <w:sz w:val="24"/>
        </w:rPr>
      </w:pPr>
      <w:r>
        <w:rPr>
          <w:rFonts w:hint="eastAsia" w:ascii="宋体" w:hAnsi="宋体"/>
          <w:sz w:val="24"/>
        </w:rPr>
        <w:t>第五章 合同条款及格式</w:t>
      </w:r>
    </w:p>
    <w:p w14:paraId="71980D87">
      <w:pPr>
        <w:spacing w:line="360" w:lineRule="auto"/>
        <w:ind w:firstLine="422" w:firstLineChars="176"/>
        <w:rPr>
          <w:rFonts w:hint="eastAsia" w:ascii="宋体" w:hAnsi="宋体"/>
          <w:sz w:val="24"/>
        </w:rPr>
      </w:pPr>
      <w:r>
        <w:rPr>
          <w:rFonts w:hint="eastAsia" w:ascii="宋体" w:hAnsi="宋体"/>
          <w:sz w:val="24"/>
        </w:rPr>
        <w:t>第六章 响应文件格式</w:t>
      </w:r>
    </w:p>
    <w:p w14:paraId="049E8B7F">
      <w:pPr>
        <w:spacing w:line="360" w:lineRule="auto"/>
        <w:ind w:firstLine="422" w:firstLineChars="176"/>
        <w:rPr>
          <w:rFonts w:hint="eastAsia" w:ascii="宋体" w:hAnsi="宋体"/>
          <w:sz w:val="24"/>
        </w:rPr>
      </w:pPr>
      <w:r>
        <w:rPr>
          <w:rFonts w:hint="eastAsia" w:ascii="宋体" w:hAnsi="宋体"/>
          <w:sz w:val="24"/>
        </w:rPr>
        <w:t>磋商文件的补充、澄清、修改、答疑（如有）构成磋商件的组成部分。</w:t>
      </w:r>
    </w:p>
    <w:p w14:paraId="11865BAF">
      <w:pPr>
        <w:spacing w:line="360" w:lineRule="auto"/>
        <w:ind w:firstLine="424" w:firstLineChars="176"/>
        <w:rPr>
          <w:rFonts w:ascii="宋体" w:hAnsi="宋体"/>
          <w:b/>
          <w:bCs/>
          <w:sz w:val="24"/>
        </w:rPr>
      </w:pPr>
      <w:r>
        <w:rPr>
          <w:rFonts w:ascii="宋体" w:hAnsi="宋体"/>
          <w:b/>
          <w:bCs/>
          <w:sz w:val="24"/>
        </w:rPr>
        <w:t>5</w:t>
      </w:r>
      <w:r>
        <w:rPr>
          <w:rFonts w:hint="eastAsia" w:ascii="宋体" w:hAnsi="宋体"/>
          <w:b/>
          <w:bCs/>
          <w:sz w:val="24"/>
        </w:rPr>
        <w:t>、竞争性磋商文件的澄清</w:t>
      </w:r>
    </w:p>
    <w:p w14:paraId="4CB79D17">
      <w:pPr>
        <w:spacing w:line="360" w:lineRule="auto"/>
        <w:ind w:firstLine="422" w:firstLineChars="176"/>
        <w:rPr>
          <w:rFonts w:ascii="宋体" w:hAnsi="宋体"/>
          <w:kern w:val="0"/>
          <w:sz w:val="24"/>
        </w:rPr>
      </w:pPr>
      <w:r>
        <w:rPr>
          <w:rFonts w:ascii="宋体" w:hAnsi="宋体"/>
          <w:sz w:val="24"/>
        </w:rPr>
        <w:t>5.1</w:t>
      </w:r>
      <w:r>
        <w:rPr>
          <w:rFonts w:hint="eastAsia" w:ascii="宋体" w:hAnsi="宋体"/>
          <w:kern w:val="0"/>
          <w:sz w:val="24"/>
        </w:rPr>
        <w:t>供应商应仔细阅读和检查竞争性磋商文件的全部内容。如发现缺页或附件不全，应及时向采购人提出，以便补齐。如有疑问，应在磋商截止日期5日前在三门峡市公共资源交易系统中提出咨询并打电话至采购代理机构，要求采购人对竞争性磋商文件予以澄清。</w:t>
      </w:r>
    </w:p>
    <w:p w14:paraId="34A2F22F">
      <w:pPr>
        <w:widowControl/>
        <w:spacing w:line="480" w:lineRule="exact"/>
        <w:ind w:firstLine="480" w:firstLineChars="200"/>
        <w:rPr>
          <w:rFonts w:ascii="宋体" w:hAnsi="宋体"/>
          <w:kern w:val="0"/>
          <w:sz w:val="24"/>
        </w:rPr>
      </w:pPr>
      <w:r>
        <w:rPr>
          <w:rFonts w:hint="eastAsia" w:ascii="宋体" w:hAnsi="宋体"/>
          <w:kern w:val="0"/>
          <w:sz w:val="24"/>
        </w:rPr>
        <w:t>5.2竞争性磋商文件的澄清以澄清回复的方式在三门峡市公共资源交易系统中回复所有报名完成的供应商或发布澄清公告，但不指明澄清问题的来源。澄清磋商文件实质性内容且影响响应文件编制的，应当顺延提交首次响应文件截止时间。</w:t>
      </w:r>
    </w:p>
    <w:p w14:paraId="67E19AA5">
      <w:pPr>
        <w:widowControl/>
        <w:spacing w:line="480" w:lineRule="exact"/>
        <w:ind w:firstLine="480" w:firstLineChars="200"/>
        <w:rPr>
          <w:rFonts w:ascii="宋体" w:hAnsi="宋体"/>
          <w:kern w:val="0"/>
          <w:sz w:val="24"/>
        </w:rPr>
      </w:pPr>
      <w:r>
        <w:rPr>
          <w:rFonts w:hint="eastAsia" w:ascii="宋体" w:hAnsi="宋体"/>
          <w:kern w:val="0"/>
          <w:sz w:val="24"/>
        </w:rPr>
        <w:t>5.3提交首次响应文件截止之日前，采购人、代理公司可以对已发出的竞争性磋商文件进行必要的澄清或者修改，澄清或者修改的内容作为竞争性磋商文件的组成部分。澄清或者修改的内容可能影响响应文件编制的，采购人、代理公司将在提交首次响应文件截止时间至少5日前，在相关网上发布变更公告形式通知所有获取竞争性磋商文件的供应商。不足5日的，应当顺延提交首次响应文件截止时间。</w:t>
      </w:r>
    </w:p>
    <w:p w14:paraId="6685B7B9">
      <w:pPr>
        <w:widowControl/>
        <w:spacing w:line="480" w:lineRule="exact"/>
        <w:ind w:firstLine="480" w:firstLineChars="200"/>
        <w:rPr>
          <w:rFonts w:ascii="宋体" w:hAnsi="宋体"/>
          <w:kern w:val="0"/>
          <w:sz w:val="24"/>
        </w:rPr>
      </w:pPr>
      <w:r>
        <w:rPr>
          <w:rFonts w:hint="eastAsia" w:ascii="宋体" w:hAnsi="宋体"/>
          <w:kern w:val="0"/>
          <w:sz w:val="24"/>
        </w:rPr>
        <w:t>5.4供应商应自行查看澄清或变更信息。</w:t>
      </w:r>
    </w:p>
    <w:p w14:paraId="0B714EC1">
      <w:pPr>
        <w:spacing w:line="360" w:lineRule="auto"/>
        <w:ind w:firstLine="424" w:firstLineChars="176"/>
        <w:rPr>
          <w:rFonts w:ascii="宋体" w:hAnsi="宋体"/>
          <w:b/>
          <w:bCs/>
          <w:sz w:val="24"/>
        </w:rPr>
      </w:pPr>
      <w:r>
        <w:rPr>
          <w:rFonts w:ascii="宋体" w:hAnsi="宋体"/>
          <w:b/>
          <w:bCs/>
          <w:sz w:val="24"/>
        </w:rPr>
        <w:t>6</w:t>
      </w:r>
      <w:r>
        <w:rPr>
          <w:rFonts w:hint="eastAsia" w:ascii="宋体" w:hAnsi="宋体"/>
          <w:b/>
          <w:bCs/>
          <w:sz w:val="24"/>
        </w:rPr>
        <w:t>、竞争性磋商文件的修改</w:t>
      </w:r>
    </w:p>
    <w:p w14:paraId="3A2F1E4E">
      <w:pPr>
        <w:spacing w:line="360" w:lineRule="auto"/>
        <w:ind w:firstLine="422" w:firstLineChars="176"/>
        <w:rPr>
          <w:rFonts w:ascii="宋体" w:hAnsi="宋体"/>
          <w:sz w:val="24"/>
        </w:rPr>
      </w:pPr>
      <w:r>
        <w:rPr>
          <w:rFonts w:ascii="宋体" w:hAnsi="宋体"/>
          <w:sz w:val="24"/>
        </w:rPr>
        <w:t>6.1</w:t>
      </w:r>
      <w:r>
        <w:rPr>
          <w:rFonts w:hint="eastAsia" w:ascii="宋体" w:hAnsi="宋体"/>
          <w:sz w:val="24"/>
        </w:rPr>
        <w:t>竞争性磋商文件的修改书将构成响应文件的一部分，对所有供应商均有约束力。</w:t>
      </w:r>
    </w:p>
    <w:p w14:paraId="79CEE802">
      <w:pPr>
        <w:spacing w:line="360" w:lineRule="auto"/>
        <w:ind w:firstLine="424" w:firstLineChars="176"/>
        <w:rPr>
          <w:rFonts w:ascii="宋体" w:hAnsi="宋体"/>
          <w:b/>
          <w:bCs/>
          <w:sz w:val="24"/>
        </w:rPr>
      </w:pPr>
      <w:r>
        <w:rPr>
          <w:rFonts w:ascii="宋体" w:hAnsi="宋体"/>
          <w:b/>
          <w:bCs/>
          <w:sz w:val="24"/>
        </w:rPr>
        <w:t>7</w:t>
      </w:r>
      <w:r>
        <w:rPr>
          <w:rFonts w:hint="eastAsia" w:ascii="宋体" w:hAnsi="宋体"/>
          <w:b/>
          <w:bCs/>
          <w:sz w:val="24"/>
        </w:rPr>
        <w:t>、要求</w:t>
      </w:r>
    </w:p>
    <w:p w14:paraId="6F2B87CA">
      <w:pPr>
        <w:spacing w:line="360" w:lineRule="auto"/>
        <w:ind w:firstLine="422" w:firstLineChars="176"/>
        <w:rPr>
          <w:rFonts w:ascii="宋体" w:hAnsi="宋体"/>
          <w:sz w:val="24"/>
        </w:rPr>
      </w:pPr>
      <w:r>
        <w:rPr>
          <w:rFonts w:ascii="宋体" w:hAnsi="宋体"/>
          <w:sz w:val="24"/>
        </w:rPr>
        <w:t>7.1</w:t>
      </w:r>
      <w:r>
        <w:rPr>
          <w:rFonts w:hint="eastAsia" w:ascii="宋体" w:hAnsi="宋体"/>
          <w:sz w:val="24"/>
        </w:rPr>
        <w:t>供应商应仔细阅读竞争性磋商文件的所有内容，按竞争性磋商文件的要求提供响应文件，并保证所提供资料的真实性，以使其响应文件对竞争性磋商文件作出实质性响应，否则，其响应文件不予接受。</w:t>
      </w:r>
    </w:p>
    <w:p w14:paraId="049A3A1B">
      <w:pPr>
        <w:spacing w:line="360" w:lineRule="auto"/>
        <w:ind w:firstLine="424" w:firstLineChars="176"/>
        <w:rPr>
          <w:rFonts w:ascii="宋体" w:hAnsi="宋体"/>
          <w:b/>
          <w:bCs/>
          <w:sz w:val="24"/>
        </w:rPr>
      </w:pPr>
      <w:r>
        <w:rPr>
          <w:rFonts w:hint="eastAsia" w:ascii="宋体" w:hAnsi="宋体"/>
          <w:b/>
          <w:bCs/>
          <w:sz w:val="24"/>
        </w:rPr>
        <w:t>8、电子化响应文件的组成</w:t>
      </w:r>
    </w:p>
    <w:p w14:paraId="25C68EF1">
      <w:pPr>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（1）磋商函及报价一览表</w:t>
      </w:r>
    </w:p>
    <w:p w14:paraId="47A2E2C0">
      <w:pPr>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（2) 法定代表人身份证明</w:t>
      </w:r>
    </w:p>
    <w:p w14:paraId="3912ABD7">
      <w:pPr>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（3）法定代表人授权委托书</w:t>
      </w:r>
    </w:p>
    <w:p w14:paraId="244752F3">
      <w:pPr>
        <w:adjustRightInd w:val="0"/>
        <w:snapToGrid w:val="0"/>
        <w:spacing w:line="360" w:lineRule="auto"/>
        <w:ind w:firstLine="525" w:firstLineChars="250"/>
        <w:jc w:val="left"/>
        <w:rPr>
          <w:rFonts w:ascii="宋体" w:hAnsi="宋体" w:cs="宋体"/>
          <w:color w:val="000000"/>
          <w:sz w:val="24"/>
        </w:rPr>
      </w:pPr>
      <w:r>
        <w:fldChar w:fldCharType="begin"/>
      </w:r>
      <w:r>
        <w:instrText xml:space="preserve"> HYPERLINK \l "_Toc77596816" </w:instrText>
      </w:r>
      <w:r>
        <w:fldChar w:fldCharType="separate"/>
      </w:r>
      <w:r>
        <w:rPr>
          <w:rFonts w:hint="eastAsia" w:ascii="宋体" w:hAnsi="宋体" w:cs="宋体"/>
          <w:color w:val="000000"/>
          <w:sz w:val="24"/>
        </w:rPr>
        <w:t>（4）资格审查资料</w:t>
      </w:r>
      <w:r>
        <w:rPr>
          <w:rFonts w:hint="eastAsia" w:ascii="宋体" w:hAnsi="宋体" w:cs="宋体"/>
          <w:color w:val="000000"/>
          <w:sz w:val="24"/>
        </w:rPr>
        <w:fldChar w:fldCharType="end"/>
      </w:r>
    </w:p>
    <w:p w14:paraId="3E850243">
      <w:pPr>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（5）技术方案</w:t>
      </w:r>
    </w:p>
    <w:p w14:paraId="2CF533DC">
      <w:pPr>
        <w:numPr>
          <w:ilvl w:val="0"/>
          <w:numId w:val="3"/>
        </w:numPr>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供应商承担过的类似业绩</w:t>
      </w:r>
    </w:p>
    <w:p w14:paraId="647D5F1E">
      <w:pPr>
        <w:numPr>
          <w:ilvl w:val="0"/>
          <w:numId w:val="3"/>
        </w:numPr>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拟投入本项目的人员情况</w:t>
      </w:r>
    </w:p>
    <w:p w14:paraId="3AC008F5">
      <w:pPr>
        <w:numPr>
          <w:ilvl w:val="0"/>
          <w:numId w:val="3"/>
        </w:numPr>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磋商承诺函</w:t>
      </w:r>
    </w:p>
    <w:p w14:paraId="623DEC36">
      <w:pPr>
        <w:numPr>
          <w:ilvl w:val="0"/>
          <w:numId w:val="3"/>
        </w:numPr>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 xml:space="preserve">供应商资格声明函 </w:t>
      </w:r>
    </w:p>
    <w:p w14:paraId="3A7EB794">
      <w:pPr>
        <w:numPr>
          <w:ilvl w:val="0"/>
          <w:numId w:val="3"/>
        </w:numPr>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供应商认为需要提供的其他材料</w:t>
      </w:r>
    </w:p>
    <w:p w14:paraId="12E13BDB">
      <w:pPr>
        <w:adjustRightInd w:val="0"/>
        <w:snapToGrid w:val="0"/>
        <w:spacing w:line="360" w:lineRule="auto"/>
        <w:ind w:firstLine="480" w:firstLineChars="200"/>
        <w:jc w:val="left"/>
        <w:rPr>
          <w:rFonts w:ascii="宋体" w:hAnsi="宋体" w:cs="宋体"/>
          <w:color w:val="000000"/>
          <w:sz w:val="24"/>
        </w:rPr>
      </w:pPr>
      <w:r>
        <w:rPr>
          <w:rFonts w:hint="eastAsia"/>
          <w:sz w:val="24"/>
          <w:szCs w:val="32"/>
        </w:rPr>
        <w:t>（11）</w:t>
      </w:r>
      <w:r>
        <w:rPr>
          <w:rFonts w:hint="eastAsia" w:ascii="宋体" w:hAnsi="宋体" w:cs="宋体"/>
          <w:color w:val="000000"/>
          <w:sz w:val="24"/>
        </w:rPr>
        <w:t>附件</w:t>
      </w:r>
    </w:p>
    <w:p w14:paraId="2C27D9B2">
      <w:pPr>
        <w:spacing w:line="360" w:lineRule="auto"/>
        <w:ind w:firstLine="424" w:firstLineChars="176"/>
        <w:rPr>
          <w:rFonts w:ascii="宋体" w:hAnsi="宋体"/>
          <w:b/>
          <w:bCs/>
          <w:sz w:val="24"/>
        </w:rPr>
      </w:pPr>
      <w:r>
        <w:rPr>
          <w:rFonts w:hint="eastAsia" w:ascii="宋体" w:hAnsi="宋体"/>
          <w:b/>
          <w:bCs/>
          <w:sz w:val="24"/>
        </w:rPr>
        <w:t>9、电子化响应文件的格式</w:t>
      </w:r>
    </w:p>
    <w:p w14:paraId="16DA5F1B">
      <w:pPr>
        <w:spacing w:line="360" w:lineRule="auto"/>
        <w:ind w:firstLine="422" w:firstLineChars="176"/>
        <w:rPr>
          <w:rFonts w:ascii="宋体" w:hAnsi="宋体"/>
          <w:sz w:val="24"/>
        </w:rPr>
      </w:pPr>
      <w:r>
        <w:rPr>
          <w:rFonts w:hint="eastAsia" w:ascii="宋体" w:hAnsi="宋体"/>
          <w:sz w:val="24"/>
        </w:rPr>
        <w:t>9</w:t>
      </w:r>
      <w:r>
        <w:rPr>
          <w:rFonts w:ascii="宋体" w:hAnsi="宋体"/>
          <w:sz w:val="24"/>
        </w:rPr>
        <w:t>.1</w:t>
      </w:r>
      <w:r>
        <w:rPr>
          <w:rFonts w:hint="eastAsia" w:ascii="宋体" w:hAnsi="宋体"/>
          <w:sz w:val="24"/>
        </w:rPr>
        <w:t>供应商所上传的电子化响应文件，应是通过中心响应文件制作系统制作的，经过签章和加密后生成的电子版响应文件。其中包含用于响应文件上传的主文件（后缀为.smxtf）和用于应急补救的响应文件备份文件（后缀为.nsmxtf）。</w:t>
      </w:r>
    </w:p>
    <w:p w14:paraId="13BCF787">
      <w:pPr>
        <w:spacing w:line="360" w:lineRule="auto"/>
        <w:ind w:firstLine="482" w:firstLineChars="200"/>
        <w:rPr>
          <w:rFonts w:ascii="宋体" w:hAnsi="宋体"/>
          <w:sz w:val="24"/>
        </w:rPr>
      </w:pPr>
      <w:r>
        <w:rPr>
          <w:rFonts w:ascii="宋体" w:hAnsi="宋体"/>
          <w:b/>
          <w:bCs/>
          <w:sz w:val="24"/>
        </w:rPr>
        <w:t>1</w:t>
      </w:r>
      <w:r>
        <w:rPr>
          <w:rFonts w:hint="eastAsia" w:ascii="宋体" w:hAnsi="宋体"/>
          <w:b/>
          <w:bCs/>
          <w:sz w:val="24"/>
        </w:rPr>
        <w:t>0、电子化响应文件的签署</w:t>
      </w:r>
    </w:p>
    <w:p w14:paraId="55566FD9">
      <w:pPr>
        <w:spacing w:line="360" w:lineRule="auto"/>
        <w:ind w:firstLine="480" w:firstLineChars="200"/>
        <w:rPr>
          <w:rFonts w:ascii="宋体" w:hAnsi="宋体"/>
          <w:sz w:val="24"/>
        </w:rPr>
      </w:pPr>
      <w:r>
        <w:rPr>
          <w:rFonts w:ascii="宋体" w:hAnsi="宋体"/>
          <w:sz w:val="24"/>
        </w:rPr>
        <w:t>1</w:t>
      </w:r>
      <w:r>
        <w:rPr>
          <w:rFonts w:hint="eastAsia" w:ascii="宋体" w:hAnsi="宋体"/>
          <w:sz w:val="24"/>
        </w:rPr>
        <w:t>0</w:t>
      </w:r>
      <w:r>
        <w:rPr>
          <w:rFonts w:ascii="宋体" w:hAnsi="宋体"/>
          <w:sz w:val="24"/>
        </w:rPr>
        <w:t>.1</w:t>
      </w:r>
      <w:r>
        <w:rPr>
          <w:rFonts w:hint="eastAsia" w:ascii="宋体" w:hAnsi="宋体"/>
          <w:sz w:val="24"/>
        </w:rPr>
        <w:t>供应商在进行电子化响应文件签章时，竞争性磋商文件中要求供应商盖章的，以签盖单位章为准；要求法定代表人或委托代理人签章的，以签盖法定代表人签章为准。</w:t>
      </w:r>
    </w:p>
    <w:p w14:paraId="002519E2">
      <w:pPr>
        <w:spacing w:line="360" w:lineRule="auto"/>
        <w:ind w:firstLine="482" w:firstLineChars="200"/>
        <w:rPr>
          <w:rFonts w:ascii="宋体" w:hAnsi="宋体"/>
          <w:b/>
          <w:bCs/>
          <w:sz w:val="24"/>
        </w:rPr>
      </w:pPr>
      <w:r>
        <w:rPr>
          <w:rFonts w:ascii="宋体" w:hAnsi="宋体"/>
          <w:b/>
          <w:bCs/>
          <w:sz w:val="24"/>
        </w:rPr>
        <w:t>1</w:t>
      </w:r>
      <w:r>
        <w:rPr>
          <w:rFonts w:hint="eastAsia" w:ascii="宋体" w:hAnsi="宋体"/>
          <w:b/>
          <w:bCs/>
          <w:sz w:val="24"/>
        </w:rPr>
        <w:t>1、电子化响应文件的上传</w:t>
      </w:r>
    </w:p>
    <w:p w14:paraId="04A65F70">
      <w:pPr>
        <w:spacing w:line="360" w:lineRule="auto"/>
        <w:ind w:firstLine="480" w:firstLineChars="200"/>
        <w:jc w:val="left"/>
        <w:rPr>
          <w:rFonts w:ascii="宋体" w:hAnsi="宋体"/>
          <w:kern w:val="0"/>
          <w:sz w:val="24"/>
        </w:rPr>
      </w:pPr>
      <w:r>
        <w:rPr>
          <w:rFonts w:ascii="宋体" w:hAnsi="宋体"/>
          <w:sz w:val="24"/>
        </w:rPr>
        <w:t>1</w:t>
      </w:r>
      <w:r>
        <w:rPr>
          <w:rFonts w:hint="eastAsia" w:ascii="宋体" w:hAnsi="宋体"/>
          <w:sz w:val="24"/>
        </w:rPr>
        <w:t>1</w:t>
      </w:r>
      <w:r>
        <w:rPr>
          <w:rFonts w:ascii="宋体" w:hAnsi="宋体"/>
          <w:sz w:val="24"/>
        </w:rPr>
        <w:t>.1</w:t>
      </w:r>
      <w:r>
        <w:rPr>
          <w:rFonts w:hint="eastAsia" w:ascii="宋体" w:hAnsi="宋体"/>
          <w:kern w:val="0"/>
          <w:sz w:val="24"/>
        </w:rPr>
        <w:t>电子化响应文件应在磋商截止时间前成功上传至三门峡市公共资源电子化交易系统。至磋商截止时间止，仍未上传成功的电子化响应文件将不予接收。</w:t>
      </w:r>
    </w:p>
    <w:p w14:paraId="48C095D2">
      <w:pPr>
        <w:spacing w:line="360" w:lineRule="auto"/>
        <w:ind w:firstLine="422" w:firstLineChars="176"/>
        <w:jc w:val="left"/>
        <w:rPr>
          <w:rFonts w:ascii="宋体" w:hAnsi="宋体"/>
          <w:kern w:val="0"/>
          <w:sz w:val="24"/>
        </w:rPr>
      </w:pPr>
      <w:r>
        <w:rPr>
          <w:rFonts w:hint="eastAsia" w:ascii="宋体" w:hAnsi="宋体"/>
          <w:kern w:val="0"/>
          <w:sz w:val="24"/>
        </w:rPr>
        <w:t>注：如按照电子化投标操作教材制作完成的电子化响应文件无法上传的，供应商应在</w:t>
      </w:r>
      <w:r>
        <w:rPr>
          <w:rFonts w:hint="eastAsia" w:ascii="宋体" w:hAnsi="宋体"/>
          <w:kern w:val="0"/>
          <w:sz w:val="24"/>
          <w:lang w:val="en-US" w:eastAsia="zh-CN"/>
        </w:rPr>
        <w:t>磋商</w:t>
      </w:r>
      <w:r>
        <w:rPr>
          <w:rFonts w:hint="eastAsia" w:ascii="宋体" w:hAnsi="宋体"/>
          <w:kern w:val="0"/>
          <w:sz w:val="24"/>
        </w:rPr>
        <w:t>截止时间前尽早的联系中心技术人员，以便有充分的时间进行处理。供应商应充分考虑到处理技术问题和上传数据等工作所需的时间问题，响应文件未在</w:t>
      </w:r>
      <w:r>
        <w:rPr>
          <w:rFonts w:hint="eastAsia" w:ascii="宋体" w:hAnsi="宋体"/>
          <w:kern w:val="0"/>
          <w:sz w:val="24"/>
          <w:lang w:eastAsia="zh-CN"/>
        </w:rPr>
        <w:t>磋商</w:t>
      </w:r>
      <w:r>
        <w:rPr>
          <w:rFonts w:hint="eastAsia" w:ascii="宋体" w:hAnsi="宋体"/>
          <w:kern w:val="0"/>
          <w:sz w:val="24"/>
        </w:rPr>
        <w:t>截止时间前成功上传的，其响应文件不予接收。</w:t>
      </w:r>
    </w:p>
    <w:p w14:paraId="345B2E5A">
      <w:pPr>
        <w:spacing w:line="360" w:lineRule="auto"/>
        <w:ind w:firstLine="482" w:firstLineChars="200"/>
        <w:rPr>
          <w:rFonts w:ascii="宋体" w:hAnsi="宋体"/>
          <w:b/>
          <w:bCs/>
          <w:sz w:val="24"/>
        </w:rPr>
      </w:pPr>
      <w:r>
        <w:rPr>
          <w:rFonts w:ascii="宋体" w:hAnsi="宋体"/>
          <w:b/>
          <w:bCs/>
          <w:sz w:val="24"/>
        </w:rPr>
        <w:t>1</w:t>
      </w:r>
      <w:r>
        <w:rPr>
          <w:rFonts w:hint="eastAsia" w:ascii="宋体" w:hAnsi="宋体"/>
          <w:b/>
          <w:bCs/>
          <w:sz w:val="24"/>
        </w:rPr>
        <w:t>2、磋商截止时间</w:t>
      </w:r>
    </w:p>
    <w:p w14:paraId="3B4DA292">
      <w:pPr>
        <w:spacing w:line="360" w:lineRule="auto"/>
        <w:ind w:firstLine="480" w:firstLineChars="200"/>
        <w:rPr>
          <w:rFonts w:ascii="宋体" w:hAnsi="宋体"/>
          <w:sz w:val="24"/>
        </w:rPr>
      </w:pPr>
      <w:r>
        <w:rPr>
          <w:rFonts w:ascii="宋体" w:hAnsi="宋体"/>
          <w:sz w:val="24"/>
        </w:rPr>
        <w:t>1</w:t>
      </w:r>
      <w:r>
        <w:rPr>
          <w:rFonts w:hint="eastAsia" w:ascii="宋体" w:hAnsi="宋体"/>
          <w:sz w:val="24"/>
        </w:rPr>
        <w:t>2</w:t>
      </w:r>
      <w:r>
        <w:rPr>
          <w:rFonts w:ascii="宋体" w:hAnsi="宋体"/>
          <w:sz w:val="24"/>
        </w:rPr>
        <w:t>.1</w:t>
      </w:r>
      <w:r>
        <w:rPr>
          <w:rFonts w:hint="eastAsia" w:ascii="宋体" w:hAnsi="宋体"/>
          <w:sz w:val="24"/>
        </w:rPr>
        <w:t>电子化响应文件的截止时间见本须知前附表规定。</w:t>
      </w:r>
    </w:p>
    <w:p w14:paraId="4D72CFCA">
      <w:pPr>
        <w:spacing w:line="360" w:lineRule="auto"/>
        <w:ind w:firstLine="482" w:firstLineChars="200"/>
        <w:rPr>
          <w:rFonts w:ascii="宋体" w:hAnsi="宋体"/>
          <w:sz w:val="24"/>
        </w:rPr>
      </w:pPr>
      <w:r>
        <w:rPr>
          <w:rFonts w:ascii="宋体" w:hAnsi="宋体"/>
          <w:b/>
          <w:bCs/>
          <w:sz w:val="24"/>
        </w:rPr>
        <w:t>1</w:t>
      </w:r>
      <w:r>
        <w:rPr>
          <w:rFonts w:hint="eastAsia" w:ascii="宋体" w:hAnsi="宋体"/>
          <w:b/>
          <w:bCs/>
          <w:sz w:val="24"/>
        </w:rPr>
        <w:t>3、电子化响应文件的补充、修改与撤回</w:t>
      </w:r>
    </w:p>
    <w:p w14:paraId="5CEC7F30">
      <w:pPr>
        <w:spacing w:line="360" w:lineRule="auto"/>
        <w:ind w:firstLine="480" w:firstLineChars="200"/>
        <w:rPr>
          <w:rFonts w:ascii="宋体" w:hAnsi="宋体"/>
          <w:sz w:val="24"/>
        </w:rPr>
      </w:pPr>
      <w:r>
        <w:rPr>
          <w:rFonts w:ascii="宋体" w:hAnsi="宋体"/>
          <w:sz w:val="24"/>
        </w:rPr>
        <w:t>1</w:t>
      </w:r>
      <w:r>
        <w:rPr>
          <w:rFonts w:hint="eastAsia" w:ascii="宋体" w:hAnsi="宋体"/>
          <w:sz w:val="24"/>
        </w:rPr>
        <w:t>3</w:t>
      </w:r>
      <w:r>
        <w:rPr>
          <w:rFonts w:ascii="宋体" w:hAnsi="宋体"/>
          <w:sz w:val="24"/>
        </w:rPr>
        <w:t>.1</w:t>
      </w:r>
      <w:r>
        <w:rPr>
          <w:rFonts w:hint="eastAsia" w:ascii="宋体" w:hAnsi="宋体"/>
          <w:sz w:val="24"/>
        </w:rPr>
        <w:t>在磋商截止时间之后，供应商不得补充、修改电子化响应文件。</w:t>
      </w:r>
    </w:p>
    <w:p w14:paraId="4C2311A9">
      <w:pPr>
        <w:spacing w:line="360" w:lineRule="auto"/>
        <w:ind w:firstLine="482" w:firstLineChars="200"/>
        <w:rPr>
          <w:rFonts w:ascii="宋体" w:hAnsi="宋体"/>
          <w:szCs w:val="21"/>
        </w:rPr>
      </w:pPr>
      <w:r>
        <w:rPr>
          <w:rFonts w:hint="eastAsia" w:ascii="宋体" w:hAnsi="宋体"/>
          <w:b/>
          <w:bCs/>
          <w:sz w:val="24"/>
        </w:rPr>
        <w:t>14、磋商报价</w:t>
      </w:r>
      <w:r>
        <w:tab/>
      </w:r>
    </w:p>
    <w:p w14:paraId="63BCB6E7">
      <w:pPr>
        <w:spacing w:line="360" w:lineRule="auto"/>
        <w:ind w:firstLine="480" w:firstLineChars="200"/>
        <w:rPr>
          <w:rFonts w:ascii="宋体" w:hAnsi="宋体"/>
          <w:sz w:val="24"/>
        </w:rPr>
      </w:pPr>
      <w:r>
        <w:rPr>
          <w:rFonts w:ascii="宋体" w:hAnsi="宋体"/>
          <w:sz w:val="24"/>
        </w:rPr>
        <w:t>1</w:t>
      </w:r>
      <w:r>
        <w:rPr>
          <w:rFonts w:hint="eastAsia" w:ascii="宋体" w:hAnsi="宋体"/>
          <w:sz w:val="24"/>
        </w:rPr>
        <w:t>4</w:t>
      </w:r>
      <w:r>
        <w:rPr>
          <w:rFonts w:ascii="宋体" w:hAnsi="宋体"/>
          <w:sz w:val="24"/>
        </w:rPr>
        <w:t>.1</w:t>
      </w:r>
      <w:r>
        <w:rPr>
          <w:rFonts w:hint="eastAsia" w:ascii="宋体" w:hAnsi="宋体"/>
          <w:sz w:val="24"/>
        </w:rPr>
        <w:t>本次磋商的报价以折扣率进行报价。</w:t>
      </w:r>
    </w:p>
    <w:p w14:paraId="362C8B67">
      <w:pPr>
        <w:wordWrap w:val="0"/>
        <w:spacing w:line="360" w:lineRule="auto"/>
        <w:ind w:firstLine="480" w:firstLineChars="200"/>
        <w:rPr>
          <w:sz w:val="24"/>
        </w:rPr>
      </w:pPr>
      <w:r>
        <w:rPr>
          <w:rFonts w:ascii="宋体" w:hAnsi="宋体"/>
          <w:sz w:val="24"/>
        </w:rPr>
        <w:t>1</w:t>
      </w:r>
      <w:r>
        <w:rPr>
          <w:rFonts w:hint="eastAsia" w:ascii="宋体" w:hAnsi="宋体"/>
          <w:sz w:val="24"/>
        </w:rPr>
        <w:t>4</w:t>
      </w:r>
      <w:r>
        <w:rPr>
          <w:rFonts w:ascii="宋体" w:hAnsi="宋体"/>
          <w:sz w:val="24"/>
        </w:rPr>
        <w:t>.2</w:t>
      </w:r>
      <w:r>
        <w:rPr>
          <w:rFonts w:hint="eastAsia"/>
          <w:sz w:val="24"/>
        </w:rPr>
        <w:t>供应商根据市场行情自主报价。</w:t>
      </w:r>
      <w:r>
        <w:rPr>
          <w:rFonts w:hint="eastAsia" w:ascii="宋体" w:hAnsi="宋体"/>
          <w:sz w:val="24"/>
        </w:rPr>
        <w:t>供应商的磋商报价包括完成该项目的成本、利润、税金、风险等所有伴随的其他费用。</w:t>
      </w:r>
      <w:r>
        <w:rPr>
          <w:rFonts w:hint="eastAsia"/>
          <w:sz w:val="24"/>
        </w:rPr>
        <w:t>采购人不另外支付其他任何费用。</w:t>
      </w:r>
    </w:p>
    <w:p w14:paraId="0B8E26FB">
      <w:pPr>
        <w:spacing w:line="360" w:lineRule="auto"/>
        <w:ind w:firstLine="480" w:firstLineChars="200"/>
        <w:rPr>
          <w:rFonts w:ascii="宋体" w:hAnsi="宋体"/>
          <w:sz w:val="24"/>
        </w:rPr>
      </w:pPr>
      <w:r>
        <w:rPr>
          <w:rFonts w:ascii="宋体" w:hAnsi="宋体"/>
          <w:sz w:val="24"/>
        </w:rPr>
        <w:t>1</w:t>
      </w:r>
      <w:r>
        <w:rPr>
          <w:rFonts w:hint="eastAsia" w:ascii="宋体" w:hAnsi="宋体"/>
          <w:sz w:val="24"/>
        </w:rPr>
        <w:t>4</w:t>
      </w:r>
      <w:r>
        <w:rPr>
          <w:rFonts w:ascii="宋体" w:hAnsi="宋体"/>
          <w:sz w:val="24"/>
        </w:rPr>
        <w:t>.3</w:t>
      </w:r>
      <w:r>
        <w:rPr>
          <w:rFonts w:hint="eastAsia" w:ascii="宋体" w:hAnsi="宋体"/>
          <w:sz w:val="24"/>
        </w:rPr>
        <w:t>供应商应充分考虑市场风险和国家政策性风险系数，根据企业具体情况在合理的范围内自主报价，但不得低于企业实际成本。</w:t>
      </w:r>
    </w:p>
    <w:p w14:paraId="0158EFC6">
      <w:pPr>
        <w:spacing w:line="360" w:lineRule="auto"/>
        <w:ind w:firstLine="480" w:firstLineChars="200"/>
        <w:rPr>
          <w:rFonts w:ascii="宋体" w:hAnsi="宋体"/>
          <w:sz w:val="24"/>
        </w:rPr>
      </w:pPr>
      <w:r>
        <w:rPr>
          <w:rFonts w:ascii="宋体" w:hAnsi="宋体"/>
          <w:sz w:val="24"/>
        </w:rPr>
        <w:t>1</w:t>
      </w:r>
      <w:r>
        <w:rPr>
          <w:rFonts w:hint="eastAsia" w:ascii="宋体" w:hAnsi="宋体"/>
          <w:sz w:val="24"/>
        </w:rPr>
        <w:t>4</w:t>
      </w:r>
      <w:r>
        <w:rPr>
          <w:rFonts w:ascii="宋体" w:hAnsi="宋体"/>
          <w:sz w:val="24"/>
        </w:rPr>
        <w:t>.4</w:t>
      </w:r>
      <w:r>
        <w:rPr>
          <w:rFonts w:hint="eastAsia" w:ascii="宋体" w:hAnsi="宋体"/>
          <w:sz w:val="24"/>
        </w:rPr>
        <w:t>供应商只能提出一个报价，采购人不接受任何有选择的报价，最后报价不得超过项目磋商控制价。</w:t>
      </w:r>
    </w:p>
    <w:p w14:paraId="7EA4457A">
      <w:pPr>
        <w:spacing w:line="360" w:lineRule="auto"/>
        <w:ind w:firstLine="422" w:firstLineChars="176"/>
        <w:rPr>
          <w:rFonts w:ascii="宋体" w:hAnsi="宋体"/>
          <w:sz w:val="24"/>
        </w:rPr>
      </w:pPr>
      <w:r>
        <w:rPr>
          <w:rFonts w:ascii="宋体" w:hAnsi="宋体"/>
          <w:sz w:val="24"/>
        </w:rPr>
        <w:t>1</w:t>
      </w:r>
      <w:r>
        <w:rPr>
          <w:rFonts w:hint="eastAsia" w:ascii="宋体" w:hAnsi="宋体"/>
          <w:sz w:val="24"/>
        </w:rPr>
        <w:t>4</w:t>
      </w:r>
      <w:r>
        <w:rPr>
          <w:rFonts w:ascii="宋体" w:hAnsi="宋体"/>
          <w:sz w:val="24"/>
        </w:rPr>
        <w:t>.5</w:t>
      </w:r>
      <w:r>
        <w:rPr>
          <w:rFonts w:hint="eastAsia" w:ascii="宋体" w:hAnsi="宋体"/>
          <w:sz w:val="24"/>
        </w:rPr>
        <w:t>供应商的报价明显低于其他报价，使得其报价可能低于其个别成本的，有可能影响服务质量和不能诚信履约的，应当要求该供应商作出书面说明并提供相关证明材料。供应商不能合理说明或者不能提供相关证明材料的，由磋商小组认定该报价人以低于成本报价，其报价应作无效报价处理。</w:t>
      </w:r>
    </w:p>
    <w:p w14:paraId="698E6458">
      <w:pPr>
        <w:spacing w:line="360" w:lineRule="auto"/>
        <w:ind w:firstLine="422" w:firstLineChars="176"/>
        <w:rPr>
          <w:rFonts w:ascii="宋体" w:hAnsi="宋体"/>
          <w:sz w:val="24"/>
        </w:rPr>
      </w:pPr>
      <w:r>
        <w:rPr>
          <w:rFonts w:ascii="宋体" w:hAnsi="宋体"/>
          <w:sz w:val="24"/>
        </w:rPr>
        <w:t>1</w:t>
      </w:r>
      <w:r>
        <w:rPr>
          <w:rFonts w:hint="eastAsia" w:ascii="宋体" w:hAnsi="宋体"/>
          <w:sz w:val="24"/>
        </w:rPr>
        <w:t>4</w:t>
      </w:r>
      <w:r>
        <w:rPr>
          <w:rFonts w:ascii="宋体" w:hAnsi="宋体"/>
          <w:sz w:val="24"/>
        </w:rPr>
        <w:t>.6</w:t>
      </w:r>
      <w:r>
        <w:rPr>
          <w:rFonts w:hint="eastAsia" w:ascii="宋体" w:hAnsi="宋体"/>
          <w:sz w:val="24"/>
        </w:rPr>
        <w:t>本次采购</w:t>
      </w:r>
      <w:r>
        <w:rPr>
          <w:rFonts w:hint="eastAsia" w:ascii="宋体" w:hAnsi="宋体"/>
          <w:sz w:val="24"/>
          <w:lang w:val="en-US" w:eastAsia="zh-CN"/>
        </w:rPr>
        <w:t>方式</w:t>
      </w:r>
      <w:r>
        <w:rPr>
          <w:rFonts w:hint="eastAsia" w:ascii="宋体" w:hAnsi="宋体"/>
          <w:sz w:val="24"/>
        </w:rPr>
        <w:t>为竞争性磋商，允许二次报价。</w:t>
      </w:r>
    </w:p>
    <w:p w14:paraId="67F58DEC">
      <w:pPr>
        <w:spacing w:line="360" w:lineRule="auto"/>
        <w:ind w:firstLine="424" w:firstLineChars="176"/>
        <w:rPr>
          <w:rFonts w:ascii="宋体" w:hAnsi="宋体"/>
          <w:b/>
          <w:bCs/>
          <w:sz w:val="24"/>
        </w:rPr>
      </w:pPr>
      <w:r>
        <w:rPr>
          <w:rFonts w:ascii="宋体" w:hAnsi="宋体"/>
          <w:b/>
          <w:bCs/>
          <w:sz w:val="24"/>
        </w:rPr>
        <w:t>1</w:t>
      </w:r>
      <w:r>
        <w:rPr>
          <w:rFonts w:hint="eastAsia" w:ascii="宋体" w:hAnsi="宋体"/>
          <w:b/>
          <w:bCs/>
          <w:sz w:val="24"/>
        </w:rPr>
        <w:t>5、供应商资格的证明文件</w:t>
      </w:r>
      <w:r>
        <w:tab/>
      </w:r>
    </w:p>
    <w:p w14:paraId="3BCE6FF9">
      <w:pPr>
        <w:spacing w:line="360" w:lineRule="auto"/>
        <w:ind w:firstLine="422" w:firstLineChars="176"/>
        <w:rPr>
          <w:rFonts w:ascii="宋体" w:hAnsi="宋体"/>
          <w:sz w:val="24"/>
        </w:rPr>
      </w:pPr>
      <w:r>
        <w:rPr>
          <w:rFonts w:ascii="宋体" w:hAnsi="宋体"/>
          <w:sz w:val="24"/>
        </w:rPr>
        <w:t>1</w:t>
      </w:r>
      <w:r>
        <w:rPr>
          <w:rFonts w:hint="eastAsia" w:ascii="宋体" w:hAnsi="宋体"/>
          <w:sz w:val="24"/>
        </w:rPr>
        <w:t>5</w:t>
      </w:r>
      <w:r>
        <w:rPr>
          <w:rFonts w:ascii="宋体" w:hAnsi="宋体"/>
          <w:sz w:val="24"/>
        </w:rPr>
        <w:t>.1</w:t>
      </w:r>
      <w:r>
        <w:rPr>
          <w:rFonts w:hint="eastAsia" w:ascii="宋体" w:hAnsi="宋体"/>
          <w:sz w:val="24"/>
        </w:rPr>
        <w:t>证明供应商是有资格参加</w:t>
      </w:r>
      <w:r>
        <w:rPr>
          <w:rFonts w:hint="eastAsia" w:ascii="宋体" w:hAnsi="宋体"/>
          <w:kern w:val="0"/>
          <w:sz w:val="24"/>
        </w:rPr>
        <w:t>磋商</w:t>
      </w:r>
      <w:r>
        <w:rPr>
          <w:rFonts w:hint="eastAsia" w:ascii="宋体" w:hAnsi="宋体"/>
          <w:sz w:val="24"/>
        </w:rPr>
        <w:t>的。</w:t>
      </w:r>
    </w:p>
    <w:p w14:paraId="698D1980">
      <w:pPr>
        <w:spacing w:line="360" w:lineRule="auto"/>
        <w:ind w:firstLine="422" w:firstLineChars="176"/>
        <w:rPr>
          <w:rFonts w:ascii="宋体" w:hAnsi="宋体"/>
          <w:sz w:val="24"/>
        </w:rPr>
      </w:pPr>
      <w:r>
        <w:rPr>
          <w:rFonts w:ascii="宋体" w:hAnsi="宋体"/>
          <w:sz w:val="24"/>
        </w:rPr>
        <w:t>1</w:t>
      </w:r>
      <w:r>
        <w:rPr>
          <w:rFonts w:hint="eastAsia" w:ascii="宋体" w:hAnsi="宋体"/>
          <w:sz w:val="24"/>
        </w:rPr>
        <w:t>5</w:t>
      </w:r>
      <w:r>
        <w:rPr>
          <w:rFonts w:ascii="宋体" w:hAnsi="宋体"/>
          <w:sz w:val="24"/>
        </w:rPr>
        <w:t>.2</w:t>
      </w:r>
      <w:r>
        <w:rPr>
          <w:rFonts w:hint="eastAsia" w:ascii="宋体" w:hAnsi="宋体"/>
          <w:sz w:val="24"/>
        </w:rPr>
        <w:t>证明供应商有能力履行竞争性磋商文件中合同条款和技术要求规定的由供应商提供的服务等义务。</w:t>
      </w:r>
    </w:p>
    <w:p w14:paraId="1982FB9F">
      <w:pPr>
        <w:spacing w:line="360" w:lineRule="auto"/>
        <w:ind w:firstLine="424" w:firstLineChars="176"/>
        <w:rPr>
          <w:rFonts w:ascii="宋体" w:hAnsi="宋体"/>
          <w:b/>
          <w:bCs/>
          <w:sz w:val="24"/>
        </w:rPr>
      </w:pPr>
      <w:r>
        <w:rPr>
          <w:rFonts w:hint="eastAsia" w:ascii="宋体" w:hAnsi="宋体"/>
          <w:b/>
          <w:bCs/>
          <w:sz w:val="24"/>
        </w:rPr>
        <w:t>16、响应文件有效期</w:t>
      </w:r>
    </w:p>
    <w:p w14:paraId="7BD787DB">
      <w:pPr>
        <w:spacing w:line="360" w:lineRule="auto"/>
        <w:ind w:firstLine="422" w:firstLineChars="176"/>
        <w:rPr>
          <w:rFonts w:ascii="宋体" w:hAnsi="宋体"/>
          <w:sz w:val="24"/>
        </w:rPr>
      </w:pPr>
      <w:r>
        <w:rPr>
          <w:rFonts w:ascii="宋体" w:hAnsi="宋体"/>
          <w:sz w:val="24"/>
        </w:rPr>
        <w:t>1</w:t>
      </w:r>
      <w:r>
        <w:rPr>
          <w:rFonts w:hint="eastAsia" w:ascii="宋体" w:hAnsi="宋体"/>
          <w:sz w:val="24"/>
        </w:rPr>
        <w:t>6</w:t>
      </w:r>
      <w:r>
        <w:rPr>
          <w:rFonts w:ascii="宋体" w:hAnsi="宋体"/>
          <w:sz w:val="24"/>
        </w:rPr>
        <w:t>.1</w:t>
      </w:r>
      <w:r>
        <w:rPr>
          <w:rFonts w:hint="eastAsia" w:ascii="宋体" w:hAnsi="宋体"/>
          <w:sz w:val="24"/>
        </w:rPr>
        <w:t>磋商有效期为60日历天(指本次采购项目递交响应性文件截止之日起)，有效期短于此规定的响应文件将被视为无效文件。</w:t>
      </w:r>
    </w:p>
    <w:p w14:paraId="1B56ADB3">
      <w:pPr>
        <w:spacing w:line="360" w:lineRule="auto"/>
        <w:ind w:firstLine="422" w:firstLineChars="176"/>
        <w:rPr>
          <w:rFonts w:ascii="宋体" w:hAnsi="宋体"/>
          <w:sz w:val="24"/>
        </w:rPr>
      </w:pPr>
      <w:r>
        <w:rPr>
          <w:rFonts w:ascii="宋体" w:hAnsi="宋体"/>
          <w:sz w:val="24"/>
        </w:rPr>
        <w:t>1</w:t>
      </w:r>
      <w:r>
        <w:rPr>
          <w:rFonts w:hint="eastAsia" w:ascii="宋体" w:hAnsi="宋体"/>
          <w:sz w:val="24"/>
        </w:rPr>
        <w:t>6</w:t>
      </w:r>
      <w:r>
        <w:rPr>
          <w:rFonts w:ascii="宋体" w:hAnsi="宋体"/>
          <w:sz w:val="24"/>
        </w:rPr>
        <w:t>.2</w:t>
      </w:r>
      <w:r>
        <w:rPr>
          <w:rFonts w:hint="eastAsia" w:ascii="宋体" w:hAnsi="宋体"/>
          <w:sz w:val="24"/>
        </w:rPr>
        <w:t>特殊情况下，采购人可于响应文件有效期满之前要求供应商同意延长有效期，要求与答复均为书面形式。供应商可以拒绝上述要求，对于同意该要求的供应商，不允许其修改响应文件。</w:t>
      </w:r>
    </w:p>
    <w:p w14:paraId="1CB28642">
      <w:pPr>
        <w:spacing w:line="360" w:lineRule="auto"/>
        <w:ind w:firstLine="424" w:firstLineChars="176"/>
        <w:rPr>
          <w:rFonts w:ascii="宋体" w:hAnsi="宋体"/>
          <w:b/>
          <w:bCs/>
          <w:sz w:val="24"/>
        </w:rPr>
      </w:pPr>
      <w:r>
        <w:rPr>
          <w:rFonts w:ascii="宋体" w:hAnsi="宋体"/>
          <w:b/>
          <w:bCs/>
          <w:sz w:val="24"/>
        </w:rPr>
        <w:t>1</w:t>
      </w:r>
      <w:r>
        <w:rPr>
          <w:rFonts w:hint="eastAsia" w:ascii="宋体" w:hAnsi="宋体"/>
          <w:b/>
          <w:bCs/>
          <w:sz w:val="24"/>
        </w:rPr>
        <w:t>7、磋商</w:t>
      </w:r>
    </w:p>
    <w:p w14:paraId="1C589DD5">
      <w:pPr>
        <w:spacing w:line="360" w:lineRule="auto"/>
        <w:ind w:firstLine="422" w:firstLineChars="176"/>
        <w:rPr>
          <w:rFonts w:ascii="宋体" w:hAnsi="宋体"/>
          <w:sz w:val="24"/>
        </w:rPr>
      </w:pPr>
      <w:r>
        <w:rPr>
          <w:rFonts w:hint="eastAsia" w:ascii="宋体" w:hAnsi="宋体"/>
          <w:sz w:val="24"/>
        </w:rPr>
        <w:t>17.1 本项目采用电子化、无纸化进行</w:t>
      </w:r>
      <w:r>
        <w:rPr>
          <w:rFonts w:hint="eastAsia" w:ascii="宋体" w:hAnsi="宋体"/>
          <w:sz w:val="24"/>
          <w:lang w:val="en-US" w:eastAsia="zh-CN"/>
        </w:rPr>
        <w:t>磋商</w:t>
      </w:r>
      <w:r>
        <w:rPr>
          <w:rFonts w:hint="eastAsia" w:ascii="宋体" w:hAnsi="宋体"/>
          <w:sz w:val="24"/>
        </w:rPr>
        <w:t>，开标当日，供应商无需到开标现场参加开标会议，供应商应当在磋商截止时间前，登陆不见面开标大厅选择登陆三门峡市公共资源电子招投标系统进行登陆,在线准时参加开标活动并进行响应文件解密等。</w:t>
      </w:r>
    </w:p>
    <w:p w14:paraId="3B1B1069">
      <w:pPr>
        <w:spacing w:line="360" w:lineRule="auto"/>
        <w:ind w:firstLine="422" w:firstLineChars="176"/>
        <w:rPr>
          <w:rFonts w:ascii="宋体" w:hAnsi="宋体"/>
          <w:sz w:val="24"/>
        </w:rPr>
      </w:pPr>
      <w:r>
        <w:rPr>
          <w:rFonts w:hint="eastAsia" w:ascii="宋体" w:hAnsi="宋体"/>
          <w:sz w:val="24"/>
        </w:rPr>
        <w:t>17.2 电子化响应文件采用一次加密方式。开标时，由供应商使用CA 证书，在规定时间内对其电子化响应文件进行解密。每位供应商的解密时间为开标时间起30分钟内，如在规定时间内未完成解密的，其响应文件不予开标、唱标。每位供应商的解密时间为开标时间起30分钟内完成。</w:t>
      </w:r>
    </w:p>
    <w:p w14:paraId="6C7460D9">
      <w:pPr>
        <w:spacing w:line="360" w:lineRule="auto"/>
        <w:ind w:firstLine="422" w:firstLineChars="176"/>
        <w:rPr>
          <w:rFonts w:ascii="宋体" w:hAnsi="宋体"/>
          <w:sz w:val="24"/>
        </w:rPr>
      </w:pPr>
      <w:r>
        <w:rPr>
          <w:rFonts w:hint="eastAsia" w:ascii="宋体" w:hAnsi="宋体"/>
          <w:sz w:val="24"/>
        </w:rPr>
        <w:t>17.3 电子化响应文件解密异常的处理</w:t>
      </w:r>
    </w:p>
    <w:p w14:paraId="25D06607">
      <w:pPr>
        <w:spacing w:line="360" w:lineRule="auto"/>
        <w:ind w:firstLine="422" w:firstLineChars="176"/>
        <w:rPr>
          <w:rFonts w:ascii="宋体" w:hAnsi="宋体"/>
          <w:sz w:val="24"/>
        </w:rPr>
      </w:pPr>
      <w:r>
        <w:rPr>
          <w:rFonts w:hint="eastAsia" w:ascii="宋体" w:hAnsi="宋体"/>
          <w:sz w:val="24"/>
        </w:rPr>
        <w:t>如出现供应商的电子化响应文件无法解密等异常情况，供应商应及时致电中介服务机构说明。响应文件异常，按以下步骤进行处理：</w:t>
      </w:r>
    </w:p>
    <w:p w14:paraId="16854F1E">
      <w:pPr>
        <w:spacing w:line="360" w:lineRule="auto"/>
        <w:ind w:firstLine="422" w:firstLineChars="176"/>
        <w:rPr>
          <w:rFonts w:ascii="宋体" w:hAnsi="宋体"/>
          <w:sz w:val="24"/>
        </w:rPr>
      </w:pPr>
      <w:r>
        <w:rPr>
          <w:rFonts w:hint="eastAsia" w:ascii="宋体" w:hAnsi="宋体"/>
          <w:sz w:val="24"/>
        </w:rPr>
        <w:t>（1）首先由技术人员进行问题排查。</w:t>
      </w:r>
    </w:p>
    <w:p w14:paraId="1DC71B92">
      <w:pPr>
        <w:spacing w:line="360" w:lineRule="auto"/>
        <w:ind w:firstLine="422" w:firstLineChars="176"/>
        <w:rPr>
          <w:rFonts w:ascii="宋体" w:hAnsi="宋体"/>
          <w:sz w:val="24"/>
        </w:rPr>
      </w:pPr>
      <w:r>
        <w:rPr>
          <w:rFonts w:hint="eastAsia" w:ascii="宋体" w:hAnsi="宋体"/>
          <w:sz w:val="24"/>
        </w:rPr>
        <w:t>（2）经技术人员排查后，是供应商文件自身问题导致响应文件无法解密的，该响应文件将不予接收、解密和唱标。开标会议继续进行。</w:t>
      </w:r>
    </w:p>
    <w:p w14:paraId="387F90ED">
      <w:pPr>
        <w:spacing w:line="360" w:lineRule="auto"/>
        <w:ind w:firstLine="422" w:firstLineChars="176"/>
        <w:rPr>
          <w:rFonts w:ascii="宋体" w:hAnsi="宋体"/>
          <w:sz w:val="24"/>
        </w:rPr>
      </w:pPr>
      <w:r>
        <w:rPr>
          <w:rFonts w:hint="eastAsia" w:ascii="宋体" w:hAnsi="宋体"/>
          <w:sz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5078B5B6">
      <w:pPr>
        <w:spacing w:line="360" w:lineRule="auto"/>
        <w:ind w:firstLine="480" w:firstLineChars="200"/>
        <w:rPr>
          <w:rFonts w:ascii="宋体" w:hAnsi="宋体"/>
          <w:sz w:val="24"/>
        </w:rPr>
      </w:pPr>
      <w:r>
        <w:rPr>
          <w:rFonts w:hint="eastAsia" w:ascii="宋体" w:hAnsi="宋体"/>
          <w:sz w:val="24"/>
        </w:rPr>
        <w:t>17.4 供应商应保证在开标期间电话、电脑、网络能够正常工作，供应商因停电、电脑病毒、网络堵塞等原因，未在规定的解密时间内对响应文件进行解密的，其响应文件不予接收。</w:t>
      </w:r>
    </w:p>
    <w:p w14:paraId="07361576">
      <w:pPr>
        <w:spacing w:line="360" w:lineRule="auto"/>
        <w:ind w:firstLine="424" w:firstLineChars="176"/>
        <w:rPr>
          <w:rFonts w:ascii="宋体" w:hAnsi="宋体"/>
          <w:b/>
          <w:bCs/>
          <w:sz w:val="24"/>
        </w:rPr>
      </w:pPr>
      <w:r>
        <w:rPr>
          <w:rFonts w:hint="eastAsia" w:ascii="宋体" w:hAnsi="宋体"/>
          <w:b/>
          <w:bCs/>
          <w:sz w:val="24"/>
        </w:rPr>
        <w:t>18、磋商小组</w:t>
      </w:r>
    </w:p>
    <w:p w14:paraId="6F6352E7">
      <w:pPr>
        <w:spacing w:line="360" w:lineRule="auto"/>
        <w:ind w:firstLine="422" w:firstLineChars="176"/>
        <w:rPr>
          <w:rFonts w:hint="eastAsia" w:ascii="宋体" w:hAnsi="宋体" w:eastAsiaTheme="minorEastAsia"/>
          <w:sz w:val="24"/>
          <w:lang w:eastAsia="zh-CN"/>
        </w:rPr>
      </w:pPr>
      <w:r>
        <w:rPr>
          <w:rFonts w:hint="eastAsia" w:ascii="宋体" w:hAnsi="宋体"/>
          <w:sz w:val="24"/>
        </w:rPr>
        <w:t>18</w:t>
      </w:r>
      <w:r>
        <w:rPr>
          <w:rFonts w:ascii="宋体" w:hAnsi="宋体"/>
          <w:sz w:val="24"/>
        </w:rPr>
        <w:t>.1</w:t>
      </w:r>
      <w:r>
        <w:rPr>
          <w:rFonts w:hint="eastAsia" w:ascii="宋体" w:hAnsi="宋体"/>
          <w:sz w:val="24"/>
        </w:rPr>
        <w:t>磋商小组构成：磋商小组构成：由采购人代表及相关专业</w:t>
      </w:r>
      <w:r>
        <w:rPr>
          <w:rFonts w:hint="eastAsia" w:ascii="宋体" w:hAnsi="宋体"/>
          <w:sz w:val="24"/>
          <w:lang w:val="en-US" w:eastAsia="zh-CN"/>
        </w:rPr>
        <w:t>经济、技术</w:t>
      </w:r>
      <w:r>
        <w:rPr>
          <w:rFonts w:hint="eastAsia" w:ascii="宋体" w:hAnsi="宋体"/>
          <w:sz w:val="24"/>
        </w:rPr>
        <w:t>专家共 3 人组成，其中采购人代表 1 人，相关专业</w:t>
      </w:r>
      <w:r>
        <w:rPr>
          <w:rFonts w:hint="eastAsia" w:ascii="宋体" w:hAnsi="宋体"/>
          <w:sz w:val="24"/>
          <w:lang w:val="en-US" w:eastAsia="zh-CN"/>
        </w:rPr>
        <w:t>经济、技术</w:t>
      </w:r>
      <w:r>
        <w:rPr>
          <w:rFonts w:hint="eastAsia" w:ascii="宋体" w:hAnsi="宋体"/>
          <w:sz w:val="24"/>
        </w:rPr>
        <w:t>专家 2 人</w:t>
      </w:r>
      <w:r>
        <w:rPr>
          <w:rFonts w:hint="eastAsia" w:ascii="宋体" w:hAnsi="宋体"/>
          <w:sz w:val="24"/>
          <w:lang w:eastAsia="zh-CN"/>
        </w:rPr>
        <w:t>，</w:t>
      </w:r>
      <w:r>
        <w:rPr>
          <w:rFonts w:hint="eastAsia" w:ascii="宋体" w:hAnsi="宋体"/>
          <w:sz w:val="24"/>
        </w:rPr>
        <w:t>开标后从河南省财政厅综合评标专家库中随机抽取</w:t>
      </w:r>
      <w:r>
        <w:rPr>
          <w:rFonts w:hint="eastAsia" w:ascii="宋体" w:hAnsi="宋体"/>
          <w:sz w:val="24"/>
          <w:lang w:eastAsia="zh-CN"/>
        </w:rPr>
        <w:t>。</w:t>
      </w:r>
    </w:p>
    <w:p w14:paraId="20A1D056">
      <w:pPr>
        <w:spacing w:line="360" w:lineRule="auto"/>
        <w:ind w:firstLine="422" w:firstLineChars="176"/>
        <w:rPr>
          <w:rFonts w:ascii="宋体" w:hAnsi="宋体"/>
          <w:sz w:val="24"/>
        </w:rPr>
      </w:pPr>
      <w:r>
        <w:rPr>
          <w:rFonts w:hint="eastAsia" w:ascii="宋体" w:hAnsi="宋体"/>
          <w:sz w:val="24"/>
        </w:rPr>
        <w:t>18</w:t>
      </w:r>
      <w:r>
        <w:rPr>
          <w:rFonts w:ascii="宋体" w:hAnsi="宋体"/>
          <w:sz w:val="24"/>
        </w:rPr>
        <w:t>.2</w:t>
      </w:r>
      <w:r>
        <w:rPr>
          <w:rFonts w:hint="eastAsia" w:ascii="宋体" w:hAnsi="宋体"/>
          <w:sz w:val="24"/>
        </w:rPr>
        <w:t>磋商小组对所有供应商的响应文件进行评审，按评审后得分由高到低顺序排列，递交给采购人。</w:t>
      </w:r>
    </w:p>
    <w:p w14:paraId="39F332AE">
      <w:pPr>
        <w:spacing w:line="360" w:lineRule="auto"/>
        <w:ind w:firstLine="422" w:firstLineChars="176"/>
        <w:rPr>
          <w:rFonts w:ascii="宋体" w:hAnsi="宋体"/>
          <w:sz w:val="24"/>
        </w:rPr>
      </w:pPr>
      <w:r>
        <w:rPr>
          <w:rFonts w:hint="eastAsia" w:ascii="宋体" w:hAnsi="宋体"/>
          <w:sz w:val="24"/>
        </w:rPr>
        <w:t>18</w:t>
      </w:r>
      <w:r>
        <w:rPr>
          <w:rFonts w:ascii="宋体" w:hAnsi="宋体"/>
          <w:sz w:val="24"/>
        </w:rPr>
        <w:t>.3</w:t>
      </w:r>
      <w:r>
        <w:rPr>
          <w:rFonts w:hint="eastAsia" w:ascii="宋体" w:hAnsi="宋体"/>
          <w:sz w:val="24"/>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59F876DD">
      <w:pPr>
        <w:spacing w:line="360" w:lineRule="auto"/>
        <w:ind w:firstLine="422" w:firstLineChars="176"/>
        <w:rPr>
          <w:rFonts w:ascii="宋体" w:hAnsi="宋体"/>
          <w:sz w:val="24"/>
        </w:rPr>
      </w:pPr>
      <w:r>
        <w:rPr>
          <w:rFonts w:hint="eastAsia" w:ascii="宋体" w:hAnsi="宋体"/>
          <w:sz w:val="24"/>
        </w:rPr>
        <w:t>18</w:t>
      </w:r>
      <w:r>
        <w:rPr>
          <w:rFonts w:ascii="宋体" w:hAnsi="宋体"/>
          <w:sz w:val="24"/>
        </w:rPr>
        <w:t>.4</w:t>
      </w:r>
      <w:r>
        <w:rPr>
          <w:rFonts w:hint="eastAsia" w:ascii="宋体" w:hAnsi="宋体"/>
          <w:sz w:val="24"/>
        </w:rPr>
        <w:t>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磋商小组不得修改评审结果或者要求重新评审，但因资格性审查认定错误或价格计算错误需依法重新评审的除外。应在评审报告中明确记载。</w:t>
      </w:r>
    </w:p>
    <w:p w14:paraId="5133A7D8">
      <w:pPr>
        <w:spacing w:line="360" w:lineRule="auto"/>
        <w:ind w:firstLine="424" w:firstLineChars="176"/>
        <w:rPr>
          <w:rFonts w:ascii="宋体" w:hAnsi="宋体"/>
          <w:b/>
          <w:bCs/>
          <w:sz w:val="24"/>
        </w:rPr>
      </w:pPr>
      <w:r>
        <w:rPr>
          <w:rFonts w:hint="eastAsia" w:ascii="宋体" w:hAnsi="宋体"/>
          <w:b/>
          <w:bCs/>
          <w:sz w:val="24"/>
        </w:rPr>
        <w:t>19、磋商程序</w:t>
      </w:r>
    </w:p>
    <w:p w14:paraId="7D32D48F">
      <w:pPr>
        <w:widowControl/>
        <w:spacing w:line="480" w:lineRule="exact"/>
        <w:ind w:firstLine="480" w:firstLineChars="200"/>
        <w:outlineLvl w:val="2"/>
        <w:rPr>
          <w:rFonts w:ascii="宋体" w:hAnsi="宋体" w:cs="Calibri"/>
          <w:kern w:val="0"/>
          <w:sz w:val="24"/>
        </w:rPr>
      </w:pPr>
      <w:bookmarkStart w:id="11" w:name="_Toc173946079"/>
      <w:bookmarkEnd w:id="11"/>
      <w:bookmarkStart w:id="12" w:name="_Toc141871099"/>
      <w:bookmarkEnd w:id="12"/>
      <w:bookmarkStart w:id="13" w:name="_Toc114060626"/>
      <w:bookmarkEnd w:id="13"/>
      <w:bookmarkStart w:id="14" w:name="_Toc171002589"/>
      <w:bookmarkEnd w:id="14"/>
      <w:bookmarkStart w:id="15" w:name="_Toc119657657"/>
      <w:bookmarkEnd w:id="15"/>
      <w:bookmarkStart w:id="16" w:name="_Toc174034447"/>
      <w:bookmarkEnd w:id="16"/>
      <w:bookmarkStart w:id="17" w:name="_Toc171410856"/>
      <w:bookmarkEnd w:id="17"/>
      <w:bookmarkStart w:id="18" w:name="_Toc173946414"/>
      <w:bookmarkEnd w:id="18"/>
      <w:bookmarkStart w:id="19" w:name="_Toc140161799"/>
      <w:bookmarkEnd w:id="19"/>
      <w:bookmarkStart w:id="20" w:name="_Toc26234"/>
      <w:bookmarkStart w:id="21" w:name="_Toc24102"/>
      <w:bookmarkStart w:id="22" w:name="_Toc26934"/>
      <w:r>
        <w:rPr>
          <w:rFonts w:hint="eastAsia" w:ascii="宋体" w:hAnsi="宋体"/>
          <w:sz w:val="24"/>
        </w:rPr>
        <w:t>19</w:t>
      </w:r>
      <w:r>
        <w:rPr>
          <w:rFonts w:ascii="宋体" w:hAnsi="宋体"/>
          <w:sz w:val="24"/>
        </w:rPr>
        <w:t>.1</w:t>
      </w:r>
      <w:r>
        <w:rPr>
          <w:rFonts w:hint="eastAsia" w:ascii="宋体" w:hAnsi="宋体" w:cs="Calibri"/>
          <w:kern w:val="0"/>
          <w:sz w:val="24"/>
        </w:rPr>
        <w:t>磋商小组所有成员应当集中与供应商分别进行磋商，并给予所有参加磋商的供应商平等的磋商机会。</w:t>
      </w:r>
      <w:bookmarkEnd w:id="20"/>
      <w:bookmarkEnd w:id="21"/>
      <w:bookmarkEnd w:id="22"/>
    </w:p>
    <w:p w14:paraId="0AC4A9D6">
      <w:pPr>
        <w:spacing w:line="360" w:lineRule="auto"/>
        <w:ind w:firstLine="422" w:firstLineChars="176"/>
        <w:rPr>
          <w:rFonts w:ascii="宋体" w:hAnsi="宋体"/>
          <w:sz w:val="24"/>
        </w:rPr>
      </w:pPr>
      <w:r>
        <w:rPr>
          <w:rFonts w:hint="eastAsia" w:ascii="宋体" w:hAnsi="宋体"/>
          <w:sz w:val="24"/>
        </w:rPr>
        <w:t>19</w:t>
      </w:r>
      <w:r>
        <w:rPr>
          <w:rFonts w:ascii="宋体" w:hAnsi="宋体"/>
          <w:sz w:val="24"/>
        </w:rPr>
        <w:t>.2</w:t>
      </w:r>
      <w:r>
        <w:rPr>
          <w:rFonts w:hint="eastAsia" w:ascii="宋体" w:hAnsi="宋体"/>
          <w:sz w:val="24"/>
        </w:rPr>
        <w:t>磋商小组首先对所有响应文件进行符合性、资格性、响应性审查。</w:t>
      </w:r>
    </w:p>
    <w:p w14:paraId="62DC1BD7">
      <w:pPr>
        <w:spacing w:line="360" w:lineRule="auto"/>
        <w:ind w:firstLine="422" w:firstLineChars="176"/>
        <w:rPr>
          <w:rFonts w:ascii="宋体" w:hAnsi="宋体"/>
          <w:sz w:val="24"/>
        </w:rPr>
      </w:pPr>
      <w:r>
        <w:rPr>
          <w:rFonts w:hint="eastAsia" w:ascii="宋体" w:hAnsi="宋体"/>
          <w:sz w:val="24"/>
        </w:rPr>
        <w:t>（1）允许修正响应文件中不构成重大偏离的、微小的、非正规的、不一致或不规则的地方。</w:t>
      </w:r>
    </w:p>
    <w:p w14:paraId="040AF42B">
      <w:pPr>
        <w:spacing w:line="360" w:lineRule="auto"/>
        <w:ind w:firstLine="422" w:firstLineChars="176"/>
        <w:rPr>
          <w:rFonts w:ascii="宋体" w:hAnsi="宋体"/>
          <w:sz w:val="24"/>
        </w:rPr>
      </w:pPr>
      <w:r>
        <w:rPr>
          <w:rFonts w:hint="eastAsia" w:ascii="宋体" w:hAnsi="宋体"/>
          <w:sz w:val="24"/>
        </w:rPr>
        <w:t>（2）磋商小组判断响应文件的响应性仅基于响应文件本身内容而不靠外部证据。</w:t>
      </w:r>
    </w:p>
    <w:p w14:paraId="023A4E92">
      <w:pPr>
        <w:spacing w:line="360" w:lineRule="auto"/>
        <w:ind w:firstLine="422" w:firstLineChars="176"/>
        <w:rPr>
          <w:rFonts w:ascii="宋体" w:hAnsi="宋体"/>
          <w:sz w:val="24"/>
        </w:rPr>
      </w:pPr>
      <w:r>
        <w:rPr>
          <w:rFonts w:hint="eastAsia" w:ascii="宋体" w:hAnsi="宋体"/>
          <w:sz w:val="24"/>
        </w:rPr>
        <w:t>（3）实质性未响应磋商文件要求的响应将被拒绝，供应商不得通过修正或撤消不符之处而使其响应成为实质性响应。</w:t>
      </w:r>
    </w:p>
    <w:p w14:paraId="21A3762F">
      <w:pPr>
        <w:spacing w:line="360" w:lineRule="auto"/>
        <w:ind w:firstLine="422" w:firstLineChars="176"/>
        <w:rPr>
          <w:rFonts w:ascii="宋体" w:hAnsi="宋体"/>
          <w:sz w:val="24"/>
        </w:rPr>
      </w:pPr>
      <w:r>
        <w:rPr>
          <w:rFonts w:hint="eastAsia" w:ascii="宋体" w:hAnsi="宋体"/>
          <w:sz w:val="24"/>
        </w:rPr>
        <w:t>（4）实质性未响应是指响应文件中提出了超出磋商文件中磋商控制价、服务内容、服务</w:t>
      </w:r>
      <w:r>
        <w:rPr>
          <w:rFonts w:hint="eastAsia" w:ascii="宋体" w:hAnsi="宋体"/>
          <w:sz w:val="24"/>
          <w:lang w:val="en-US" w:eastAsia="zh-CN"/>
        </w:rPr>
        <w:t>周</w:t>
      </w:r>
      <w:r>
        <w:rPr>
          <w:rFonts w:hint="eastAsia" w:ascii="宋体" w:hAnsi="宋体"/>
          <w:sz w:val="24"/>
        </w:rPr>
        <w:t>期、质量要求等内容。</w:t>
      </w:r>
    </w:p>
    <w:p w14:paraId="261B5CEF">
      <w:pPr>
        <w:spacing w:line="360" w:lineRule="auto"/>
        <w:ind w:firstLine="422" w:firstLineChars="176"/>
        <w:rPr>
          <w:rFonts w:ascii="宋体" w:hAnsi="宋体"/>
          <w:sz w:val="24"/>
        </w:rPr>
      </w:pPr>
      <w:r>
        <w:rPr>
          <w:rFonts w:hint="eastAsia" w:ascii="宋体" w:hAnsi="宋体"/>
          <w:sz w:val="24"/>
        </w:rPr>
        <w:t>19</w:t>
      </w:r>
      <w:r>
        <w:rPr>
          <w:rFonts w:ascii="宋体" w:hAnsi="宋体"/>
          <w:sz w:val="24"/>
        </w:rPr>
        <w:t>.3</w:t>
      </w:r>
      <w:r>
        <w:rPr>
          <w:rFonts w:hint="eastAsia" w:ascii="宋体" w:hAnsi="宋体"/>
          <w:sz w:val="24"/>
        </w:rPr>
        <w:t>有下列情形之一的，其响应文件将会被拒绝：</w:t>
      </w:r>
    </w:p>
    <w:p w14:paraId="2981EFA7">
      <w:pPr>
        <w:numPr>
          <w:ilvl w:val="0"/>
          <w:numId w:val="4"/>
        </w:numPr>
        <w:spacing w:line="360" w:lineRule="auto"/>
        <w:ind w:firstLine="422" w:firstLineChars="176"/>
        <w:rPr>
          <w:rFonts w:ascii="宋体" w:hAnsi="宋体"/>
          <w:sz w:val="24"/>
        </w:rPr>
      </w:pPr>
      <w:r>
        <w:rPr>
          <w:rFonts w:hint="eastAsia" w:ascii="宋体" w:hAnsi="宋体"/>
          <w:sz w:val="24"/>
        </w:rPr>
        <w:t>供应商资格不符合竞争性磋商文件要求的；</w:t>
      </w:r>
    </w:p>
    <w:p w14:paraId="09951743">
      <w:pPr>
        <w:numPr>
          <w:ilvl w:val="0"/>
          <w:numId w:val="4"/>
        </w:numPr>
        <w:spacing w:line="360" w:lineRule="auto"/>
        <w:ind w:firstLine="422" w:firstLineChars="176"/>
        <w:rPr>
          <w:rFonts w:ascii="宋体" w:hAnsi="宋体"/>
          <w:sz w:val="24"/>
        </w:rPr>
      </w:pPr>
      <w:r>
        <w:rPr>
          <w:rFonts w:hint="eastAsia" w:ascii="宋体" w:hAnsi="宋体"/>
          <w:sz w:val="24"/>
        </w:rPr>
        <w:t>磋商报价超过竞争性磋商文件规定的磋商控制价的；</w:t>
      </w:r>
    </w:p>
    <w:p w14:paraId="42F5760C">
      <w:pPr>
        <w:numPr>
          <w:ilvl w:val="0"/>
          <w:numId w:val="4"/>
        </w:numPr>
        <w:spacing w:line="360" w:lineRule="auto"/>
        <w:ind w:firstLine="422" w:firstLineChars="176"/>
        <w:rPr>
          <w:rFonts w:ascii="宋体" w:hAnsi="宋体"/>
          <w:sz w:val="24"/>
        </w:rPr>
      </w:pPr>
      <w:r>
        <w:rPr>
          <w:rFonts w:hint="eastAsia" w:ascii="宋体" w:hAnsi="宋体"/>
          <w:sz w:val="24"/>
        </w:rPr>
        <w:t>以他人的名义磋商、串通磋商、以行贿手段谋取成交或者以其他弄虚作假方式磋商的；</w:t>
      </w:r>
    </w:p>
    <w:p w14:paraId="607AC400">
      <w:pPr>
        <w:spacing w:line="360" w:lineRule="auto"/>
        <w:ind w:firstLine="480" w:firstLineChars="200"/>
        <w:rPr>
          <w:rFonts w:ascii="宋体" w:hAnsi="宋体"/>
          <w:sz w:val="24"/>
        </w:rPr>
      </w:pPr>
      <w:r>
        <w:rPr>
          <w:rFonts w:hint="eastAsia" w:ascii="宋体" w:hAnsi="宋体"/>
          <w:sz w:val="24"/>
        </w:rPr>
        <w:t>（4）采取不正当手段谋取成交的。</w:t>
      </w:r>
    </w:p>
    <w:p w14:paraId="59DC6E16">
      <w:pPr>
        <w:spacing w:line="360" w:lineRule="auto"/>
        <w:ind w:firstLine="424" w:firstLineChars="176"/>
        <w:rPr>
          <w:rFonts w:ascii="宋体" w:hAnsi="宋体"/>
          <w:b/>
          <w:bCs/>
          <w:sz w:val="24"/>
        </w:rPr>
      </w:pPr>
      <w:r>
        <w:rPr>
          <w:rFonts w:ascii="宋体" w:hAnsi="宋体"/>
          <w:b/>
          <w:bCs/>
          <w:sz w:val="24"/>
        </w:rPr>
        <w:t>2</w:t>
      </w:r>
      <w:r>
        <w:rPr>
          <w:rFonts w:hint="eastAsia" w:ascii="宋体" w:hAnsi="宋体"/>
          <w:b/>
          <w:bCs/>
          <w:sz w:val="24"/>
        </w:rPr>
        <w:t>0、对供应商的评价</w:t>
      </w:r>
    </w:p>
    <w:p w14:paraId="7CDBB5CD">
      <w:pPr>
        <w:spacing w:line="360" w:lineRule="auto"/>
        <w:ind w:firstLine="422" w:firstLineChars="176"/>
        <w:rPr>
          <w:rFonts w:ascii="宋体" w:hAnsi="宋体"/>
          <w:sz w:val="24"/>
        </w:rPr>
      </w:pPr>
      <w:r>
        <w:rPr>
          <w:rFonts w:ascii="宋体" w:hAnsi="宋体"/>
          <w:sz w:val="24"/>
        </w:rPr>
        <w:t>2</w:t>
      </w:r>
      <w:r>
        <w:rPr>
          <w:rFonts w:hint="eastAsia" w:ascii="宋体" w:hAnsi="宋体"/>
          <w:sz w:val="24"/>
        </w:rPr>
        <w:t>0</w:t>
      </w:r>
      <w:r>
        <w:rPr>
          <w:rFonts w:ascii="宋体" w:hAnsi="宋体"/>
          <w:sz w:val="24"/>
        </w:rPr>
        <w:t>.1</w:t>
      </w:r>
      <w:r>
        <w:rPr>
          <w:rFonts w:hint="eastAsia" w:ascii="宋体" w:hAnsi="宋体"/>
          <w:sz w:val="24"/>
        </w:rPr>
        <w:t>磋商小组只对已判定为实质性响应且通过资格审查的响应文件进行详细评价和比较。</w:t>
      </w:r>
    </w:p>
    <w:p w14:paraId="08A9A4DF">
      <w:pPr>
        <w:spacing w:line="360" w:lineRule="auto"/>
        <w:ind w:firstLine="422" w:firstLineChars="176"/>
        <w:rPr>
          <w:rFonts w:ascii="宋体" w:hAnsi="宋体"/>
          <w:sz w:val="24"/>
        </w:rPr>
      </w:pPr>
      <w:r>
        <w:rPr>
          <w:rFonts w:hint="eastAsia" w:ascii="宋体" w:hAnsi="宋体"/>
          <w:sz w:val="24"/>
        </w:rPr>
        <w:t>20</w:t>
      </w:r>
      <w:r>
        <w:rPr>
          <w:rFonts w:ascii="宋体" w:hAnsi="宋体"/>
          <w:sz w:val="24"/>
        </w:rPr>
        <w:t>.</w:t>
      </w:r>
      <w:r>
        <w:rPr>
          <w:rFonts w:hint="eastAsia" w:ascii="宋体" w:hAnsi="宋体"/>
          <w:sz w:val="24"/>
        </w:rPr>
        <w:t>2磋商小组所有成员应当集中与单一响应供应商分别进行磋商，并给予所有参加磋商的供应商平等的磋商机会。磋商完成后，要求其在规定时间内提交最后报价。</w:t>
      </w:r>
    </w:p>
    <w:p w14:paraId="4083B621">
      <w:pPr>
        <w:spacing w:line="360" w:lineRule="auto"/>
        <w:ind w:firstLine="422" w:firstLineChars="176"/>
        <w:rPr>
          <w:rFonts w:ascii="宋体" w:hAnsi="宋体"/>
          <w:sz w:val="24"/>
        </w:rPr>
      </w:pPr>
      <w:r>
        <w:rPr>
          <w:rFonts w:ascii="宋体" w:hAnsi="宋体"/>
          <w:sz w:val="24"/>
        </w:rPr>
        <w:t>2</w:t>
      </w:r>
      <w:r>
        <w:rPr>
          <w:rFonts w:hint="eastAsia" w:ascii="宋体" w:hAnsi="宋体"/>
          <w:sz w:val="24"/>
        </w:rPr>
        <w:t>0</w:t>
      </w:r>
      <w:r>
        <w:rPr>
          <w:rFonts w:ascii="宋体" w:hAnsi="宋体"/>
          <w:sz w:val="24"/>
        </w:rPr>
        <w:t>.</w:t>
      </w:r>
      <w:r>
        <w:rPr>
          <w:rFonts w:hint="eastAsia" w:ascii="宋体" w:hAnsi="宋体"/>
          <w:sz w:val="24"/>
        </w:rPr>
        <w:t>3经磋商确定最终服务内容和提交最后报价的供应商后，磋商小组采用综合评分法对提交最后报价的供应商的响应文件和最后报价进行综合评分。</w:t>
      </w:r>
    </w:p>
    <w:p w14:paraId="4FCEAD92">
      <w:pPr>
        <w:spacing w:line="440" w:lineRule="exact"/>
        <w:ind w:firstLine="422" w:firstLineChars="176"/>
        <w:rPr>
          <w:rFonts w:ascii="宋体" w:hAnsi="宋体"/>
          <w:sz w:val="24"/>
        </w:rPr>
      </w:pPr>
      <w:r>
        <w:rPr>
          <w:rFonts w:ascii="宋体" w:hAnsi="宋体"/>
          <w:sz w:val="24"/>
        </w:rPr>
        <w:t>2</w:t>
      </w:r>
      <w:r>
        <w:rPr>
          <w:rFonts w:hint="eastAsia" w:ascii="宋体" w:hAnsi="宋体"/>
          <w:sz w:val="24"/>
        </w:rPr>
        <w:t>0</w:t>
      </w:r>
      <w:r>
        <w:rPr>
          <w:rFonts w:ascii="宋体" w:hAnsi="宋体"/>
          <w:sz w:val="24"/>
        </w:rPr>
        <w:t>.</w:t>
      </w:r>
      <w:r>
        <w:rPr>
          <w:rFonts w:hint="eastAsia" w:ascii="宋体" w:hAnsi="宋体"/>
          <w:sz w:val="24"/>
        </w:rPr>
        <w:t>4磋商小组根据综合评分情况，按评审得分由高到低的顺序确定3名成交候选供应商，并编写评审报告。评审得分相同的，按照最后报价由低到高的顺序确定，评审得分且最后报价相同的，按照技术指标优劣顺序确定成交候选供应商。评审报告由磋商小组全体人员签字。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29DD7BD">
      <w:pPr>
        <w:spacing w:line="440" w:lineRule="exact"/>
        <w:ind w:firstLine="422" w:firstLineChars="176"/>
        <w:rPr>
          <w:rFonts w:ascii="宋体" w:hAnsi="宋体"/>
          <w:sz w:val="24"/>
        </w:rPr>
      </w:pPr>
      <w:r>
        <w:rPr>
          <w:rFonts w:ascii="宋体" w:hAnsi="宋体"/>
          <w:sz w:val="24"/>
        </w:rPr>
        <w:t>2</w:t>
      </w:r>
      <w:r>
        <w:rPr>
          <w:rFonts w:hint="eastAsia" w:ascii="宋体" w:hAnsi="宋体"/>
          <w:sz w:val="24"/>
        </w:rPr>
        <w:t>0</w:t>
      </w:r>
      <w:r>
        <w:rPr>
          <w:rFonts w:ascii="宋体" w:hAnsi="宋体"/>
          <w:sz w:val="24"/>
        </w:rPr>
        <w:t>.</w:t>
      </w:r>
      <w:r>
        <w:rPr>
          <w:rFonts w:hint="eastAsia" w:ascii="宋体" w:hAnsi="宋体"/>
          <w:sz w:val="24"/>
        </w:rPr>
        <w:t>5如果第一名供应商放弃成交资格或因不可抗力提出不能履行合同，采购人将依序确定排名第二名的成交候选供应商为成交供应商，也可以重新开展政府采购活动。</w:t>
      </w:r>
    </w:p>
    <w:p w14:paraId="00319525">
      <w:pPr>
        <w:spacing w:line="440" w:lineRule="exact"/>
        <w:ind w:firstLine="424" w:firstLineChars="176"/>
        <w:rPr>
          <w:rFonts w:ascii="宋体" w:hAnsi="宋体"/>
          <w:b/>
          <w:bCs/>
          <w:sz w:val="24"/>
        </w:rPr>
      </w:pPr>
      <w:r>
        <w:rPr>
          <w:rFonts w:ascii="宋体" w:hAnsi="宋体"/>
          <w:b/>
          <w:bCs/>
          <w:sz w:val="24"/>
        </w:rPr>
        <w:t>2</w:t>
      </w:r>
      <w:r>
        <w:rPr>
          <w:rFonts w:hint="eastAsia" w:ascii="宋体" w:hAnsi="宋体"/>
          <w:b/>
          <w:bCs/>
          <w:sz w:val="24"/>
        </w:rPr>
        <w:t>1、响应文件的澄清</w:t>
      </w:r>
    </w:p>
    <w:p w14:paraId="4D0DE10D">
      <w:pPr>
        <w:spacing w:line="440" w:lineRule="exact"/>
        <w:ind w:firstLine="422" w:firstLineChars="176"/>
        <w:rPr>
          <w:rFonts w:ascii="宋体" w:hAnsi="宋体"/>
          <w:sz w:val="24"/>
        </w:rPr>
      </w:pPr>
      <w:r>
        <w:rPr>
          <w:rFonts w:ascii="宋体" w:hAnsi="宋体"/>
          <w:sz w:val="24"/>
        </w:rPr>
        <w:t>2</w:t>
      </w:r>
      <w:r>
        <w:rPr>
          <w:rFonts w:hint="eastAsia" w:ascii="宋体" w:hAnsi="宋体"/>
          <w:sz w:val="24"/>
        </w:rPr>
        <w:t>1</w:t>
      </w:r>
      <w:r>
        <w:rPr>
          <w:rFonts w:ascii="宋体" w:hAnsi="宋体"/>
          <w:sz w:val="24"/>
        </w:rPr>
        <w:t>.1</w:t>
      </w:r>
      <w:r>
        <w:rPr>
          <w:rFonts w:hint="eastAsia" w:ascii="宋体" w:hAnsi="宋体"/>
          <w:sz w:val="24"/>
        </w:rPr>
        <w:t>为了有助于对响应文件进行审查、评估和比较，磋商小组有权向供应商质疑。请供应商澄清其</w:t>
      </w:r>
      <w:r>
        <w:rPr>
          <w:rFonts w:hint="eastAsia" w:ascii="宋体" w:hAnsi="宋体"/>
          <w:kern w:val="0"/>
          <w:sz w:val="24"/>
        </w:rPr>
        <w:t>磋商</w:t>
      </w:r>
      <w:r>
        <w:rPr>
          <w:rFonts w:hint="eastAsia" w:ascii="宋体" w:hAnsi="宋体"/>
          <w:sz w:val="24"/>
        </w:rPr>
        <w:t>内容。供应商有责任按照磋商小组通知的时间、地点、方式指派委托代理人进行答疑和澄清。</w:t>
      </w:r>
    </w:p>
    <w:p w14:paraId="2E4D7504">
      <w:pPr>
        <w:spacing w:line="440" w:lineRule="exact"/>
        <w:ind w:firstLine="422" w:firstLineChars="176"/>
        <w:rPr>
          <w:rFonts w:ascii="宋体" w:hAnsi="宋体"/>
          <w:sz w:val="24"/>
        </w:rPr>
      </w:pPr>
      <w:r>
        <w:rPr>
          <w:rFonts w:ascii="宋体" w:hAnsi="宋体"/>
          <w:sz w:val="24"/>
        </w:rPr>
        <w:t>2</w:t>
      </w:r>
      <w:r>
        <w:rPr>
          <w:rFonts w:hint="eastAsia" w:ascii="宋体" w:hAnsi="宋体"/>
          <w:sz w:val="24"/>
        </w:rPr>
        <w:t>1</w:t>
      </w:r>
      <w:r>
        <w:rPr>
          <w:rFonts w:ascii="宋体" w:hAnsi="宋体"/>
          <w:sz w:val="24"/>
        </w:rPr>
        <w:t>.2</w:t>
      </w:r>
      <w:r>
        <w:rPr>
          <w:rFonts w:hint="eastAsia" w:ascii="宋体" w:hAnsi="宋体"/>
          <w:sz w:val="24"/>
        </w:rPr>
        <w:t>重要澄清的答复应是书面的，并由法定代表人或其委托代理人签字。</w:t>
      </w:r>
    </w:p>
    <w:p w14:paraId="6FA11404">
      <w:pPr>
        <w:spacing w:line="440" w:lineRule="exact"/>
        <w:ind w:firstLine="422" w:firstLineChars="176"/>
        <w:rPr>
          <w:rFonts w:ascii="宋体" w:hAnsi="宋体"/>
          <w:sz w:val="24"/>
        </w:rPr>
      </w:pPr>
      <w:r>
        <w:rPr>
          <w:rFonts w:ascii="宋体" w:hAnsi="宋体"/>
          <w:sz w:val="24"/>
        </w:rPr>
        <w:t>2</w:t>
      </w:r>
      <w:r>
        <w:rPr>
          <w:rFonts w:hint="eastAsia" w:ascii="宋体" w:hAnsi="宋体"/>
          <w:sz w:val="24"/>
        </w:rPr>
        <w:t>1</w:t>
      </w:r>
      <w:r>
        <w:rPr>
          <w:rFonts w:ascii="宋体" w:hAnsi="宋体"/>
          <w:sz w:val="24"/>
        </w:rPr>
        <w:t>.3</w:t>
      </w:r>
      <w:r>
        <w:rPr>
          <w:rFonts w:hint="eastAsia" w:ascii="宋体" w:hAnsi="宋体"/>
          <w:sz w:val="24"/>
        </w:rPr>
        <w:t>供应商的澄清文件响应文件的组成部分，并取代响应文件中被澄清的部分。</w:t>
      </w:r>
    </w:p>
    <w:p w14:paraId="2B4C98F5">
      <w:pPr>
        <w:spacing w:line="440" w:lineRule="exact"/>
        <w:ind w:firstLine="422" w:firstLineChars="176"/>
        <w:rPr>
          <w:rFonts w:ascii="宋体" w:hAnsi="宋体"/>
          <w:sz w:val="24"/>
        </w:rPr>
      </w:pPr>
      <w:r>
        <w:rPr>
          <w:rFonts w:ascii="宋体" w:hAnsi="宋体"/>
          <w:sz w:val="24"/>
        </w:rPr>
        <w:t>2</w:t>
      </w:r>
      <w:r>
        <w:rPr>
          <w:rFonts w:hint="eastAsia" w:ascii="宋体" w:hAnsi="宋体"/>
          <w:sz w:val="24"/>
        </w:rPr>
        <w:t>1</w:t>
      </w:r>
      <w:r>
        <w:rPr>
          <w:rFonts w:ascii="宋体" w:hAnsi="宋体"/>
          <w:sz w:val="24"/>
        </w:rPr>
        <w:t>.4</w:t>
      </w:r>
      <w:r>
        <w:rPr>
          <w:rFonts w:hint="eastAsia" w:ascii="宋体" w:hAnsi="宋体"/>
          <w:sz w:val="24"/>
        </w:rPr>
        <w:t>响应文件澄清部分不得对磋商内容进行实质性修改。</w:t>
      </w:r>
    </w:p>
    <w:p w14:paraId="138FD75E">
      <w:pPr>
        <w:spacing w:line="420" w:lineRule="exact"/>
        <w:ind w:firstLine="424" w:firstLineChars="176"/>
        <w:rPr>
          <w:rFonts w:ascii="宋体" w:hAnsi="宋体"/>
          <w:b/>
          <w:bCs/>
          <w:sz w:val="24"/>
        </w:rPr>
      </w:pPr>
      <w:r>
        <w:rPr>
          <w:rFonts w:ascii="宋体" w:hAnsi="宋体"/>
          <w:b/>
          <w:bCs/>
          <w:sz w:val="24"/>
        </w:rPr>
        <w:t>2</w:t>
      </w:r>
      <w:r>
        <w:rPr>
          <w:rFonts w:hint="eastAsia" w:ascii="宋体" w:hAnsi="宋体"/>
          <w:b/>
          <w:bCs/>
          <w:sz w:val="24"/>
        </w:rPr>
        <w:t>2、确定成交供应商</w:t>
      </w:r>
    </w:p>
    <w:p w14:paraId="2CD03F89">
      <w:pPr>
        <w:spacing w:line="420" w:lineRule="exact"/>
        <w:ind w:firstLine="422" w:firstLineChars="176"/>
        <w:rPr>
          <w:rFonts w:ascii="宋体" w:hAnsi="宋体"/>
          <w:sz w:val="24"/>
        </w:rPr>
      </w:pPr>
      <w:r>
        <w:rPr>
          <w:rFonts w:ascii="宋体" w:hAnsi="宋体"/>
          <w:sz w:val="24"/>
        </w:rPr>
        <w:t>2</w:t>
      </w:r>
      <w:r>
        <w:rPr>
          <w:rFonts w:hint="eastAsia" w:ascii="宋体" w:hAnsi="宋体"/>
          <w:sz w:val="24"/>
        </w:rPr>
        <w:t>2</w:t>
      </w:r>
      <w:r>
        <w:rPr>
          <w:rFonts w:ascii="宋体" w:hAnsi="宋体"/>
          <w:sz w:val="24"/>
        </w:rPr>
        <w:t>.1</w:t>
      </w:r>
      <w:r>
        <w:rPr>
          <w:rFonts w:hint="eastAsia" w:ascii="宋体" w:hAnsi="宋体"/>
          <w:sz w:val="24"/>
        </w:rPr>
        <w:t>磋商小组应当根据综合评分情况，按照评审由高到低的顺序推荐成交候选供应商，并向采购人提供书面评审报告。</w:t>
      </w:r>
    </w:p>
    <w:p w14:paraId="04AC6C4D">
      <w:pPr>
        <w:autoSpaceDE w:val="0"/>
        <w:autoSpaceDN w:val="0"/>
        <w:adjustRightInd w:val="0"/>
        <w:spacing w:line="430" w:lineRule="exact"/>
        <w:ind w:firstLine="420"/>
        <w:jc w:val="left"/>
        <w:outlineLvl w:val="0"/>
        <w:rPr>
          <w:rFonts w:ascii="宋体" w:hAnsi="宋体" w:cs="宋体"/>
          <w:sz w:val="24"/>
        </w:rPr>
      </w:pPr>
      <w:bookmarkStart w:id="23" w:name="_Toc173946415"/>
      <w:bookmarkEnd w:id="23"/>
      <w:bookmarkStart w:id="24" w:name="_Toc171410857"/>
      <w:bookmarkEnd w:id="24"/>
      <w:bookmarkStart w:id="25" w:name="_Toc174034448"/>
      <w:bookmarkEnd w:id="25"/>
      <w:bookmarkStart w:id="26" w:name="_Toc173946080"/>
      <w:bookmarkEnd w:id="26"/>
      <w:bookmarkStart w:id="27" w:name="_Toc171002590"/>
      <w:bookmarkEnd w:id="27"/>
      <w:bookmarkStart w:id="28" w:name="_Toc24476"/>
      <w:bookmarkStart w:id="29" w:name="_Toc10924"/>
      <w:bookmarkStart w:id="30" w:name="_Toc4678"/>
      <w:r>
        <w:rPr>
          <w:rFonts w:hint="eastAsia" w:ascii="宋体" w:hAnsi="宋体" w:cs="宋体"/>
          <w:bCs/>
          <w:sz w:val="24"/>
        </w:rPr>
        <w:t>22.2</w:t>
      </w:r>
      <w:r>
        <w:rPr>
          <w:rFonts w:hint="eastAsia" w:ascii="宋体" w:hAnsi="宋体"/>
          <w:sz w:val="24"/>
        </w:rPr>
        <w:t>磋商小组</w:t>
      </w:r>
      <w:r>
        <w:rPr>
          <w:rFonts w:hint="eastAsia" w:ascii="宋体" w:hAnsi="宋体" w:cs="宋体"/>
          <w:sz w:val="24"/>
        </w:rPr>
        <w:t>经采购人授权，确定排名第一的成交候选供应商为成交供应商。当确定成交供应商放弃成交或因不可抗力提出不能履行合同的，采购人可以按照评审报告推荐的成交候选供应商名单，确定下一成交候选供应商为成交供应商，也可以重新开展政府采购活动。</w:t>
      </w:r>
      <w:bookmarkEnd w:id="28"/>
      <w:bookmarkEnd w:id="29"/>
      <w:bookmarkEnd w:id="30"/>
    </w:p>
    <w:p w14:paraId="54F94B06">
      <w:pPr>
        <w:spacing w:line="420" w:lineRule="exact"/>
        <w:ind w:firstLine="424" w:firstLineChars="176"/>
        <w:rPr>
          <w:rFonts w:ascii="宋体" w:hAnsi="宋体"/>
          <w:b/>
          <w:bCs/>
          <w:sz w:val="24"/>
        </w:rPr>
      </w:pPr>
      <w:r>
        <w:rPr>
          <w:rFonts w:ascii="宋体" w:hAnsi="宋体"/>
          <w:b/>
          <w:bCs/>
          <w:sz w:val="24"/>
        </w:rPr>
        <w:t>2</w:t>
      </w:r>
      <w:r>
        <w:rPr>
          <w:rFonts w:hint="eastAsia" w:ascii="宋体" w:hAnsi="宋体"/>
          <w:b/>
          <w:bCs/>
          <w:sz w:val="24"/>
        </w:rPr>
        <w:t>3、保密及其它注意事项</w:t>
      </w:r>
    </w:p>
    <w:p w14:paraId="724947D1">
      <w:pPr>
        <w:spacing w:line="420" w:lineRule="exact"/>
        <w:ind w:firstLine="422" w:firstLineChars="176"/>
        <w:rPr>
          <w:rFonts w:ascii="宋体" w:hAnsi="宋体"/>
          <w:sz w:val="24"/>
        </w:rPr>
      </w:pPr>
      <w:r>
        <w:rPr>
          <w:rFonts w:ascii="宋体" w:hAnsi="宋体"/>
          <w:sz w:val="24"/>
        </w:rPr>
        <w:t>2</w:t>
      </w:r>
      <w:r>
        <w:rPr>
          <w:rFonts w:hint="eastAsia" w:ascii="宋体" w:hAnsi="宋体"/>
          <w:sz w:val="24"/>
        </w:rPr>
        <w:t>3</w:t>
      </w:r>
      <w:r>
        <w:rPr>
          <w:rFonts w:ascii="宋体" w:hAnsi="宋体"/>
          <w:sz w:val="24"/>
        </w:rPr>
        <w:t>.1</w:t>
      </w:r>
      <w:r>
        <w:rPr>
          <w:rFonts w:hint="eastAsia" w:ascii="宋体" w:hAnsi="宋体"/>
          <w:sz w:val="24"/>
        </w:rPr>
        <w:t>评审工作是磋商工作的重要环节，评审工作在磋商小组内独立进行。</w:t>
      </w:r>
    </w:p>
    <w:p w14:paraId="35624671">
      <w:pPr>
        <w:spacing w:line="420" w:lineRule="exact"/>
        <w:ind w:firstLine="422" w:firstLineChars="176"/>
        <w:rPr>
          <w:rFonts w:ascii="宋体" w:hAnsi="宋体"/>
          <w:sz w:val="24"/>
        </w:rPr>
      </w:pPr>
      <w:r>
        <w:rPr>
          <w:rFonts w:ascii="宋体" w:hAnsi="宋体"/>
          <w:sz w:val="24"/>
        </w:rPr>
        <w:t>2</w:t>
      </w:r>
      <w:r>
        <w:rPr>
          <w:rFonts w:hint="eastAsia" w:ascii="宋体" w:hAnsi="宋体"/>
          <w:sz w:val="24"/>
        </w:rPr>
        <w:t>3</w:t>
      </w:r>
      <w:r>
        <w:rPr>
          <w:rFonts w:ascii="宋体" w:hAnsi="宋体"/>
          <w:sz w:val="24"/>
        </w:rPr>
        <w:t>.2</w:t>
      </w:r>
      <w:r>
        <w:rPr>
          <w:rFonts w:hint="eastAsia" w:ascii="宋体" w:hAnsi="宋体"/>
          <w:sz w:val="24"/>
        </w:rPr>
        <w:t>在评审期间，供应商不得向磋商小组成员询问评审情况，不得进行影响评审结果的活动。否则其响应将会被拒绝。</w:t>
      </w:r>
    </w:p>
    <w:p w14:paraId="68D4B814">
      <w:pPr>
        <w:spacing w:line="420" w:lineRule="exact"/>
        <w:ind w:firstLine="422" w:firstLineChars="176"/>
        <w:rPr>
          <w:rFonts w:ascii="宋体" w:hAnsi="宋体"/>
          <w:sz w:val="24"/>
        </w:rPr>
      </w:pPr>
      <w:r>
        <w:rPr>
          <w:rFonts w:ascii="宋体" w:hAnsi="宋体"/>
          <w:sz w:val="24"/>
        </w:rPr>
        <w:t>2</w:t>
      </w:r>
      <w:r>
        <w:rPr>
          <w:rFonts w:hint="eastAsia" w:ascii="宋体" w:hAnsi="宋体"/>
          <w:sz w:val="24"/>
        </w:rPr>
        <w:t>3</w:t>
      </w:r>
      <w:r>
        <w:rPr>
          <w:rFonts w:ascii="宋体" w:hAnsi="宋体"/>
          <w:sz w:val="24"/>
        </w:rPr>
        <w:t>.3</w:t>
      </w:r>
      <w:r>
        <w:rPr>
          <w:rFonts w:hint="eastAsia" w:ascii="宋体" w:hAnsi="宋体"/>
          <w:sz w:val="24"/>
        </w:rPr>
        <w:t>为保证评审的公正性，磋商开始后直至授予成交供应商合同，磋商小组成员不得与供应商私下交换意见。</w:t>
      </w:r>
    </w:p>
    <w:p w14:paraId="2270F1CC">
      <w:pPr>
        <w:spacing w:line="420" w:lineRule="exact"/>
        <w:ind w:firstLine="422" w:firstLineChars="176"/>
        <w:rPr>
          <w:rFonts w:ascii="宋体" w:hAnsi="宋体"/>
          <w:sz w:val="24"/>
        </w:rPr>
      </w:pPr>
      <w:r>
        <w:rPr>
          <w:rFonts w:ascii="宋体" w:hAnsi="宋体"/>
          <w:sz w:val="24"/>
        </w:rPr>
        <w:t>2</w:t>
      </w:r>
      <w:r>
        <w:rPr>
          <w:rFonts w:hint="eastAsia" w:ascii="宋体" w:hAnsi="宋体"/>
          <w:sz w:val="24"/>
        </w:rPr>
        <w:t>3</w:t>
      </w:r>
      <w:r>
        <w:rPr>
          <w:rFonts w:ascii="宋体" w:hAnsi="宋体"/>
          <w:sz w:val="24"/>
        </w:rPr>
        <w:t>.4</w:t>
      </w:r>
      <w:r>
        <w:rPr>
          <w:rFonts w:hint="eastAsia" w:ascii="宋体" w:hAnsi="宋体"/>
          <w:sz w:val="24"/>
        </w:rPr>
        <w:t>在评审工作结束后，凡与评审情况有接触的任何人不得擅自将评审情况扩散出评审人员之外。</w:t>
      </w:r>
    </w:p>
    <w:p w14:paraId="11D856D9">
      <w:pPr>
        <w:spacing w:line="420" w:lineRule="exact"/>
        <w:ind w:firstLine="424" w:firstLineChars="176"/>
        <w:rPr>
          <w:rFonts w:ascii="宋体" w:hAnsi="宋体"/>
          <w:b/>
          <w:bCs/>
          <w:sz w:val="24"/>
        </w:rPr>
      </w:pPr>
      <w:r>
        <w:rPr>
          <w:rFonts w:ascii="宋体" w:hAnsi="宋体"/>
          <w:b/>
          <w:bCs/>
          <w:sz w:val="24"/>
        </w:rPr>
        <w:t>2</w:t>
      </w:r>
      <w:r>
        <w:rPr>
          <w:rFonts w:hint="eastAsia" w:ascii="宋体" w:hAnsi="宋体"/>
          <w:b/>
          <w:bCs/>
          <w:sz w:val="24"/>
        </w:rPr>
        <w:t>4、成交通知</w:t>
      </w:r>
      <w:r>
        <w:tab/>
      </w:r>
    </w:p>
    <w:p w14:paraId="4661D4E8">
      <w:pPr>
        <w:spacing w:line="420" w:lineRule="exact"/>
        <w:ind w:firstLine="422" w:firstLineChars="176"/>
        <w:rPr>
          <w:rFonts w:ascii="宋体" w:hAnsi="宋体"/>
          <w:sz w:val="24"/>
        </w:rPr>
      </w:pPr>
      <w:r>
        <w:rPr>
          <w:rFonts w:ascii="宋体" w:hAnsi="宋体"/>
          <w:sz w:val="24"/>
        </w:rPr>
        <w:t>2</w:t>
      </w:r>
      <w:r>
        <w:rPr>
          <w:rFonts w:hint="eastAsia" w:ascii="宋体" w:hAnsi="宋体"/>
          <w:sz w:val="24"/>
        </w:rPr>
        <w:t>4</w:t>
      </w:r>
      <w:r>
        <w:rPr>
          <w:rFonts w:ascii="宋体" w:hAnsi="宋体"/>
          <w:sz w:val="24"/>
        </w:rPr>
        <w:t>.1</w:t>
      </w:r>
      <w:r>
        <w:rPr>
          <w:rFonts w:hint="eastAsia" w:ascii="宋体" w:hAnsi="宋体"/>
          <w:sz w:val="24"/>
        </w:rPr>
        <w:t>成交供应商确定后，采购人向成交供应商签发成交通知书，并将成交结果通知所有未成交的供应商。</w:t>
      </w:r>
    </w:p>
    <w:p w14:paraId="20FE4FAA">
      <w:pPr>
        <w:spacing w:line="420" w:lineRule="exact"/>
        <w:ind w:firstLine="422" w:firstLineChars="176"/>
        <w:rPr>
          <w:rFonts w:ascii="宋体" w:hAnsi="宋体"/>
          <w:sz w:val="24"/>
        </w:rPr>
      </w:pPr>
      <w:r>
        <w:rPr>
          <w:rFonts w:hint="eastAsia" w:ascii="宋体" w:hAnsi="宋体"/>
          <w:sz w:val="24"/>
        </w:rPr>
        <w:t>24</w:t>
      </w:r>
      <w:r>
        <w:rPr>
          <w:rFonts w:ascii="宋体" w:hAnsi="宋体"/>
          <w:sz w:val="24"/>
        </w:rPr>
        <w:t>.2</w:t>
      </w:r>
      <w:r>
        <w:rPr>
          <w:rFonts w:hint="eastAsia" w:ascii="宋体" w:hAnsi="宋体"/>
          <w:sz w:val="24"/>
        </w:rPr>
        <w:t>成交通知书作为签订合同的依据，对采购人和成交供应商均具有法律效力，成交通知书发出后，采购人改变成交结果或者成交供应商放弃项目，应依法承担法律责任。</w:t>
      </w:r>
    </w:p>
    <w:p w14:paraId="32F47AE4">
      <w:pPr>
        <w:spacing w:line="420" w:lineRule="exact"/>
        <w:ind w:firstLine="424" w:firstLineChars="176"/>
        <w:rPr>
          <w:rFonts w:ascii="宋体" w:hAnsi="宋体"/>
          <w:b/>
          <w:bCs/>
          <w:sz w:val="24"/>
        </w:rPr>
      </w:pPr>
      <w:r>
        <w:rPr>
          <w:rFonts w:ascii="宋体" w:hAnsi="宋体"/>
          <w:b/>
          <w:bCs/>
          <w:sz w:val="24"/>
        </w:rPr>
        <w:t>2</w:t>
      </w:r>
      <w:r>
        <w:rPr>
          <w:rFonts w:hint="eastAsia" w:ascii="宋体" w:hAnsi="宋体"/>
          <w:b/>
          <w:bCs/>
          <w:sz w:val="24"/>
        </w:rPr>
        <w:t>5、签订合同</w:t>
      </w:r>
    </w:p>
    <w:p w14:paraId="442E58E9">
      <w:pPr>
        <w:wordWrap w:val="0"/>
        <w:autoSpaceDE w:val="0"/>
        <w:autoSpaceDN w:val="0"/>
        <w:adjustRightInd w:val="0"/>
        <w:spacing w:line="360" w:lineRule="auto"/>
        <w:ind w:firstLine="464" w:firstLineChars="200"/>
        <w:rPr>
          <w:rFonts w:ascii="宋体" w:hAnsi="宋体" w:cs="宋体"/>
          <w:spacing w:val="-4"/>
          <w:sz w:val="24"/>
        </w:rPr>
      </w:pPr>
      <w:r>
        <w:rPr>
          <w:rFonts w:hint="eastAsia" w:ascii="宋体" w:hAnsi="宋体" w:cs="宋体"/>
          <w:spacing w:val="-4"/>
          <w:sz w:val="24"/>
        </w:rPr>
        <w:t>采购人、成交供应商在成交通知书发出之日起在2个工作日，根据竞争性磋商文件确定的事项和成交供应商响应文件签订合同。双方所签订的合同不得对竞争性磋商文件和成交供应商响应文件作实质性修改。成交供应商逾期未签订合同，视为成交后无正当理由不与采购人签订合同，按照有关法律规定承担相应的法律责任。采购人逾期不与成交供应商签订合同的，按政府采购的有关规定处理。</w:t>
      </w:r>
    </w:p>
    <w:p w14:paraId="1E7A5ADA">
      <w:pPr>
        <w:wordWrap w:val="0"/>
        <w:autoSpaceDE w:val="0"/>
        <w:autoSpaceDN w:val="0"/>
        <w:adjustRightInd w:val="0"/>
        <w:spacing w:line="360" w:lineRule="auto"/>
        <w:ind w:firstLine="464" w:firstLineChars="200"/>
        <w:rPr>
          <w:rFonts w:ascii="宋体" w:hAnsi="宋体" w:cs="宋体"/>
          <w:spacing w:val="-4"/>
          <w:sz w:val="24"/>
        </w:rPr>
      </w:pPr>
      <w:r>
        <w:rPr>
          <w:rFonts w:hint="eastAsia" w:ascii="宋体" w:hAnsi="宋体" w:cs="宋体"/>
          <w:spacing w:val="-4"/>
          <w:sz w:val="24"/>
        </w:rPr>
        <w:t>竞争性磋商文件、竞争性磋商文件的修改文件、成交供应商的响应文件、补充或修改的文件及澄清或承诺文件等，均为双方签订合同的组成部分，并与合同一并作为本竞争性磋商文件所列采购项目的互补性法律文件，与合同具有同等法律效力。</w:t>
      </w:r>
    </w:p>
    <w:p w14:paraId="7DC46ED7">
      <w:pPr>
        <w:wordWrap w:val="0"/>
        <w:autoSpaceDE w:val="0"/>
        <w:autoSpaceDN w:val="0"/>
        <w:adjustRightInd w:val="0"/>
        <w:spacing w:line="360" w:lineRule="auto"/>
        <w:ind w:firstLine="464" w:firstLineChars="200"/>
        <w:rPr>
          <w:rFonts w:ascii="宋体" w:hAnsi="宋体" w:cs="宋体"/>
          <w:spacing w:val="-4"/>
          <w:sz w:val="24"/>
        </w:rPr>
      </w:pPr>
      <w:r>
        <w:rPr>
          <w:rFonts w:hint="eastAsia" w:ascii="宋体" w:hAnsi="宋体" w:cs="宋体"/>
          <w:spacing w:val="-4"/>
          <w:sz w:val="24"/>
        </w:rPr>
        <w:t>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p>
    <w:p w14:paraId="24836388">
      <w:pPr>
        <w:spacing w:line="420" w:lineRule="exact"/>
        <w:ind w:firstLine="424" w:firstLineChars="176"/>
        <w:rPr>
          <w:rFonts w:ascii="宋体" w:hAnsi="宋体"/>
          <w:b/>
          <w:sz w:val="24"/>
        </w:rPr>
      </w:pPr>
      <w:r>
        <w:rPr>
          <w:rFonts w:ascii="宋体" w:hAnsi="宋体"/>
          <w:b/>
          <w:sz w:val="24"/>
        </w:rPr>
        <w:t>2</w:t>
      </w:r>
      <w:r>
        <w:rPr>
          <w:rFonts w:hint="eastAsia" w:ascii="宋体" w:hAnsi="宋体"/>
          <w:b/>
          <w:sz w:val="24"/>
        </w:rPr>
        <w:t>6、特别注意事项：</w:t>
      </w:r>
    </w:p>
    <w:p w14:paraId="73654023">
      <w:pPr>
        <w:spacing w:line="420" w:lineRule="exact"/>
        <w:ind w:firstLine="422" w:firstLineChars="176"/>
        <w:rPr>
          <w:rFonts w:ascii="宋体" w:hAnsi="宋体"/>
          <w:sz w:val="24"/>
        </w:rPr>
      </w:pPr>
      <w:r>
        <w:rPr>
          <w:rFonts w:ascii="宋体" w:hAnsi="宋体"/>
          <w:sz w:val="24"/>
        </w:rPr>
        <w:t>2</w:t>
      </w:r>
      <w:r>
        <w:rPr>
          <w:rFonts w:hint="eastAsia" w:ascii="宋体" w:hAnsi="宋体"/>
          <w:sz w:val="24"/>
        </w:rPr>
        <w:t>6</w:t>
      </w:r>
      <w:r>
        <w:rPr>
          <w:rFonts w:ascii="宋体" w:hAnsi="宋体"/>
          <w:sz w:val="24"/>
        </w:rPr>
        <w:t>.1</w:t>
      </w:r>
      <w:r>
        <w:rPr>
          <w:rFonts w:hint="eastAsia" w:ascii="宋体" w:hAnsi="宋体"/>
          <w:sz w:val="24"/>
        </w:rPr>
        <w:t>供应商出现下列情形之一的，磋商小组可取消其磋商资格：</w:t>
      </w:r>
    </w:p>
    <w:p w14:paraId="0F74B1F7">
      <w:pPr>
        <w:spacing w:line="420" w:lineRule="exact"/>
        <w:ind w:firstLine="422" w:firstLineChars="176"/>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）未按磋商文件要求和规定提交实质性响应材料的；</w:t>
      </w:r>
    </w:p>
    <w:p w14:paraId="57F55F5C">
      <w:pPr>
        <w:spacing w:line="420" w:lineRule="exact"/>
        <w:ind w:firstLine="422" w:firstLineChars="176"/>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）相互串通磋商的（有下列情形之一的，视为供应商相互串通磋商）；</w:t>
      </w:r>
    </w:p>
    <w:p w14:paraId="34A09AAF">
      <w:pPr>
        <w:spacing w:line="420" w:lineRule="exact"/>
        <w:ind w:firstLine="422" w:firstLineChars="176"/>
        <w:rPr>
          <w:rFonts w:ascii="宋体" w:hAnsi="宋体" w:eastAsia="宋体"/>
          <w:sz w:val="24"/>
        </w:rPr>
      </w:pPr>
      <w:r>
        <w:rPr>
          <w:rFonts w:ascii="宋体" w:hAnsi="宋体"/>
          <w:sz w:val="24"/>
        </w:rPr>
        <w:t>A</w:t>
      </w:r>
      <w:r>
        <w:rPr>
          <w:rFonts w:hint="eastAsia" w:ascii="宋体" w:hAnsi="宋体"/>
          <w:sz w:val="24"/>
        </w:rPr>
        <w:t>、不同供应商的响应文件由同一单位或者个人编制；</w:t>
      </w:r>
    </w:p>
    <w:p w14:paraId="6F3F3F5C">
      <w:pPr>
        <w:spacing w:line="420" w:lineRule="exact"/>
        <w:ind w:firstLine="422" w:firstLineChars="176"/>
        <w:rPr>
          <w:rFonts w:ascii="宋体" w:hAnsi="宋体" w:eastAsia="宋体"/>
          <w:sz w:val="24"/>
        </w:rPr>
      </w:pPr>
      <w:r>
        <w:rPr>
          <w:rFonts w:ascii="宋体" w:hAnsi="宋体"/>
          <w:sz w:val="24"/>
        </w:rPr>
        <w:t>B</w:t>
      </w:r>
      <w:r>
        <w:rPr>
          <w:rFonts w:hint="eastAsia" w:ascii="宋体" w:hAnsi="宋体"/>
          <w:sz w:val="24"/>
        </w:rPr>
        <w:t>、不同供应商的响应文件载明的项目管理成员为同一人；</w:t>
      </w:r>
    </w:p>
    <w:p w14:paraId="4C317E39">
      <w:pPr>
        <w:autoSpaceDE w:val="0"/>
        <w:spacing w:line="420" w:lineRule="exact"/>
        <w:ind w:firstLine="422" w:firstLineChars="176"/>
        <w:rPr>
          <w:rFonts w:ascii="宋体" w:hAnsi="宋体" w:eastAsia="宋体"/>
          <w:sz w:val="24"/>
        </w:rPr>
      </w:pPr>
      <w:r>
        <w:rPr>
          <w:rFonts w:ascii="宋体" w:hAnsi="宋体"/>
          <w:sz w:val="24"/>
        </w:rPr>
        <w:t>C</w:t>
      </w:r>
      <w:r>
        <w:rPr>
          <w:rFonts w:hint="eastAsia" w:ascii="宋体" w:hAnsi="宋体"/>
          <w:sz w:val="24"/>
        </w:rPr>
        <w:t>、不同供应商的响应文件异常一致或者磋商报价呈规律性差异；</w:t>
      </w:r>
    </w:p>
    <w:p w14:paraId="70BFD85C">
      <w:pPr>
        <w:autoSpaceDE w:val="0"/>
        <w:spacing w:line="420" w:lineRule="exact"/>
        <w:ind w:firstLine="422" w:firstLineChars="176"/>
        <w:rPr>
          <w:rFonts w:ascii="宋体" w:hAnsi="宋体" w:eastAsia="宋体"/>
          <w:sz w:val="24"/>
        </w:rPr>
      </w:pPr>
      <w:r>
        <w:rPr>
          <w:rFonts w:ascii="宋体" w:hAnsi="宋体"/>
          <w:sz w:val="24"/>
        </w:rPr>
        <w:t>D</w:t>
      </w:r>
      <w:r>
        <w:rPr>
          <w:rFonts w:hint="eastAsia" w:ascii="宋体" w:hAnsi="宋体"/>
          <w:sz w:val="24"/>
        </w:rPr>
        <w:t>、不同供应商的响应文件相互混放；</w:t>
      </w:r>
    </w:p>
    <w:p w14:paraId="09191EA8">
      <w:pPr>
        <w:autoSpaceDE w:val="0"/>
        <w:spacing w:line="420" w:lineRule="exact"/>
        <w:ind w:firstLine="422" w:firstLineChars="176"/>
        <w:rPr>
          <w:rFonts w:ascii="宋体" w:hAnsi="宋体"/>
          <w:sz w:val="24"/>
        </w:rPr>
      </w:pPr>
      <w:r>
        <w:rPr>
          <w:rFonts w:ascii="宋体" w:hAnsi="宋体"/>
          <w:sz w:val="24"/>
        </w:rPr>
        <w:t>2</w:t>
      </w:r>
      <w:r>
        <w:rPr>
          <w:rFonts w:hint="eastAsia" w:ascii="宋体" w:hAnsi="宋体"/>
          <w:sz w:val="24"/>
        </w:rPr>
        <w:t>6</w:t>
      </w:r>
      <w:r>
        <w:rPr>
          <w:rFonts w:ascii="宋体" w:hAnsi="宋体"/>
          <w:sz w:val="24"/>
        </w:rPr>
        <w:t>.2</w:t>
      </w:r>
      <w:r>
        <w:rPr>
          <w:rFonts w:hint="eastAsia" w:ascii="宋体" w:hAnsi="宋体"/>
          <w:sz w:val="24"/>
        </w:rPr>
        <w:t>供应商出现下列情形之一的，将被视为非实质性响应磋商文件要求：</w:t>
      </w:r>
    </w:p>
    <w:p w14:paraId="5113CB68">
      <w:pPr>
        <w:autoSpaceDE w:val="0"/>
        <w:spacing w:line="420" w:lineRule="exact"/>
        <w:ind w:firstLine="422" w:firstLineChars="176"/>
        <w:rPr>
          <w:rFonts w:ascii="宋体" w:hAnsi="宋体"/>
          <w:sz w:val="24"/>
        </w:rPr>
      </w:pPr>
      <w:r>
        <w:rPr>
          <w:rFonts w:ascii="宋体" w:hAnsi="宋体"/>
          <w:sz w:val="24"/>
        </w:rPr>
        <w:t>(1)</w:t>
      </w:r>
      <w:r>
        <w:rPr>
          <w:rFonts w:hint="eastAsia" w:ascii="宋体" w:hAnsi="宋体"/>
          <w:sz w:val="24"/>
        </w:rPr>
        <w:t>服务（完成）期限不确切或不符合竞争性磋商文件要求的；</w:t>
      </w:r>
    </w:p>
    <w:p w14:paraId="455A933D">
      <w:pPr>
        <w:autoSpaceDE w:val="0"/>
        <w:spacing w:line="420" w:lineRule="exact"/>
        <w:ind w:firstLine="422" w:firstLineChars="176"/>
        <w:rPr>
          <w:rFonts w:ascii="宋体" w:hAnsi="宋体"/>
          <w:sz w:val="24"/>
        </w:rPr>
      </w:pPr>
      <w:r>
        <w:rPr>
          <w:rFonts w:ascii="宋体" w:hAnsi="宋体"/>
          <w:sz w:val="24"/>
        </w:rPr>
        <w:t>(2)</w:t>
      </w:r>
      <w:r>
        <w:rPr>
          <w:rFonts w:hint="eastAsia" w:ascii="宋体" w:hAnsi="宋体"/>
          <w:sz w:val="24"/>
        </w:rPr>
        <w:t>最后报价有选择性的；</w:t>
      </w:r>
    </w:p>
    <w:p w14:paraId="4163C4A0">
      <w:pPr>
        <w:autoSpaceDE w:val="0"/>
        <w:spacing w:line="420" w:lineRule="exact"/>
        <w:ind w:firstLine="422" w:firstLineChars="176"/>
        <w:rPr>
          <w:rFonts w:ascii="宋体" w:hAnsi="宋体"/>
          <w:sz w:val="24"/>
        </w:rPr>
      </w:pPr>
      <w:r>
        <w:rPr>
          <w:rFonts w:ascii="宋体" w:hAnsi="宋体"/>
          <w:sz w:val="24"/>
        </w:rPr>
        <w:t>(3)</w:t>
      </w:r>
      <w:r>
        <w:rPr>
          <w:rFonts w:hint="eastAsia" w:ascii="宋体" w:hAnsi="宋体"/>
          <w:sz w:val="24"/>
        </w:rPr>
        <w:t>最后报价超过磋商控制价的；</w:t>
      </w:r>
    </w:p>
    <w:p w14:paraId="79DF78C3">
      <w:pPr>
        <w:autoSpaceDE w:val="0"/>
        <w:spacing w:line="420" w:lineRule="exact"/>
        <w:ind w:firstLine="422" w:firstLineChars="176"/>
        <w:rPr>
          <w:rFonts w:ascii="宋体" w:hAnsi="宋体"/>
          <w:sz w:val="24"/>
        </w:rPr>
      </w:pPr>
      <w:r>
        <w:rPr>
          <w:rFonts w:ascii="宋体" w:hAnsi="宋体"/>
          <w:sz w:val="24"/>
        </w:rPr>
        <w:t>(4)</w:t>
      </w:r>
      <w:r>
        <w:rPr>
          <w:rFonts w:hint="eastAsia" w:ascii="宋体" w:hAnsi="宋体"/>
          <w:sz w:val="24"/>
        </w:rPr>
        <w:t>被磋商小组认定存在重大负偏离的；</w:t>
      </w:r>
    </w:p>
    <w:p w14:paraId="5B52C8BA">
      <w:pPr>
        <w:autoSpaceDE w:val="0"/>
        <w:spacing w:line="420" w:lineRule="exact"/>
        <w:ind w:firstLine="422" w:firstLineChars="176"/>
        <w:rPr>
          <w:rFonts w:ascii="宋体" w:hAnsi="宋体"/>
          <w:sz w:val="24"/>
        </w:rPr>
      </w:pPr>
      <w:r>
        <w:rPr>
          <w:rFonts w:hint="eastAsia" w:ascii="宋体" w:hAnsi="宋体"/>
          <w:sz w:val="24"/>
        </w:rPr>
        <w:t>注：所谓重大负偏离是指供应商对竞争性磋商文件的响应在范围、质量、数量和服务（完成）期限等方面明显不能满足服务要求的。重大负偏离的认定须经磋商小组三分之二以上同意。</w:t>
      </w:r>
    </w:p>
    <w:p w14:paraId="1A6B2C32">
      <w:pPr>
        <w:pStyle w:val="14"/>
        <w:rPr>
          <w:b/>
          <w:bCs/>
          <w:sz w:val="32"/>
          <w:szCs w:val="40"/>
        </w:rPr>
      </w:pPr>
    </w:p>
    <w:p w14:paraId="3F6725C0">
      <w:pPr>
        <w:pStyle w:val="14"/>
        <w:rPr>
          <w:b/>
          <w:bCs/>
          <w:sz w:val="32"/>
          <w:szCs w:val="40"/>
        </w:rPr>
      </w:pPr>
    </w:p>
    <w:p w14:paraId="6AB086E1">
      <w:pPr>
        <w:pStyle w:val="14"/>
        <w:rPr>
          <w:b/>
          <w:bCs/>
          <w:sz w:val="32"/>
          <w:szCs w:val="40"/>
        </w:rPr>
      </w:pPr>
    </w:p>
    <w:p w14:paraId="228A4D54">
      <w:pPr>
        <w:pStyle w:val="14"/>
        <w:rPr>
          <w:b/>
          <w:bCs/>
          <w:sz w:val="32"/>
          <w:szCs w:val="40"/>
        </w:rPr>
      </w:pPr>
    </w:p>
    <w:p w14:paraId="2E4A5168">
      <w:pPr>
        <w:pStyle w:val="14"/>
        <w:rPr>
          <w:b/>
          <w:bCs/>
          <w:sz w:val="32"/>
          <w:szCs w:val="40"/>
        </w:rPr>
      </w:pPr>
    </w:p>
    <w:p w14:paraId="0D8FF27D">
      <w:pPr>
        <w:pStyle w:val="14"/>
        <w:rPr>
          <w:b/>
          <w:bCs/>
          <w:sz w:val="32"/>
          <w:szCs w:val="40"/>
        </w:rPr>
      </w:pPr>
    </w:p>
    <w:p w14:paraId="2605C913">
      <w:pPr>
        <w:pStyle w:val="14"/>
        <w:rPr>
          <w:b/>
          <w:bCs/>
          <w:sz w:val="32"/>
          <w:szCs w:val="40"/>
        </w:rPr>
      </w:pPr>
    </w:p>
    <w:p w14:paraId="3489D870">
      <w:pPr>
        <w:pStyle w:val="14"/>
        <w:rPr>
          <w:b/>
          <w:bCs/>
          <w:sz w:val="32"/>
          <w:szCs w:val="40"/>
        </w:rPr>
      </w:pPr>
    </w:p>
    <w:p w14:paraId="2C0C53A2">
      <w:pPr>
        <w:pStyle w:val="14"/>
        <w:rPr>
          <w:b/>
          <w:bCs/>
          <w:sz w:val="32"/>
          <w:szCs w:val="40"/>
        </w:rPr>
      </w:pPr>
    </w:p>
    <w:p w14:paraId="7D46AEA7">
      <w:pPr>
        <w:pStyle w:val="14"/>
        <w:rPr>
          <w:b/>
          <w:bCs/>
          <w:sz w:val="32"/>
          <w:szCs w:val="40"/>
        </w:rPr>
      </w:pPr>
    </w:p>
    <w:p w14:paraId="278C21A0">
      <w:pPr>
        <w:pStyle w:val="14"/>
        <w:rPr>
          <w:b/>
          <w:bCs/>
          <w:sz w:val="32"/>
          <w:szCs w:val="40"/>
        </w:rPr>
      </w:pPr>
    </w:p>
    <w:p w14:paraId="61AA871A">
      <w:pPr>
        <w:pStyle w:val="14"/>
        <w:rPr>
          <w:b/>
          <w:bCs/>
          <w:sz w:val="32"/>
          <w:szCs w:val="40"/>
        </w:rPr>
      </w:pPr>
    </w:p>
    <w:p w14:paraId="30DFA6C1">
      <w:pPr>
        <w:pStyle w:val="14"/>
        <w:rPr>
          <w:b/>
          <w:bCs/>
          <w:sz w:val="32"/>
          <w:szCs w:val="40"/>
        </w:rPr>
      </w:pPr>
    </w:p>
    <w:p w14:paraId="3A96756E">
      <w:pPr>
        <w:pStyle w:val="14"/>
        <w:rPr>
          <w:b/>
          <w:bCs/>
          <w:sz w:val="32"/>
          <w:szCs w:val="40"/>
        </w:rPr>
      </w:pPr>
    </w:p>
    <w:p w14:paraId="7DA4EBC6">
      <w:pPr>
        <w:pStyle w:val="14"/>
        <w:rPr>
          <w:b/>
          <w:bCs/>
          <w:sz w:val="32"/>
          <w:szCs w:val="40"/>
        </w:rPr>
      </w:pPr>
    </w:p>
    <w:p w14:paraId="527300E9">
      <w:pPr>
        <w:pStyle w:val="14"/>
        <w:rPr>
          <w:b/>
          <w:bCs/>
          <w:sz w:val="32"/>
          <w:szCs w:val="40"/>
        </w:rPr>
      </w:pPr>
    </w:p>
    <w:p w14:paraId="6A9C14F7">
      <w:pPr>
        <w:pStyle w:val="14"/>
        <w:rPr>
          <w:b/>
          <w:bCs/>
          <w:sz w:val="32"/>
          <w:szCs w:val="40"/>
        </w:rPr>
      </w:pPr>
    </w:p>
    <w:p w14:paraId="46FF853D">
      <w:pPr>
        <w:pStyle w:val="14"/>
        <w:rPr>
          <w:b/>
          <w:bCs/>
          <w:sz w:val="32"/>
          <w:szCs w:val="40"/>
        </w:rPr>
      </w:pPr>
    </w:p>
    <w:p w14:paraId="29A9614C">
      <w:pPr>
        <w:pStyle w:val="14"/>
        <w:rPr>
          <w:b/>
          <w:bCs/>
          <w:sz w:val="32"/>
          <w:szCs w:val="40"/>
        </w:rPr>
      </w:pPr>
    </w:p>
    <w:p w14:paraId="6D59487B">
      <w:pPr>
        <w:pStyle w:val="14"/>
        <w:rPr>
          <w:b/>
          <w:bCs/>
          <w:sz w:val="32"/>
          <w:szCs w:val="40"/>
        </w:rPr>
      </w:pPr>
    </w:p>
    <w:p w14:paraId="481FDD29">
      <w:pPr>
        <w:pStyle w:val="14"/>
        <w:rPr>
          <w:b/>
          <w:bCs/>
          <w:sz w:val="32"/>
          <w:szCs w:val="40"/>
        </w:rPr>
      </w:pPr>
    </w:p>
    <w:p w14:paraId="48C712A4">
      <w:pPr>
        <w:pStyle w:val="14"/>
        <w:rPr>
          <w:b/>
          <w:bCs/>
          <w:sz w:val="32"/>
          <w:szCs w:val="40"/>
        </w:rPr>
      </w:pPr>
    </w:p>
    <w:p w14:paraId="39B8EBDF">
      <w:pPr>
        <w:pStyle w:val="14"/>
        <w:rPr>
          <w:b/>
          <w:bCs/>
          <w:sz w:val="32"/>
          <w:szCs w:val="40"/>
        </w:rPr>
      </w:pPr>
    </w:p>
    <w:p w14:paraId="784D308B">
      <w:pPr>
        <w:pStyle w:val="14"/>
        <w:rPr>
          <w:b/>
          <w:bCs/>
          <w:sz w:val="32"/>
          <w:szCs w:val="40"/>
        </w:rPr>
      </w:pPr>
    </w:p>
    <w:p w14:paraId="3D23AE72">
      <w:pPr>
        <w:pStyle w:val="14"/>
        <w:rPr>
          <w:b/>
          <w:bCs/>
          <w:sz w:val="32"/>
          <w:szCs w:val="40"/>
        </w:rPr>
      </w:pPr>
    </w:p>
    <w:p w14:paraId="44EBA7D5">
      <w:pPr>
        <w:adjustRightInd w:val="0"/>
        <w:snapToGrid w:val="0"/>
        <w:spacing w:line="360" w:lineRule="auto"/>
        <w:jc w:val="center"/>
        <w:outlineLvl w:val="0"/>
        <w:rPr>
          <w:rFonts w:ascii="宋体" w:hAnsi="宋体" w:cs="宋体"/>
          <w:b/>
          <w:bCs/>
          <w:sz w:val="32"/>
          <w:szCs w:val="32"/>
        </w:rPr>
      </w:pPr>
      <w:bookmarkStart w:id="31" w:name="_Toc29854"/>
      <w:r>
        <w:rPr>
          <w:rFonts w:hint="eastAsia" w:ascii="宋体" w:hAnsi="宋体" w:cs="宋体"/>
          <w:b/>
          <w:bCs/>
          <w:sz w:val="32"/>
          <w:szCs w:val="32"/>
        </w:rPr>
        <w:t>第三章 评审办法</w:t>
      </w:r>
      <w:bookmarkEnd w:id="31"/>
    </w:p>
    <w:p w14:paraId="45DB829E">
      <w:pPr>
        <w:adjustRightInd w:val="0"/>
        <w:snapToGrid w:val="0"/>
        <w:spacing w:line="360" w:lineRule="auto"/>
        <w:ind w:firstLine="482" w:firstLineChars="200"/>
        <w:jc w:val="left"/>
        <w:outlineLvl w:val="0"/>
        <w:rPr>
          <w:rFonts w:ascii="宋体" w:hAnsi="宋体"/>
          <w:b/>
          <w:bCs/>
          <w:kern w:val="0"/>
          <w:sz w:val="24"/>
          <w:szCs w:val="21"/>
        </w:rPr>
      </w:pPr>
      <w:bookmarkStart w:id="32" w:name="_Toc173946082"/>
      <w:bookmarkEnd w:id="32"/>
      <w:bookmarkStart w:id="33" w:name="_Toc173946417"/>
      <w:bookmarkEnd w:id="33"/>
      <w:bookmarkStart w:id="34" w:name="_Toc171002592"/>
      <w:bookmarkEnd w:id="34"/>
      <w:bookmarkStart w:id="35" w:name="_Toc171410859"/>
      <w:bookmarkEnd w:id="35"/>
      <w:bookmarkStart w:id="36" w:name="_Toc140161801"/>
      <w:bookmarkEnd w:id="36"/>
      <w:bookmarkStart w:id="37" w:name="_Toc141871101"/>
      <w:bookmarkEnd w:id="37"/>
      <w:bookmarkStart w:id="38" w:name="_Toc119657659"/>
      <w:bookmarkEnd w:id="38"/>
      <w:bookmarkStart w:id="39" w:name="_Toc174034450"/>
      <w:bookmarkEnd w:id="39"/>
      <w:bookmarkStart w:id="40" w:name="_Toc13307"/>
      <w:bookmarkStart w:id="41" w:name="_Toc28737"/>
      <w:bookmarkStart w:id="42" w:name="_Toc15097"/>
      <w:r>
        <w:rPr>
          <w:rFonts w:hint="eastAsia" w:ascii="宋体" w:hAnsi="宋体"/>
          <w:b/>
          <w:bCs/>
          <w:kern w:val="0"/>
          <w:sz w:val="24"/>
          <w:szCs w:val="21"/>
        </w:rPr>
        <w:t>一、磋商办法前附表</w:t>
      </w:r>
      <w:bookmarkEnd w:id="40"/>
      <w:bookmarkEnd w:id="41"/>
      <w:bookmarkEnd w:id="42"/>
    </w:p>
    <w:tbl>
      <w:tblPr>
        <w:tblStyle w:val="21"/>
        <w:tblpPr w:leftFromText="180" w:rightFromText="180" w:vertAnchor="text" w:horzAnchor="page" w:tblpX="1186" w:tblpY="377"/>
        <w:tblOverlap w:val="never"/>
        <w:tblW w:w="9445" w:type="dxa"/>
        <w:tblInd w:w="0" w:type="dxa"/>
        <w:tblLayout w:type="fixed"/>
        <w:tblCellMar>
          <w:top w:w="0" w:type="dxa"/>
          <w:left w:w="108" w:type="dxa"/>
          <w:bottom w:w="0" w:type="dxa"/>
          <w:right w:w="108" w:type="dxa"/>
        </w:tblCellMar>
      </w:tblPr>
      <w:tblGrid>
        <w:gridCol w:w="508"/>
        <w:gridCol w:w="868"/>
        <w:gridCol w:w="2271"/>
        <w:gridCol w:w="5798"/>
      </w:tblGrid>
      <w:tr w14:paraId="25E34402">
        <w:tblPrEx>
          <w:tblCellMar>
            <w:top w:w="0" w:type="dxa"/>
            <w:left w:w="108" w:type="dxa"/>
            <w:bottom w:w="0" w:type="dxa"/>
            <w:right w:w="108" w:type="dxa"/>
          </w:tblCellMar>
        </w:tblPrEx>
        <w:trPr>
          <w:trHeight w:val="500" w:hRule="atLeast"/>
        </w:trPr>
        <w:tc>
          <w:tcPr>
            <w:tcW w:w="1376" w:type="dxa"/>
            <w:gridSpan w:val="2"/>
            <w:tcBorders>
              <w:top w:val="single" w:color="auto" w:sz="4" w:space="0"/>
              <w:left w:val="single" w:color="auto" w:sz="4" w:space="0"/>
              <w:bottom w:val="single" w:color="auto" w:sz="4" w:space="0"/>
              <w:right w:val="single" w:color="auto" w:sz="4" w:space="0"/>
            </w:tcBorders>
            <w:vAlign w:val="center"/>
          </w:tcPr>
          <w:p w14:paraId="0EFF1BFB">
            <w:pPr>
              <w:spacing w:line="600" w:lineRule="exact"/>
              <w:jc w:val="center"/>
              <w:rPr>
                <w:rFonts w:ascii="宋体" w:hAnsi="宋体" w:cs="宋体"/>
                <w:sz w:val="22"/>
                <w:szCs w:val="22"/>
              </w:rPr>
            </w:pPr>
            <w:r>
              <w:rPr>
                <w:rFonts w:ascii="宋体" w:hAnsi="宋体" w:cs="宋体"/>
                <w:sz w:val="22"/>
                <w:szCs w:val="22"/>
              </w:rPr>
              <w:t>初步评审</w:t>
            </w:r>
          </w:p>
        </w:tc>
        <w:tc>
          <w:tcPr>
            <w:tcW w:w="2271" w:type="dxa"/>
            <w:tcBorders>
              <w:top w:val="single" w:color="auto" w:sz="4" w:space="0"/>
              <w:left w:val="nil"/>
              <w:bottom w:val="single" w:color="auto" w:sz="4" w:space="0"/>
              <w:right w:val="single" w:color="auto" w:sz="4" w:space="0"/>
            </w:tcBorders>
            <w:vAlign w:val="center"/>
          </w:tcPr>
          <w:p w14:paraId="513D1953">
            <w:pPr>
              <w:spacing w:line="600" w:lineRule="exact"/>
              <w:jc w:val="center"/>
              <w:rPr>
                <w:rFonts w:ascii="宋体" w:hAnsi="宋体" w:cs="宋体"/>
                <w:sz w:val="22"/>
                <w:szCs w:val="22"/>
              </w:rPr>
            </w:pPr>
            <w:r>
              <w:rPr>
                <w:rFonts w:ascii="宋体" w:hAnsi="宋体" w:cs="宋体"/>
                <w:sz w:val="22"/>
                <w:szCs w:val="22"/>
              </w:rPr>
              <w:t>评审因素</w:t>
            </w:r>
          </w:p>
        </w:tc>
        <w:tc>
          <w:tcPr>
            <w:tcW w:w="5798" w:type="dxa"/>
            <w:tcBorders>
              <w:top w:val="single" w:color="auto" w:sz="4" w:space="0"/>
              <w:left w:val="nil"/>
              <w:bottom w:val="single" w:color="auto" w:sz="4" w:space="0"/>
              <w:right w:val="single" w:color="auto" w:sz="4" w:space="0"/>
            </w:tcBorders>
            <w:vAlign w:val="center"/>
          </w:tcPr>
          <w:p w14:paraId="1A79F4EA">
            <w:pPr>
              <w:spacing w:line="600" w:lineRule="exact"/>
              <w:jc w:val="center"/>
              <w:rPr>
                <w:rFonts w:ascii="宋体" w:hAnsi="宋体" w:cs="宋体"/>
                <w:sz w:val="22"/>
                <w:szCs w:val="22"/>
              </w:rPr>
            </w:pPr>
            <w:r>
              <w:rPr>
                <w:rFonts w:ascii="宋体" w:hAnsi="宋体" w:cs="宋体"/>
                <w:sz w:val="22"/>
                <w:szCs w:val="22"/>
              </w:rPr>
              <w:t>评审标准</w:t>
            </w:r>
          </w:p>
        </w:tc>
      </w:tr>
      <w:tr w14:paraId="2E5D89C2">
        <w:tblPrEx>
          <w:tblCellMar>
            <w:top w:w="0" w:type="dxa"/>
            <w:left w:w="108" w:type="dxa"/>
            <w:bottom w:w="0" w:type="dxa"/>
            <w:right w:w="108" w:type="dxa"/>
          </w:tblCellMar>
        </w:tblPrEx>
        <w:trPr>
          <w:trHeight w:val="500" w:hRule="atLeast"/>
        </w:trPr>
        <w:tc>
          <w:tcPr>
            <w:tcW w:w="508" w:type="dxa"/>
            <w:vMerge w:val="restart"/>
            <w:tcBorders>
              <w:top w:val="nil"/>
              <w:left w:val="single" w:color="auto" w:sz="4" w:space="0"/>
              <w:right w:val="single" w:color="auto" w:sz="4" w:space="0"/>
            </w:tcBorders>
            <w:vAlign w:val="center"/>
          </w:tcPr>
          <w:p w14:paraId="34BAE84D">
            <w:pPr>
              <w:spacing w:line="600" w:lineRule="exact"/>
              <w:jc w:val="center"/>
              <w:rPr>
                <w:rFonts w:ascii="宋体" w:hAnsi="宋体" w:cs="宋体"/>
                <w:sz w:val="22"/>
                <w:szCs w:val="22"/>
              </w:rPr>
            </w:pPr>
            <w:r>
              <w:rPr>
                <w:rFonts w:hint="eastAsia" w:ascii="宋体" w:hAnsi="宋体" w:cs="宋体"/>
                <w:sz w:val="22"/>
                <w:szCs w:val="22"/>
              </w:rPr>
              <w:t>1</w:t>
            </w:r>
          </w:p>
        </w:tc>
        <w:tc>
          <w:tcPr>
            <w:tcW w:w="868" w:type="dxa"/>
            <w:vMerge w:val="restart"/>
            <w:tcBorders>
              <w:top w:val="nil"/>
              <w:left w:val="nil"/>
              <w:right w:val="single" w:color="auto" w:sz="4" w:space="0"/>
            </w:tcBorders>
            <w:vAlign w:val="center"/>
          </w:tcPr>
          <w:p w14:paraId="69AFACD4">
            <w:pPr>
              <w:spacing w:line="600" w:lineRule="exact"/>
              <w:rPr>
                <w:rFonts w:ascii="宋体" w:hAnsi="宋体" w:cs="宋体"/>
                <w:sz w:val="22"/>
                <w:szCs w:val="22"/>
              </w:rPr>
            </w:pPr>
            <w:r>
              <w:rPr>
                <w:rFonts w:hint="eastAsia" w:ascii="宋体" w:hAnsi="宋体" w:cs="宋体"/>
                <w:sz w:val="22"/>
                <w:szCs w:val="22"/>
              </w:rPr>
              <w:t>符合性评审标准</w:t>
            </w:r>
          </w:p>
        </w:tc>
        <w:tc>
          <w:tcPr>
            <w:tcW w:w="2271" w:type="dxa"/>
            <w:tcBorders>
              <w:top w:val="single" w:color="auto" w:sz="4" w:space="0"/>
              <w:left w:val="nil"/>
              <w:bottom w:val="single" w:color="auto" w:sz="4" w:space="0"/>
              <w:right w:val="single" w:color="auto" w:sz="4" w:space="0"/>
            </w:tcBorders>
            <w:vAlign w:val="center"/>
          </w:tcPr>
          <w:p w14:paraId="69534FE8">
            <w:pPr>
              <w:adjustRightInd w:val="0"/>
              <w:snapToGrid w:val="0"/>
              <w:spacing w:line="360" w:lineRule="exact"/>
              <w:jc w:val="center"/>
              <w:outlineLvl w:val="0"/>
              <w:rPr>
                <w:rFonts w:ascii="宋体" w:hAnsi="宋体" w:cs="宋体"/>
                <w:bCs/>
                <w:color w:val="000000"/>
                <w:kern w:val="44"/>
                <w:sz w:val="22"/>
                <w:szCs w:val="22"/>
              </w:rPr>
            </w:pPr>
            <w:bookmarkStart w:id="43" w:name="_Toc18300"/>
            <w:bookmarkEnd w:id="43"/>
            <w:bookmarkStart w:id="44" w:name="_Toc173946418"/>
            <w:bookmarkEnd w:id="44"/>
            <w:bookmarkStart w:id="45" w:name="_Toc173946083"/>
            <w:bookmarkEnd w:id="45"/>
            <w:bookmarkStart w:id="46" w:name="_Toc174034451"/>
            <w:bookmarkEnd w:id="46"/>
            <w:bookmarkStart w:id="47" w:name="_Toc17718"/>
            <w:bookmarkEnd w:id="47"/>
            <w:bookmarkStart w:id="48" w:name="_Toc116401571"/>
            <w:bookmarkEnd w:id="48"/>
            <w:bookmarkStart w:id="49" w:name="_Toc791"/>
            <w:bookmarkEnd w:id="49"/>
            <w:bookmarkStart w:id="50" w:name="_Toc30852"/>
            <w:bookmarkEnd w:id="50"/>
            <w:bookmarkStart w:id="51" w:name="_Toc23926"/>
            <w:bookmarkEnd w:id="51"/>
            <w:bookmarkStart w:id="52" w:name="_Toc144801275"/>
            <w:bookmarkEnd w:id="52"/>
            <w:bookmarkStart w:id="53" w:name="_Toc1467"/>
            <w:bookmarkStart w:id="54" w:name="_Toc26959"/>
            <w:bookmarkStart w:id="55" w:name="_Toc13906"/>
            <w:r>
              <w:rPr>
                <w:rFonts w:hint="eastAsia" w:ascii="宋体" w:hAnsi="宋体" w:cs="宋体"/>
                <w:bCs/>
                <w:color w:val="000000"/>
                <w:kern w:val="44"/>
                <w:sz w:val="22"/>
                <w:szCs w:val="22"/>
              </w:rPr>
              <w:t>供应商名称</w:t>
            </w:r>
            <w:bookmarkEnd w:id="53"/>
            <w:bookmarkEnd w:id="54"/>
            <w:bookmarkEnd w:id="55"/>
          </w:p>
        </w:tc>
        <w:tc>
          <w:tcPr>
            <w:tcW w:w="5798" w:type="dxa"/>
            <w:tcBorders>
              <w:top w:val="single" w:color="auto" w:sz="4" w:space="0"/>
              <w:left w:val="nil"/>
              <w:bottom w:val="single" w:color="auto" w:sz="4" w:space="0"/>
              <w:right w:val="single" w:color="auto" w:sz="4" w:space="0"/>
            </w:tcBorders>
            <w:vAlign w:val="center"/>
          </w:tcPr>
          <w:p w14:paraId="53B20975">
            <w:pPr>
              <w:spacing w:line="300" w:lineRule="exact"/>
              <w:rPr>
                <w:rFonts w:ascii="宋体" w:hAnsi="宋体"/>
                <w:sz w:val="22"/>
                <w:szCs w:val="22"/>
              </w:rPr>
            </w:pPr>
            <w:r>
              <w:rPr>
                <w:rFonts w:hint="eastAsia" w:ascii="宋体" w:hAnsi="宋体"/>
                <w:sz w:val="22"/>
                <w:szCs w:val="22"/>
              </w:rPr>
              <w:t>与营业执照一致</w:t>
            </w:r>
          </w:p>
        </w:tc>
      </w:tr>
      <w:tr w14:paraId="5703E7A9">
        <w:tblPrEx>
          <w:tblCellMar>
            <w:top w:w="0" w:type="dxa"/>
            <w:left w:w="108" w:type="dxa"/>
            <w:bottom w:w="0" w:type="dxa"/>
            <w:right w:w="108" w:type="dxa"/>
          </w:tblCellMar>
        </w:tblPrEx>
        <w:trPr>
          <w:trHeight w:val="1448" w:hRule="atLeast"/>
        </w:trPr>
        <w:tc>
          <w:tcPr>
            <w:tcW w:w="508" w:type="dxa"/>
            <w:vMerge w:val="continue"/>
            <w:tcBorders>
              <w:left w:val="single" w:color="auto" w:sz="4" w:space="0"/>
              <w:right w:val="single" w:color="auto" w:sz="4" w:space="0"/>
            </w:tcBorders>
            <w:vAlign w:val="center"/>
          </w:tcPr>
          <w:p w14:paraId="5E5742F0">
            <w:pPr>
              <w:spacing w:line="600" w:lineRule="exact"/>
              <w:jc w:val="center"/>
              <w:rPr>
                <w:rFonts w:ascii="宋体" w:hAnsi="宋体" w:cs="宋体"/>
                <w:sz w:val="22"/>
                <w:szCs w:val="22"/>
              </w:rPr>
            </w:pPr>
          </w:p>
        </w:tc>
        <w:tc>
          <w:tcPr>
            <w:tcW w:w="868" w:type="dxa"/>
            <w:vMerge w:val="continue"/>
            <w:tcBorders>
              <w:left w:val="nil"/>
              <w:right w:val="single" w:color="auto" w:sz="4" w:space="0"/>
            </w:tcBorders>
            <w:vAlign w:val="center"/>
          </w:tcPr>
          <w:p w14:paraId="50BB8C69">
            <w:pPr>
              <w:spacing w:line="600" w:lineRule="exact"/>
              <w:rPr>
                <w:rFonts w:ascii="宋体" w:hAnsi="宋体" w:cs="宋体"/>
                <w:sz w:val="22"/>
                <w:szCs w:val="22"/>
              </w:rPr>
            </w:pPr>
          </w:p>
        </w:tc>
        <w:tc>
          <w:tcPr>
            <w:tcW w:w="2271" w:type="dxa"/>
            <w:tcBorders>
              <w:top w:val="single" w:color="auto" w:sz="4" w:space="0"/>
              <w:left w:val="nil"/>
              <w:bottom w:val="single" w:color="auto" w:sz="4" w:space="0"/>
              <w:right w:val="single" w:color="auto" w:sz="4" w:space="0"/>
            </w:tcBorders>
            <w:vAlign w:val="center"/>
          </w:tcPr>
          <w:p w14:paraId="4DB42FDA">
            <w:pPr>
              <w:widowControl/>
              <w:spacing w:line="360" w:lineRule="auto"/>
              <w:jc w:val="center"/>
              <w:rPr>
                <w:rFonts w:ascii="宋体" w:hAnsi="宋体"/>
                <w:sz w:val="22"/>
                <w:szCs w:val="20"/>
              </w:rPr>
            </w:pPr>
            <w:r>
              <w:rPr>
                <w:rFonts w:hint="eastAsia" w:ascii="宋体" w:hAnsi="宋体" w:cs="宋体"/>
                <w:color w:val="000000"/>
                <w:kern w:val="0"/>
                <w:sz w:val="22"/>
                <w:szCs w:val="22"/>
              </w:rPr>
              <w:t>响应文件签字盖章</w:t>
            </w:r>
          </w:p>
        </w:tc>
        <w:tc>
          <w:tcPr>
            <w:tcW w:w="5798" w:type="dxa"/>
            <w:tcBorders>
              <w:top w:val="single" w:color="auto" w:sz="4" w:space="0"/>
              <w:left w:val="nil"/>
              <w:bottom w:val="single" w:color="auto" w:sz="4" w:space="0"/>
              <w:right w:val="single" w:color="auto" w:sz="4" w:space="0"/>
            </w:tcBorders>
            <w:vAlign w:val="center"/>
          </w:tcPr>
          <w:p w14:paraId="67CC9330">
            <w:pPr>
              <w:spacing w:line="300" w:lineRule="exact"/>
              <w:rPr>
                <w:rFonts w:ascii="宋体" w:hAnsi="宋体"/>
                <w:sz w:val="22"/>
                <w:szCs w:val="22"/>
              </w:rPr>
            </w:pPr>
            <w:r>
              <w:rPr>
                <w:rFonts w:hint="eastAsia" w:ascii="宋体" w:hAnsi="宋体"/>
                <w:sz w:val="22"/>
                <w:szCs w:val="22"/>
              </w:rPr>
              <w:t>符合竞争性磋商文件要求的签字、盖章（竞争性磋商文件中要求供应商盖章的，以签盖单位章为准；要求法定代表人或委托代理人签章的，以签盖法定代表人签章为准）</w:t>
            </w:r>
          </w:p>
        </w:tc>
      </w:tr>
      <w:tr w14:paraId="7296E1A6">
        <w:tblPrEx>
          <w:tblCellMar>
            <w:top w:w="0" w:type="dxa"/>
            <w:left w:w="108" w:type="dxa"/>
            <w:bottom w:w="0" w:type="dxa"/>
            <w:right w:w="108" w:type="dxa"/>
          </w:tblCellMar>
        </w:tblPrEx>
        <w:trPr>
          <w:trHeight w:val="500" w:hRule="atLeast"/>
        </w:trPr>
        <w:tc>
          <w:tcPr>
            <w:tcW w:w="508" w:type="dxa"/>
            <w:vMerge w:val="continue"/>
            <w:tcBorders>
              <w:left w:val="single" w:color="auto" w:sz="4" w:space="0"/>
              <w:bottom w:val="single" w:color="auto" w:sz="4" w:space="0"/>
              <w:right w:val="single" w:color="auto" w:sz="4" w:space="0"/>
            </w:tcBorders>
            <w:vAlign w:val="center"/>
          </w:tcPr>
          <w:p w14:paraId="5B23F64D">
            <w:pPr>
              <w:spacing w:line="600" w:lineRule="exact"/>
              <w:rPr>
                <w:rFonts w:ascii="宋体" w:hAnsi="宋体" w:cs="宋体"/>
                <w:sz w:val="22"/>
                <w:szCs w:val="22"/>
              </w:rPr>
            </w:pPr>
          </w:p>
        </w:tc>
        <w:tc>
          <w:tcPr>
            <w:tcW w:w="868" w:type="dxa"/>
            <w:vMerge w:val="continue"/>
            <w:tcBorders>
              <w:left w:val="nil"/>
              <w:bottom w:val="single" w:color="auto" w:sz="4" w:space="0"/>
              <w:right w:val="single" w:color="auto" w:sz="4" w:space="0"/>
            </w:tcBorders>
            <w:vAlign w:val="center"/>
          </w:tcPr>
          <w:p w14:paraId="41C48D2A">
            <w:pPr>
              <w:spacing w:line="600" w:lineRule="exact"/>
              <w:rPr>
                <w:rFonts w:ascii="宋体" w:hAnsi="宋体" w:cs="宋体"/>
                <w:sz w:val="22"/>
                <w:szCs w:val="22"/>
              </w:rPr>
            </w:pPr>
          </w:p>
        </w:tc>
        <w:tc>
          <w:tcPr>
            <w:tcW w:w="2271" w:type="dxa"/>
            <w:tcBorders>
              <w:top w:val="single" w:color="auto" w:sz="4" w:space="0"/>
              <w:left w:val="nil"/>
              <w:bottom w:val="single" w:color="auto" w:sz="4" w:space="0"/>
              <w:right w:val="single" w:color="auto" w:sz="4" w:space="0"/>
            </w:tcBorders>
            <w:vAlign w:val="center"/>
          </w:tcPr>
          <w:p w14:paraId="0347CEE7">
            <w:pPr>
              <w:adjustRightInd w:val="0"/>
              <w:snapToGrid w:val="0"/>
              <w:spacing w:line="360" w:lineRule="exact"/>
              <w:jc w:val="center"/>
              <w:outlineLvl w:val="0"/>
              <w:rPr>
                <w:rFonts w:ascii="宋体" w:hAnsi="宋体" w:cs="宋体"/>
                <w:bCs/>
                <w:color w:val="000000"/>
                <w:kern w:val="44"/>
                <w:sz w:val="22"/>
                <w:szCs w:val="22"/>
              </w:rPr>
            </w:pPr>
            <w:bookmarkStart w:id="56" w:name="_Toc10195"/>
            <w:bookmarkEnd w:id="56"/>
            <w:bookmarkStart w:id="57" w:name="_Toc174034452"/>
            <w:bookmarkEnd w:id="57"/>
            <w:bookmarkStart w:id="58" w:name="_Toc7718"/>
            <w:bookmarkEnd w:id="58"/>
            <w:bookmarkStart w:id="59" w:name="_Toc173946084"/>
            <w:bookmarkEnd w:id="59"/>
            <w:bookmarkStart w:id="60" w:name="_Toc173946419"/>
            <w:bookmarkEnd w:id="60"/>
            <w:bookmarkStart w:id="61" w:name="_Toc13253"/>
            <w:bookmarkEnd w:id="61"/>
            <w:bookmarkStart w:id="62" w:name="_Toc116401574"/>
            <w:bookmarkEnd w:id="62"/>
            <w:bookmarkStart w:id="63" w:name="_Toc11444"/>
            <w:bookmarkEnd w:id="63"/>
            <w:bookmarkStart w:id="64" w:name="_Toc144801278"/>
            <w:bookmarkEnd w:id="64"/>
            <w:bookmarkStart w:id="65" w:name="_Toc27302"/>
            <w:bookmarkStart w:id="66" w:name="_Toc21853"/>
            <w:bookmarkStart w:id="67" w:name="_Toc9826"/>
            <w:r>
              <w:rPr>
                <w:rFonts w:hint="eastAsia" w:ascii="宋体" w:hAnsi="宋体" w:cs="宋体"/>
                <w:bCs/>
                <w:color w:val="000000"/>
                <w:kern w:val="44"/>
                <w:sz w:val="22"/>
                <w:szCs w:val="22"/>
              </w:rPr>
              <w:t>响应文件格式</w:t>
            </w:r>
            <w:bookmarkEnd w:id="65"/>
            <w:bookmarkEnd w:id="66"/>
            <w:bookmarkEnd w:id="67"/>
          </w:p>
        </w:tc>
        <w:tc>
          <w:tcPr>
            <w:tcW w:w="5798" w:type="dxa"/>
            <w:tcBorders>
              <w:top w:val="single" w:color="auto" w:sz="4" w:space="0"/>
              <w:left w:val="nil"/>
              <w:bottom w:val="single" w:color="auto" w:sz="4" w:space="0"/>
              <w:right w:val="single" w:color="auto" w:sz="4" w:space="0"/>
            </w:tcBorders>
            <w:vAlign w:val="center"/>
          </w:tcPr>
          <w:p w14:paraId="607DBE28">
            <w:pPr>
              <w:spacing w:line="300" w:lineRule="exact"/>
              <w:rPr>
                <w:rFonts w:ascii="宋体" w:hAnsi="宋体"/>
                <w:sz w:val="22"/>
                <w:szCs w:val="22"/>
              </w:rPr>
            </w:pPr>
            <w:bookmarkStart w:id="68" w:name="_Toc2616"/>
            <w:bookmarkEnd w:id="68"/>
            <w:bookmarkStart w:id="69" w:name="_Toc31346"/>
            <w:bookmarkEnd w:id="69"/>
            <w:bookmarkStart w:id="70" w:name="_Toc116401575"/>
            <w:bookmarkEnd w:id="70"/>
            <w:bookmarkStart w:id="71" w:name="_Toc144801279"/>
            <w:bookmarkEnd w:id="71"/>
            <w:bookmarkStart w:id="72" w:name="_Toc100"/>
            <w:bookmarkEnd w:id="72"/>
            <w:bookmarkStart w:id="73" w:name="_Toc6786"/>
            <w:bookmarkEnd w:id="73"/>
            <w:bookmarkStart w:id="74" w:name="_Toc7239"/>
            <w:bookmarkEnd w:id="74"/>
            <w:r>
              <w:rPr>
                <w:rFonts w:hint="eastAsia" w:ascii="宋体" w:hAnsi="宋体" w:cs="宋体"/>
                <w:bCs/>
                <w:color w:val="000000"/>
                <w:kern w:val="44"/>
                <w:sz w:val="22"/>
                <w:szCs w:val="22"/>
              </w:rPr>
              <w:t>符合第六章“响应文件格式”要求</w:t>
            </w:r>
          </w:p>
        </w:tc>
      </w:tr>
      <w:tr w14:paraId="04275658">
        <w:tblPrEx>
          <w:tblCellMar>
            <w:top w:w="0" w:type="dxa"/>
            <w:left w:w="108" w:type="dxa"/>
            <w:bottom w:w="0" w:type="dxa"/>
            <w:right w:w="108" w:type="dxa"/>
          </w:tblCellMar>
        </w:tblPrEx>
        <w:trPr>
          <w:trHeight w:val="756" w:hRule="atLeast"/>
        </w:trPr>
        <w:tc>
          <w:tcPr>
            <w:tcW w:w="508" w:type="dxa"/>
            <w:vMerge w:val="restart"/>
            <w:tcBorders>
              <w:left w:val="single" w:color="auto" w:sz="4" w:space="0"/>
              <w:right w:val="single" w:color="auto" w:sz="4" w:space="0"/>
            </w:tcBorders>
            <w:vAlign w:val="center"/>
          </w:tcPr>
          <w:p w14:paraId="17191E70">
            <w:pPr>
              <w:spacing w:line="600" w:lineRule="exact"/>
              <w:rPr>
                <w:rFonts w:ascii="宋体" w:hAnsi="宋体" w:cs="宋体"/>
                <w:sz w:val="22"/>
                <w:szCs w:val="22"/>
              </w:rPr>
            </w:pPr>
            <w:r>
              <w:rPr>
                <w:rFonts w:hint="eastAsia" w:ascii="宋体" w:hAnsi="宋体" w:cs="宋体"/>
                <w:sz w:val="22"/>
                <w:szCs w:val="22"/>
              </w:rPr>
              <w:t>2</w:t>
            </w:r>
          </w:p>
        </w:tc>
        <w:tc>
          <w:tcPr>
            <w:tcW w:w="868" w:type="dxa"/>
            <w:vMerge w:val="restart"/>
            <w:tcBorders>
              <w:left w:val="nil"/>
              <w:right w:val="single" w:color="auto" w:sz="4" w:space="0"/>
            </w:tcBorders>
            <w:vAlign w:val="center"/>
          </w:tcPr>
          <w:p w14:paraId="5B6A641E">
            <w:pPr>
              <w:spacing w:line="600" w:lineRule="exact"/>
              <w:rPr>
                <w:rFonts w:ascii="宋体" w:hAnsi="宋体" w:cs="宋体"/>
                <w:sz w:val="22"/>
                <w:szCs w:val="22"/>
              </w:rPr>
            </w:pPr>
            <w:r>
              <w:rPr>
                <w:rFonts w:hint="eastAsia" w:ascii="宋体" w:hAnsi="宋体" w:cs="宋体"/>
                <w:sz w:val="22"/>
                <w:szCs w:val="22"/>
              </w:rPr>
              <w:t>资格性评审标准</w:t>
            </w:r>
          </w:p>
        </w:tc>
        <w:tc>
          <w:tcPr>
            <w:tcW w:w="2271" w:type="dxa"/>
            <w:tcBorders>
              <w:top w:val="single" w:color="auto" w:sz="4" w:space="0"/>
              <w:left w:val="nil"/>
              <w:right w:val="single" w:color="auto" w:sz="4" w:space="0"/>
            </w:tcBorders>
            <w:shd w:val="clear" w:color="auto" w:fill="auto"/>
            <w:vAlign w:val="center"/>
          </w:tcPr>
          <w:p w14:paraId="28F1C6BC">
            <w:pPr>
              <w:spacing w:line="240" w:lineRule="atLeast"/>
              <w:jc w:val="center"/>
              <w:rPr>
                <w:rFonts w:ascii="宋体" w:hAnsi="宋体" w:eastAsia="宋体" w:cs="MingLiU"/>
                <w:color w:val="000000" w:themeColor="text1"/>
                <w:sz w:val="22"/>
                <w:szCs w:val="22"/>
                <w14:textFill>
                  <w14:solidFill>
                    <w14:schemeClr w14:val="tx1"/>
                  </w14:solidFill>
                </w14:textFill>
              </w:rPr>
            </w:pPr>
            <w:r>
              <w:rPr>
                <w:rFonts w:hint="eastAsia" w:ascii="宋体" w:hAnsi="宋体" w:eastAsia="宋体" w:cs="MingLiU"/>
                <w:color w:val="000000" w:themeColor="text1"/>
                <w:sz w:val="22"/>
                <w:szCs w:val="22"/>
                <w14:textFill>
                  <w14:solidFill>
                    <w14:schemeClr w14:val="tx1"/>
                  </w14:solidFill>
                </w14:textFill>
              </w:rPr>
              <w:t>满足《中华人民共和国政府采购法》第二十二条规定</w:t>
            </w:r>
          </w:p>
        </w:tc>
        <w:tc>
          <w:tcPr>
            <w:tcW w:w="5798" w:type="dxa"/>
            <w:tcBorders>
              <w:top w:val="single" w:color="auto" w:sz="4" w:space="0"/>
              <w:left w:val="nil"/>
              <w:right w:val="single" w:color="auto" w:sz="4" w:space="0"/>
            </w:tcBorders>
            <w:shd w:val="clear" w:color="auto" w:fill="auto"/>
            <w:vAlign w:val="center"/>
          </w:tcPr>
          <w:p w14:paraId="45F01C24">
            <w:pPr>
              <w:spacing w:line="240" w:lineRule="atLeast"/>
              <w:ind w:firstLine="110" w:firstLineChars="50"/>
              <w:jc w:val="left"/>
              <w:rPr>
                <w:rFonts w:ascii="宋体" w:hAnsi="宋体" w:eastAsia="宋体" w:cs="Times New Roman"/>
                <w:color w:val="000000" w:themeColor="text1"/>
                <w:sz w:val="22"/>
                <w:szCs w:val="22"/>
                <w14:textFill>
                  <w14:solidFill>
                    <w14:schemeClr w14:val="tx1"/>
                  </w14:solidFill>
                </w14:textFill>
              </w:rPr>
            </w:pPr>
            <w:r>
              <w:rPr>
                <w:rFonts w:ascii="宋体" w:hAnsi="宋体" w:eastAsia="宋体" w:cs="Times New Roman"/>
                <w:color w:val="000000" w:themeColor="text1"/>
                <w:sz w:val="22"/>
                <w:szCs w:val="22"/>
                <w14:textFill>
                  <w14:solidFill>
                    <w14:schemeClr w14:val="tx1"/>
                  </w14:solidFill>
                </w14:textFill>
              </w:rPr>
              <w:t>满足《中华人民共和国政府采购法》第二十二条规定</w:t>
            </w:r>
            <w:r>
              <w:rPr>
                <w:rFonts w:hint="eastAsia" w:ascii="宋体" w:hAnsi="宋体" w:eastAsia="宋体" w:cs="Times New Roman"/>
                <w:color w:val="000000" w:themeColor="text1"/>
                <w:sz w:val="22"/>
                <w:szCs w:val="22"/>
                <w14:textFill>
                  <w14:solidFill>
                    <w14:schemeClr w14:val="tx1"/>
                  </w14:solidFill>
                </w14:textFill>
              </w:rPr>
              <w:t>，自行承诺</w:t>
            </w:r>
          </w:p>
        </w:tc>
      </w:tr>
      <w:tr w14:paraId="47AF3456">
        <w:tblPrEx>
          <w:tblCellMar>
            <w:top w:w="0" w:type="dxa"/>
            <w:left w:w="108" w:type="dxa"/>
            <w:bottom w:w="0" w:type="dxa"/>
            <w:right w:w="108" w:type="dxa"/>
          </w:tblCellMar>
        </w:tblPrEx>
        <w:trPr>
          <w:trHeight w:val="646" w:hRule="atLeast"/>
        </w:trPr>
        <w:tc>
          <w:tcPr>
            <w:tcW w:w="508" w:type="dxa"/>
            <w:vMerge w:val="continue"/>
            <w:tcBorders>
              <w:left w:val="single" w:color="auto" w:sz="4" w:space="0"/>
              <w:right w:val="single" w:color="auto" w:sz="4" w:space="0"/>
            </w:tcBorders>
            <w:vAlign w:val="center"/>
          </w:tcPr>
          <w:p w14:paraId="4D6ACC45">
            <w:pPr>
              <w:spacing w:line="600" w:lineRule="exact"/>
              <w:rPr>
                <w:rFonts w:ascii="宋体" w:hAnsi="宋体" w:cs="宋体"/>
                <w:sz w:val="22"/>
                <w:szCs w:val="22"/>
              </w:rPr>
            </w:pPr>
          </w:p>
        </w:tc>
        <w:tc>
          <w:tcPr>
            <w:tcW w:w="868" w:type="dxa"/>
            <w:vMerge w:val="continue"/>
            <w:tcBorders>
              <w:left w:val="nil"/>
              <w:right w:val="single" w:color="auto" w:sz="4" w:space="0"/>
            </w:tcBorders>
            <w:vAlign w:val="center"/>
          </w:tcPr>
          <w:p w14:paraId="1A2F9A55">
            <w:pPr>
              <w:spacing w:line="600" w:lineRule="exact"/>
              <w:rPr>
                <w:rFonts w:ascii="宋体" w:hAnsi="宋体" w:cs="宋体"/>
                <w:sz w:val="22"/>
                <w:szCs w:val="22"/>
              </w:rPr>
            </w:pPr>
          </w:p>
        </w:tc>
        <w:tc>
          <w:tcPr>
            <w:tcW w:w="2271" w:type="dxa"/>
            <w:tcBorders>
              <w:top w:val="single" w:color="auto" w:sz="4" w:space="0"/>
              <w:left w:val="nil"/>
              <w:right w:val="single" w:color="auto" w:sz="4" w:space="0"/>
            </w:tcBorders>
            <w:shd w:val="clear" w:color="auto" w:fill="auto"/>
            <w:vAlign w:val="center"/>
          </w:tcPr>
          <w:p w14:paraId="69AD6EA3">
            <w:pPr>
              <w:spacing w:line="240" w:lineRule="atLeast"/>
              <w:jc w:val="center"/>
              <w:rPr>
                <w:rFonts w:ascii="宋体" w:hAnsi="宋体" w:eastAsia="宋体" w:cs="Times New Roman"/>
                <w:color w:val="000000" w:themeColor="text1"/>
                <w:sz w:val="22"/>
                <w:szCs w:val="22"/>
                <w14:textFill>
                  <w14:solidFill>
                    <w14:schemeClr w14:val="tx1"/>
                  </w14:solidFill>
                </w14:textFill>
              </w:rPr>
            </w:pPr>
            <w:r>
              <w:rPr>
                <w:rFonts w:hint="eastAsia" w:ascii="宋体" w:hAnsi="宋体" w:cs="宋体"/>
                <w:sz w:val="22"/>
                <w:szCs w:val="22"/>
              </w:rPr>
              <w:t>中小企业声明函</w:t>
            </w:r>
          </w:p>
        </w:tc>
        <w:tc>
          <w:tcPr>
            <w:tcW w:w="5798" w:type="dxa"/>
            <w:tcBorders>
              <w:top w:val="single" w:color="auto" w:sz="4" w:space="0"/>
              <w:left w:val="nil"/>
              <w:right w:val="single" w:color="auto" w:sz="4" w:space="0"/>
            </w:tcBorders>
            <w:shd w:val="clear" w:color="auto" w:fill="auto"/>
            <w:vAlign w:val="center"/>
          </w:tcPr>
          <w:p w14:paraId="74B3A029">
            <w:pPr>
              <w:spacing w:line="240" w:lineRule="atLeast"/>
              <w:jc w:val="left"/>
              <w:rPr>
                <w:rFonts w:ascii="宋体" w:hAnsi="宋体" w:eastAsia="宋体" w:cs="Times New Roman"/>
                <w:color w:val="000000" w:themeColor="text1"/>
                <w:sz w:val="22"/>
                <w:szCs w:val="22"/>
                <w14:textFill>
                  <w14:solidFill>
                    <w14:schemeClr w14:val="tx1"/>
                  </w14:solidFill>
                </w14:textFill>
              </w:rPr>
            </w:pPr>
            <w:r>
              <w:rPr>
                <w:rFonts w:hint="eastAsia" w:ascii="宋体" w:hAnsi="宋体" w:eastAsia="宋体" w:cs="Times New Roman"/>
                <w:color w:val="000000" w:themeColor="text1"/>
                <w:sz w:val="22"/>
                <w:szCs w:val="22"/>
                <w14:textFill>
                  <w14:solidFill>
                    <w14:schemeClr w14:val="tx1"/>
                  </w14:solidFill>
                </w14:textFill>
              </w:rPr>
              <w:t>供应商须提供《中小企业声明函》</w:t>
            </w:r>
          </w:p>
        </w:tc>
      </w:tr>
      <w:tr w14:paraId="586E6763">
        <w:tblPrEx>
          <w:tblCellMar>
            <w:top w:w="0" w:type="dxa"/>
            <w:left w:w="108" w:type="dxa"/>
            <w:bottom w:w="0" w:type="dxa"/>
            <w:right w:w="108" w:type="dxa"/>
          </w:tblCellMar>
        </w:tblPrEx>
        <w:trPr>
          <w:trHeight w:val="661" w:hRule="atLeast"/>
        </w:trPr>
        <w:tc>
          <w:tcPr>
            <w:tcW w:w="508" w:type="dxa"/>
            <w:vMerge w:val="continue"/>
            <w:tcBorders>
              <w:left w:val="single" w:color="auto" w:sz="4" w:space="0"/>
              <w:right w:val="single" w:color="auto" w:sz="4" w:space="0"/>
            </w:tcBorders>
            <w:vAlign w:val="center"/>
          </w:tcPr>
          <w:p w14:paraId="691C60F3">
            <w:pPr>
              <w:spacing w:line="600" w:lineRule="exact"/>
              <w:rPr>
                <w:rFonts w:ascii="宋体" w:hAnsi="宋体" w:cs="宋体"/>
                <w:sz w:val="22"/>
                <w:szCs w:val="22"/>
              </w:rPr>
            </w:pPr>
          </w:p>
        </w:tc>
        <w:tc>
          <w:tcPr>
            <w:tcW w:w="868" w:type="dxa"/>
            <w:vMerge w:val="continue"/>
            <w:tcBorders>
              <w:left w:val="nil"/>
              <w:right w:val="single" w:color="auto" w:sz="4" w:space="0"/>
            </w:tcBorders>
            <w:vAlign w:val="center"/>
          </w:tcPr>
          <w:p w14:paraId="7729D22D">
            <w:pPr>
              <w:spacing w:line="600" w:lineRule="exact"/>
              <w:rPr>
                <w:rFonts w:ascii="宋体" w:hAnsi="宋体" w:cs="宋体"/>
                <w:sz w:val="22"/>
                <w:szCs w:val="22"/>
              </w:rPr>
            </w:pPr>
          </w:p>
        </w:tc>
        <w:tc>
          <w:tcPr>
            <w:tcW w:w="2271" w:type="dxa"/>
            <w:tcBorders>
              <w:top w:val="single" w:color="auto" w:sz="4" w:space="0"/>
              <w:left w:val="nil"/>
              <w:right w:val="single" w:color="auto" w:sz="4" w:space="0"/>
            </w:tcBorders>
            <w:shd w:val="clear" w:color="auto" w:fill="auto"/>
            <w:vAlign w:val="center"/>
          </w:tcPr>
          <w:p w14:paraId="46D5ABDB">
            <w:pPr>
              <w:spacing w:line="240" w:lineRule="atLeast"/>
              <w:jc w:val="center"/>
              <w:rPr>
                <w:rFonts w:ascii="宋体" w:hAnsi="宋体" w:eastAsia="宋体" w:cs="MingLiU"/>
                <w:color w:val="000000" w:themeColor="text1"/>
                <w:sz w:val="22"/>
                <w:szCs w:val="22"/>
                <w14:textFill>
                  <w14:solidFill>
                    <w14:schemeClr w14:val="tx1"/>
                  </w14:solidFill>
                </w14:textFill>
              </w:rPr>
            </w:pPr>
            <w:bookmarkStart w:id="75" w:name="_Toc13189"/>
            <w:bookmarkEnd w:id="75"/>
            <w:bookmarkStart w:id="76" w:name="_Toc144801283"/>
            <w:bookmarkEnd w:id="76"/>
            <w:bookmarkStart w:id="77" w:name="_Toc116401579"/>
            <w:bookmarkEnd w:id="77"/>
            <w:bookmarkStart w:id="78" w:name="_Toc15384"/>
            <w:bookmarkEnd w:id="78"/>
            <w:bookmarkStart w:id="79" w:name="_Toc13685"/>
            <w:bookmarkEnd w:id="79"/>
            <w:bookmarkStart w:id="80" w:name="_Toc19917"/>
            <w:bookmarkEnd w:id="80"/>
            <w:bookmarkStart w:id="81" w:name="_Toc26175"/>
            <w:bookmarkEnd w:id="81"/>
            <w:r>
              <w:rPr>
                <w:rFonts w:hint="eastAsia" w:ascii="宋体" w:hAnsi="宋体" w:eastAsia="宋体" w:cs="Times New Roman"/>
                <w:color w:val="000000" w:themeColor="text1"/>
                <w:sz w:val="22"/>
                <w:szCs w:val="22"/>
                <w14:textFill>
                  <w14:solidFill>
                    <w14:schemeClr w14:val="tx1"/>
                  </w14:solidFill>
                </w14:textFill>
              </w:rPr>
              <w:t>营业执照</w:t>
            </w:r>
          </w:p>
        </w:tc>
        <w:tc>
          <w:tcPr>
            <w:tcW w:w="5798" w:type="dxa"/>
            <w:tcBorders>
              <w:top w:val="single" w:color="auto" w:sz="4" w:space="0"/>
              <w:left w:val="nil"/>
              <w:right w:val="single" w:color="auto" w:sz="4" w:space="0"/>
            </w:tcBorders>
            <w:shd w:val="clear" w:color="auto" w:fill="auto"/>
            <w:vAlign w:val="center"/>
          </w:tcPr>
          <w:p w14:paraId="054E5FA8">
            <w:pPr>
              <w:spacing w:line="240" w:lineRule="atLeast"/>
              <w:jc w:val="left"/>
              <w:rPr>
                <w:rFonts w:ascii="宋体" w:hAnsi="宋体" w:eastAsia="宋体" w:cs="Times New Roman"/>
                <w:color w:val="000000" w:themeColor="text1"/>
                <w:sz w:val="22"/>
                <w:szCs w:val="22"/>
                <w14:textFill>
                  <w14:solidFill>
                    <w14:schemeClr w14:val="tx1"/>
                  </w14:solidFill>
                </w14:textFill>
              </w:rPr>
            </w:pPr>
            <w:bookmarkStart w:id="82" w:name="_Toc173946420"/>
            <w:bookmarkEnd w:id="82"/>
            <w:bookmarkStart w:id="83" w:name="_Toc173946085"/>
            <w:bookmarkEnd w:id="83"/>
            <w:bookmarkStart w:id="84" w:name="_Toc174034453"/>
            <w:bookmarkEnd w:id="84"/>
            <w:bookmarkStart w:id="85" w:name="_Toc17985"/>
            <w:bookmarkEnd w:id="85"/>
            <w:r>
              <w:rPr>
                <w:rFonts w:hint="eastAsia" w:ascii="宋体" w:hAnsi="宋体" w:eastAsia="宋体" w:cs="Times New Roman"/>
                <w:color w:val="000000" w:themeColor="text1"/>
                <w:sz w:val="22"/>
                <w:szCs w:val="22"/>
                <w14:textFill>
                  <w14:solidFill>
                    <w14:schemeClr w14:val="tx1"/>
                  </w14:solidFill>
                </w14:textFill>
              </w:rPr>
              <w:t>供应商具有独立法人资格，并具有有效的营业执照</w:t>
            </w:r>
          </w:p>
        </w:tc>
      </w:tr>
      <w:tr w14:paraId="4F4CDC51">
        <w:tblPrEx>
          <w:tblCellMar>
            <w:top w:w="0" w:type="dxa"/>
            <w:left w:w="108" w:type="dxa"/>
            <w:bottom w:w="0" w:type="dxa"/>
            <w:right w:w="108" w:type="dxa"/>
          </w:tblCellMar>
        </w:tblPrEx>
        <w:trPr>
          <w:trHeight w:val="642" w:hRule="atLeast"/>
        </w:trPr>
        <w:tc>
          <w:tcPr>
            <w:tcW w:w="508" w:type="dxa"/>
            <w:vMerge w:val="continue"/>
            <w:tcBorders>
              <w:left w:val="single" w:color="auto" w:sz="4" w:space="0"/>
              <w:right w:val="single" w:color="auto" w:sz="4" w:space="0"/>
            </w:tcBorders>
            <w:vAlign w:val="center"/>
          </w:tcPr>
          <w:p w14:paraId="1C663FA3">
            <w:pPr>
              <w:spacing w:line="600" w:lineRule="exact"/>
              <w:rPr>
                <w:rFonts w:ascii="宋体" w:hAnsi="宋体" w:cs="宋体"/>
                <w:sz w:val="22"/>
                <w:szCs w:val="22"/>
              </w:rPr>
            </w:pPr>
          </w:p>
        </w:tc>
        <w:tc>
          <w:tcPr>
            <w:tcW w:w="868" w:type="dxa"/>
            <w:vMerge w:val="continue"/>
            <w:tcBorders>
              <w:left w:val="nil"/>
              <w:right w:val="single" w:color="auto" w:sz="4" w:space="0"/>
            </w:tcBorders>
            <w:vAlign w:val="center"/>
          </w:tcPr>
          <w:p w14:paraId="59B795D0">
            <w:pPr>
              <w:spacing w:line="600" w:lineRule="exact"/>
              <w:rPr>
                <w:rFonts w:ascii="宋体" w:hAnsi="宋体" w:cs="宋体"/>
                <w:sz w:val="22"/>
                <w:szCs w:val="22"/>
              </w:rPr>
            </w:pPr>
          </w:p>
        </w:tc>
        <w:tc>
          <w:tcPr>
            <w:tcW w:w="2271" w:type="dxa"/>
            <w:tcBorders>
              <w:top w:val="single" w:color="auto" w:sz="4" w:space="0"/>
              <w:left w:val="nil"/>
              <w:right w:val="single" w:color="auto" w:sz="4" w:space="0"/>
            </w:tcBorders>
            <w:vAlign w:val="center"/>
          </w:tcPr>
          <w:p w14:paraId="732A6C73">
            <w:pPr>
              <w:jc w:val="center"/>
              <w:rPr>
                <w:rFonts w:ascii="宋体" w:hAnsi="宋体" w:eastAsia="宋体" w:cs="宋体"/>
                <w:sz w:val="22"/>
                <w:szCs w:val="22"/>
              </w:rPr>
            </w:pPr>
            <w:r>
              <w:rPr>
                <w:rFonts w:hint="eastAsia" w:ascii="宋体" w:hAnsi="宋体" w:cs="宋体"/>
                <w:sz w:val="22"/>
                <w:szCs w:val="22"/>
              </w:rPr>
              <w:t>资质证书</w:t>
            </w:r>
          </w:p>
        </w:tc>
        <w:tc>
          <w:tcPr>
            <w:tcW w:w="5798" w:type="dxa"/>
            <w:tcBorders>
              <w:top w:val="single" w:color="auto" w:sz="4" w:space="0"/>
              <w:left w:val="nil"/>
              <w:right w:val="single" w:color="auto" w:sz="4" w:space="0"/>
            </w:tcBorders>
            <w:vAlign w:val="center"/>
          </w:tcPr>
          <w:p w14:paraId="6FC4832D">
            <w:pPr>
              <w:adjustRightInd w:val="0"/>
              <w:snapToGrid w:val="0"/>
              <w:spacing w:line="360" w:lineRule="exact"/>
              <w:outlineLvl w:val="0"/>
              <w:rPr>
                <w:rFonts w:ascii="宋体" w:hAnsi="宋体" w:cs="宋体"/>
                <w:sz w:val="22"/>
                <w:szCs w:val="22"/>
              </w:rPr>
            </w:pPr>
            <w:r>
              <w:rPr>
                <w:rFonts w:hint="eastAsia" w:ascii="宋体" w:hAnsi="宋体" w:cs="宋体"/>
                <w:sz w:val="22"/>
                <w:szCs w:val="22"/>
              </w:rPr>
              <w:t>供应商为生产企业的须具有食品生产许可证；</w:t>
            </w:r>
            <w:r>
              <w:rPr>
                <w:rFonts w:hint="eastAsia" w:ascii="宋体" w:hAnsi="宋体" w:cs="宋体"/>
                <w:sz w:val="22"/>
                <w:szCs w:val="22"/>
                <w:lang w:val="en-US" w:eastAsia="zh-CN"/>
              </w:rPr>
              <w:t>供应商</w:t>
            </w:r>
            <w:r>
              <w:rPr>
                <w:rFonts w:hint="eastAsia" w:ascii="宋体" w:hAnsi="宋体" w:cs="宋体"/>
                <w:sz w:val="22"/>
                <w:szCs w:val="22"/>
              </w:rPr>
              <w:t>为经销商的须具有国家相关部门批准的食品经营许可证</w:t>
            </w:r>
          </w:p>
        </w:tc>
      </w:tr>
      <w:tr w14:paraId="2B0FA21C">
        <w:tblPrEx>
          <w:tblCellMar>
            <w:top w:w="0" w:type="dxa"/>
            <w:left w:w="108" w:type="dxa"/>
            <w:bottom w:w="0" w:type="dxa"/>
            <w:right w:w="108" w:type="dxa"/>
          </w:tblCellMar>
        </w:tblPrEx>
        <w:trPr>
          <w:trHeight w:val="1037" w:hRule="atLeast"/>
        </w:trPr>
        <w:tc>
          <w:tcPr>
            <w:tcW w:w="508" w:type="dxa"/>
            <w:vMerge w:val="continue"/>
            <w:tcBorders>
              <w:left w:val="single" w:color="auto" w:sz="4" w:space="0"/>
              <w:right w:val="single" w:color="auto" w:sz="4" w:space="0"/>
            </w:tcBorders>
            <w:vAlign w:val="center"/>
          </w:tcPr>
          <w:p w14:paraId="272AA7C1">
            <w:pPr>
              <w:spacing w:line="600" w:lineRule="exact"/>
              <w:rPr>
                <w:rFonts w:ascii="宋体" w:hAnsi="宋体" w:cs="宋体"/>
                <w:sz w:val="22"/>
                <w:szCs w:val="22"/>
              </w:rPr>
            </w:pPr>
          </w:p>
        </w:tc>
        <w:tc>
          <w:tcPr>
            <w:tcW w:w="868" w:type="dxa"/>
            <w:vMerge w:val="continue"/>
            <w:tcBorders>
              <w:left w:val="nil"/>
              <w:right w:val="single" w:color="auto" w:sz="4" w:space="0"/>
            </w:tcBorders>
            <w:vAlign w:val="center"/>
          </w:tcPr>
          <w:p w14:paraId="79D389C0">
            <w:pPr>
              <w:spacing w:line="600" w:lineRule="exact"/>
              <w:rPr>
                <w:rFonts w:ascii="宋体" w:hAnsi="宋体" w:cs="宋体"/>
                <w:sz w:val="22"/>
                <w:szCs w:val="22"/>
              </w:rPr>
            </w:pPr>
          </w:p>
        </w:tc>
        <w:tc>
          <w:tcPr>
            <w:tcW w:w="2271" w:type="dxa"/>
            <w:tcBorders>
              <w:top w:val="single" w:color="auto" w:sz="4" w:space="0"/>
              <w:left w:val="nil"/>
              <w:right w:val="single" w:color="auto" w:sz="4" w:space="0"/>
            </w:tcBorders>
            <w:vAlign w:val="center"/>
          </w:tcPr>
          <w:p w14:paraId="166F0322">
            <w:pPr>
              <w:jc w:val="center"/>
              <w:rPr>
                <w:rFonts w:ascii="宋体" w:hAnsi="宋体" w:cs="宋体"/>
                <w:sz w:val="22"/>
                <w:szCs w:val="22"/>
              </w:rPr>
            </w:pPr>
            <w:r>
              <w:rPr>
                <w:rFonts w:hint="eastAsia" w:ascii="宋体" w:hAnsi="宋体" w:cs="宋体"/>
                <w:sz w:val="22"/>
                <w:szCs w:val="22"/>
              </w:rPr>
              <w:t>服务能力</w:t>
            </w:r>
          </w:p>
        </w:tc>
        <w:tc>
          <w:tcPr>
            <w:tcW w:w="5798" w:type="dxa"/>
            <w:tcBorders>
              <w:top w:val="single" w:color="auto" w:sz="4" w:space="0"/>
              <w:left w:val="nil"/>
              <w:right w:val="single" w:color="auto" w:sz="4" w:space="0"/>
            </w:tcBorders>
            <w:vAlign w:val="center"/>
          </w:tcPr>
          <w:p w14:paraId="21581278">
            <w:pPr>
              <w:jc w:val="left"/>
              <w:rPr>
                <w:rFonts w:ascii="宋体" w:hAnsi="宋体" w:cs="宋体"/>
                <w:sz w:val="22"/>
                <w:szCs w:val="22"/>
              </w:rPr>
            </w:pPr>
            <w:r>
              <w:rPr>
                <w:rFonts w:hint="eastAsia" w:ascii="宋体" w:hAnsi="宋体" w:cs="宋体"/>
                <w:sz w:val="22"/>
                <w:szCs w:val="22"/>
              </w:rPr>
              <w:t>1、供应商具有良好的商业信誉和健全的财务会计制度（提供承诺书，格式自拟）</w:t>
            </w:r>
          </w:p>
          <w:p w14:paraId="71670105">
            <w:pPr>
              <w:jc w:val="left"/>
              <w:rPr>
                <w:rFonts w:ascii="宋体" w:hAnsi="宋体" w:cs="宋体"/>
                <w:sz w:val="22"/>
                <w:szCs w:val="22"/>
              </w:rPr>
            </w:pPr>
            <w:r>
              <w:rPr>
                <w:rFonts w:hint="eastAsia" w:ascii="宋体" w:hAnsi="宋体" w:cs="宋体"/>
                <w:sz w:val="22"/>
                <w:szCs w:val="22"/>
              </w:rPr>
              <w:t>2、供应商具有履行合同所必需的设备和专业技术能力（提供承诺书，格式自拟）</w:t>
            </w:r>
          </w:p>
          <w:p w14:paraId="3D4A4A8E">
            <w:pPr>
              <w:jc w:val="left"/>
              <w:rPr>
                <w:rFonts w:ascii="宋体" w:hAnsi="宋体" w:cs="宋体"/>
                <w:sz w:val="22"/>
                <w:szCs w:val="22"/>
              </w:rPr>
            </w:pPr>
            <w:r>
              <w:rPr>
                <w:rFonts w:hint="eastAsia" w:ascii="宋体" w:hAnsi="宋体" w:cs="宋体"/>
                <w:sz w:val="22"/>
                <w:szCs w:val="22"/>
              </w:rPr>
              <w:t>3、供应商有依法缴纳税收和社会保障资金的良好记录（提供承诺书，格式自拟）</w:t>
            </w:r>
          </w:p>
        </w:tc>
      </w:tr>
      <w:tr w14:paraId="0DC6F5B3">
        <w:tblPrEx>
          <w:tblCellMar>
            <w:top w:w="0" w:type="dxa"/>
            <w:left w:w="108" w:type="dxa"/>
            <w:bottom w:w="0" w:type="dxa"/>
            <w:right w:w="108" w:type="dxa"/>
          </w:tblCellMar>
        </w:tblPrEx>
        <w:trPr>
          <w:trHeight w:val="535" w:hRule="atLeast"/>
        </w:trPr>
        <w:tc>
          <w:tcPr>
            <w:tcW w:w="508" w:type="dxa"/>
            <w:vMerge w:val="continue"/>
            <w:tcBorders>
              <w:left w:val="single" w:color="auto" w:sz="4" w:space="0"/>
              <w:right w:val="single" w:color="auto" w:sz="4" w:space="0"/>
            </w:tcBorders>
            <w:vAlign w:val="center"/>
          </w:tcPr>
          <w:p w14:paraId="1994D020">
            <w:pPr>
              <w:spacing w:line="600" w:lineRule="exact"/>
              <w:rPr>
                <w:rFonts w:ascii="宋体" w:hAnsi="宋体" w:cs="宋体"/>
                <w:sz w:val="22"/>
                <w:szCs w:val="22"/>
              </w:rPr>
            </w:pPr>
          </w:p>
        </w:tc>
        <w:tc>
          <w:tcPr>
            <w:tcW w:w="868" w:type="dxa"/>
            <w:vMerge w:val="continue"/>
            <w:tcBorders>
              <w:left w:val="nil"/>
              <w:right w:val="single" w:color="auto" w:sz="4" w:space="0"/>
            </w:tcBorders>
            <w:vAlign w:val="center"/>
          </w:tcPr>
          <w:p w14:paraId="078635BA">
            <w:pPr>
              <w:spacing w:line="600" w:lineRule="exact"/>
              <w:rPr>
                <w:rFonts w:ascii="宋体" w:hAnsi="宋体" w:cs="宋体"/>
                <w:sz w:val="22"/>
                <w:szCs w:val="22"/>
              </w:rPr>
            </w:pPr>
          </w:p>
        </w:tc>
        <w:tc>
          <w:tcPr>
            <w:tcW w:w="2271" w:type="dxa"/>
            <w:tcBorders>
              <w:top w:val="single" w:color="auto" w:sz="4" w:space="0"/>
              <w:left w:val="nil"/>
              <w:right w:val="single" w:color="auto" w:sz="4" w:space="0"/>
            </w:tcBorders>
            <w:vAlign w:val="center"/>
          </w:tcPr>
          <w:p w14:paraId="3E641770">
            <w:pPr>
              <w:jc w:val="center"/>
              <w:rPr>
                <w:rFonts w:ascii="宋体" w:hAnsi="宋体" w:cs="宋体"/>
                <w:bCs/>
                <w:sz w:val="22"/>
                <w:szCs w:val="22"/>
              </w:rPr>
            </w:pPr>
            <w:bookmarkStart w:id="86" w:name="_Toc17162"/>
            <w:bookmarkEnd w:id="86"/>
            <w:bookmarkStart w:id="87" w:name="_Toc16025"/>
            <w:bookmarkEnd w:id="87"/>
            <w:r>
              <w:rPr>
                <w:rFonts w:hint="eastAsia" w:ascii="宋体" w:hAnsi="宋体" w:cs="宋体"/>
                <w:bCs/>
                <w:sz w:val="22"/>
                <w:szCs w:val="22"/>
              </w:rPr>
              <w:t>在经营活动中没有重大违法记录</w:t>
            </w:r>
          </w:p>
        </w:tc>
        <w:tc>
          <w:tcPr>
            <w:tcW w:w="5798" w:type="dxa"/>
            <w:tcBorders>
              <w:top w:val="single" w:color="auto" w:sz="4" w:space="0"/>
              <w:left w:val="nil"/>
              <w:bottom w:val="single" w:color="auto" w:sz="4" w:space="0"/>
              <w:right w:val="single" w:color="auto" w:sz="4" w:space="0"/>
            </w:tcBorders>
            <w:vAlign w:val="center"/>
          </w:tcPr>
          <w:p w14:paraId="0940625F">
            <w:pPr>
              <w:pStyle w:val="12"/>
              <w:spacing w:line="360" w:lineRule="exact"/>
              <w:ind w:firstLine="0" w:firstLineChars="0"/>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供应商参加政府采购活动前三年内，在经营活动中没有重大违法记录（提供承诺书，格式自拟）</w:t>
            </w:r>
          </w:p>
        </w:tc>
      </w:tr>
      <w:tr w14:paraId="57DB9486">
        <w:tblPrEx>
          <w:tblCellMar>
            <w:top w:w="0" w:type="dxa"/>
            <w:left w:w="108" w:type="dxa"/>
            <w:bottom w:w="0" w:type="dxa"/>
            <w:right w:w="108" w:type="dxa"/>
          </w:tblCellMar>
        </w:tblPrEx>
        <w:trPr>
          <w:trHeight w:val="692" w:hRule="atLeast"/>
        </w:trPr>
        <w:tc>
          <w:tcPr>
            <w:tcW w:w="508" w:type="dxa"/>
            <w:vMerge w:val="continue"/>
            <w:tcBorders>
              <w:left w:val="single" w:color="auto" w:sz="4" w:space="0"/>
              <w:right w:val="single" w:color="auto" w:sz="4" w:space="0"/>
            </w:tcBorders>
            <w:vAlign w:val="center"/>
          </w:tcPr>
          <w:p w14:paraId="27F9F02E">
            <w:pPr>
              <w:spacing w:line="600" w:lineRule="exact"/>
              <w:rPr>
                <w:rFonts w:ascii="宋体" w:hAnsi="宋体" w:cs="宋体"/>
                <w:sz w:val="22"/>
                <w:szCs w:val="22"/>
              </w:rPr>
            </w:pPr>
          </w:p>
        </w:tc>
        <w:tc>
          <w:tcPr>
            <w:tcW w:w="868" w:type="dxa"/>
            <w:vMerge w:val="continue"/>
            <w:tcBorders>
              <w:left w:val="nil"/>
              <w:right w:val="single" w:color="auto" w:sz="4" w:space="0"/>
            </w:tcBorders>
            <w:vAlign w:val="center"/>
          </w:tcPr>
          <w:p w14:paraId="4B38A5A1">
            <w:pPr>
              <w:spacing w:line="600" w:lineRule="exact"/>
              <w:rPr>
                <w:rFonts w:ascii="宋体" w:hAnsi="宋体" w:cs="宋体"/>
                <w:sz w:val="22"/>
                <w:szCs w:val="22"/>
              </w:rPr>
            </w:pPr>
          </w:p>
        </w:tc>
        <w:tc>
          <w:tcPr>
            <w:tcW w:w="2271" w:type="dxa"/>
            <w:tcBorders>
              <w:top w:val="single" w:color="auto" w:sz="4" w:space="0"/>
              <w:left w:val="nil"/>
              <w:bottom w:val="single" w:color="auto" w:sz="4" w:space="0"/>
              <w:right w:val="single" w:color="auto" w:sz="4" w:space="0"/>
            </w:tcBorders>
            <w:vAlign w:val="center"/>
          </w:tcPr>
          <w:p w14:paraId="1F11AE2A">
            <w:pPr>
              <w:jc w:val="center"/>
              <w:rPr>
                <w:rFonts w:ascii="宋体" w:hAnsi="宋体" w:cs="宋体"/>
                <w:bCs/>
                <w:color w:val="000000"/>
                <w:kern w:val="44"/>
                <w:sz w:val="22"/>
                <w:szCs w:val="22"/>
              </w:rPr>
            </w:pPr>
            <w:r>
              <w:rPr>
                <w:rFonts w:hint="eastAsia" w:ascii="宋体" w:hAnsi="宋体" w:cs="宋体"/>
                <w:color w:val="000000"/>
                <w:kern w:val="0"/>
                <w:sz w:val="22"/>
                <w:szCs w:val="22"/>
              </w:rPr>
              <w:t>无行贿犯罪记录</w:t>
            </w:r>
          </w:p>
        </w:tc>
        <w:tc>
          <w:tcPr>
            <w:tcW w:w="5798" w:type="dxa"/>
            <w:tcBorders>
              <w:top w:val="single" w:color="auto" w:sz="4" w:space="0"/>
              <w:left w:val="nil"/>
              <w:bottom w:val="single" w:color="auto" w:sz="4" w:space="0"/>
              <w:right w:val="single" w:color="auto" w:sz="4" w:space="0"/>
            </w:tcBorders>
          </w:tcPr>
          <w:p w14:paraId="11B4CC53">
            <w:pPr>
              <w:adjustRightInd w:val="0"/>
              <w:snapToGrid w:val="0"/>
              <w:spacing w:line="360" w:lineRule="exact"/>
              <w:jc w:val="left"/>
              <w:rPr>
                <w:rFonts w:ascii="宋体" w:hAnsi="宋体" w:cs="宋体"/>
                <w:color w:val="000000"/>
                <w:sz w:val="22"/>
                <w:szCs w:val="22"/>
              </w:rPr>
            </w:pPr>
            <w:r>
              <w:rPr>
                <w:rFonts w:hint="eastAsia" w:ascii="宋体" w:hAnsi="宋体" w:cs="宋体"/>
                <w:color w:val="000000"/>
                <w:sz w:val="22"/>
                <w:szCs w:val="22"/>
              </w:rPr>
              <w:t>供应商无行贿犯罪记录行为，在中国裁判文书网自行查询结果或自行承诺（查询/承诺对象：企业、法定代表人）</w:t>
            </w:r>
          </w:p>
        </w:tc>
      </w:tr>
      <w:tr w14:paraId="1F608A6D">
        <w:tblPrEx>
          <w:tblCellMar>
            <w:top w:w="0" w:type="dxa"/>
            <w:left w:w="108" w:type="dxa"/>
            <w:bottom w:w="0" w:type="dxa"/>
            <w:right w:w="108" w:type="dxa"/>
          </w:tblCellMar>
        </w:tblPrEx>
        <w:trPr>
          <w:trHeight w:val="692" w:hRule="atLeast"/>
        </w:trPr>
        <w:tc>
          <w:tcPr>
            <w:tcW w:w="508" w:type="dxa"/>
            <w:vMerge w:val="continue"/>
            <w:tcBorders>
              <w:left w:val="single" w:color="auto" w:sz="4" w:space="0"/>
              <w:right w:val="single" w:color="auto" w:sz="4" w:space="0"/>
            </w:tcBorders>
            <w:vAlign w:val="center"/>
          </w:tcPr>
          <w:p w14:paraId="13AEDFF7">
            <w:pPr>
              <w:spacing w:line="600" w:lineRule="exact"/>
              <w:rPr>
                <w:rFonts w:ascii="宋体" w:hAnsi="宋体" w:cs="宋体"/>
                <w:sz w:val="22"/>
                <w:szCs w:val="22"/>
              </w:rPr>
            </w:pPr>
          </w:p>
        </w:tc>
        <w:tc>
          <w:tcPr>
            <w:tcW w:w="868" w:type="dxa"/>
            <w:vMerge w:val="continue"/>
            <w:tcBorders>
              <w:left w:val="nil"/>
              <w:right w:val="single" w:color="auto" w:sz="4" w:space="0"/>
            </w:tcBorders>
            <w:vAlign w:val="center"/>
          </w:tcPr>
          <w:p w14:paraId="429CD8E3">
            <w:pPr>
              <w:spacing w:line="600" w:lineRule="exact"/>
              <w:rPr>
                <w:rFonts w:ascii="宋体" w:hAnsi="宋体" w:cs="宋体"/>
                <w:sz w:val="22"/>
                <w:szCs w:val="22"/>
              </w:rPr>
            </w:pPr>
          </w:p>
        </w:tc>
        <w:tc>
          <w:tcPr>
            <w:tcW w:w="2271" w:type="dxa"/>
            <w:tcBorders>
              <w:top w:val="single" w:color="auto" w:sz="4" w:space="0"/>
              <w:left w:val="nil"/>
              <w:bottom w:val="single" w:color="auto" w:sz="4" w:space="0"/>
              <w:right w:val="single" w:color="auto" w:sz="4" w:space="0"/>
            </w:tcBorders>
            <w:vAlign w:val="center"/>
          </w:tcPr>
          <w:p w14:paraId="4B8477F4">
            <w:pPr>
              <w:jc w:val="center"/>
              <w:rPr>
                <w:rFonts w:hAnsi="宋体" w:cs="Courier New"/>
                <w:sz w:val="22"/>
                <w:szCs w:val="22"/>
              </w:rPr>
            </w:pPr>
            <w:bookmarkStart w:id="88" w:name="_Toc9108"/>
            <w:bookmarkEnd w:id="88"/>
            <w:bookmarkStart w:id="89" w:name="_Toc77596807"/>
            <w:bookmarkEnd w:id="89"/>
            <w:bookmarkStart w:id="90" w:name="_Toc109464609"/>
            <w:bookmarkEnd w:id="90"/>
            <w:bookmarkStart w:id="91" w:name="_Toc30444"/>
            <w:bookmarkEnd w:id="91"/>
            <w:bookmarkStart w:id="92" w:name="_Toc116401594"/>
            <w:bookmarkEnd w:id="92"/>
            <w:bookmarkStart w:id="93" w:name="_Toc109465607"/>
            <w:bookmarkEnd w:id="93"/>
            <w:bookmarkStart w:id="94" w:name="_Toc23510"/>
            <w:bookmarkEnd w:id="94"/>
            <w:bookmarkStart w:id="95" w:name="_Toc109033491"/>
            <w:bookmarkEnd w:id="95"/>
            <w:bookmarkStart w:id="96" w:name="_Toc144801297"/>
            <w:bookmarkEnd w:id="96"/>
            <w:bookmarkStart w:id="97" w:name="_Toc21447"/>
            <w:bookmarkEnd w:id="97"/>
            <w:bookmarkStart w:id="98" w:name="_Toc50397872"/>
            <w:bookmarkEnd w:id="98"/>
            <w:bookmarkStart w:id="99" w:name="_Toc50397332"/>
            <w:bookmarkEnd w:id="99"/>
            <w:bookmarkStart w:id="100" w:name="_Toc20453"/>
            <w:bookmarkEnd w:id="100"/>
            <w:r>
              <w:rPr>
                <w:rFonts w:hint="eastAsia" w:ascii="宋体" w:hAnsi="宋体" w:cs="宋体"/>
                <w:bCs/>
                <w:color w:val="000000"/>
                <w:kern w:val="44"/>
                <w:sz w:val="22"/>
                <w:szCs w:val="22"/>
              </w:rPr>
              <w:t>信誉要求</w:t>
            </w:r>
          </w:p>
        </w:tc>
        <w:tc>
          <w:tcPr>
            <w:tcW w:w="5798" w:type="dxa"/>
            <w:tcBorders>
              <w:top w:val="single" w:color="auto" w:sz="4" w:space="0"/>
              <w:left w:val="nil"/>
              <w:bottom w:val="single" w:color="auto" w:sz="4" w:space="0"/>
              <w:right w:val="single" w:color="auto" w:sz="4" w:space="0"/>
            </w:tcBorders>
          </w:tcPr>
          <w:p w14:paraId="401EE493">
            <w:pPr>
              <w:adjustRightInd w:val="0"/>
              <w:snapToGrid w:val="0"/>
              <w:spacing w:line="360" w:lineRule="exact"/>
              <w:jc w:val="left"/>
              <w:rPr>
                <w:rFonts w:ascii="宋体" w:hAnsi="宋体" w:cs="宋体"/>
                <w:color w:val="000000"/>
                <w:sz w:val="22"/>
                <w:szCs w:val="22"/>
              </w:rPr>
            </w:pPr>
            <w:r>
              <w:rPr>
                <w:rFonts w:hint="eastAsia" w:ascii="宋体" w:hAnsi="宋体" w:cs="宋体"/>
                <w:color w:val="000000"/>
                <w:sz w:val="22"/>
                <w:szCs w:val="22"/>
              </w:rPr>
              <w:t>未被列入中国执行信息公开网（http://zxgk.court.gov.cn/shixin/）失信被执行人、“信用中国”网站（www.creditchina.gov.cn）重大税收违法失信主体、“中国政府采购网”（http://www.ccgp.gov.cn/）政府采购严重违法失信行为名单，提供网页查询信息截图（查询时间自本公告发布之日起）；</w:t>
            </w:r>
          </w:p>
        </w:tc>
      </w:tr>
      <w:tr w14:paraId="1FD46AC8">
        <w:tblPrEx>
          <w:tblCellMar>
            <w:top w:w="0" w:type="dxa"/>
            <w:left w:w="108" w:type="dxa"/>
            <w:bottom w:w="0" w:type="dxa"/>
            <w:right w:w="108" w:type="dxa"/>
          </w:tblCellMar>
        </w:tblPrEx>
        <w:trPr>
          <w:trHeight w:val="692" w:hRule="atLeast"/>
        </w:trPr>
        <w:tc>
          <w:tcPr>
            <w:tcW w:w="508" w:type="dxa"/>
            <w:vMerge w:val="continue"/>
            <w:tcBorders>
              <w:left w:val="single" w:color="auto" w:sz="4" w:space="0"/>
              <w:right w:val="single" w:color="auto" w:sz="4" w:space="0"/>
            </w:tcBorders>
            <w:vAlign w:val="center"/>
          </w:tcPr>
          <w:p w14:paraId="7D63A0FE">
            <w:pPr>
              <w:spacing w:line="600" w:lineRule="exact"/>
              <w:rPr>
                <w:rFonts w:ascii="宋体" w:hAnsi="宋体" w:cs="宋体"/>
                <w:sz w:val="22"/>
                <w:szCs w:val="22"/>
              </w:rPr>
            </w:pPr>
          </w:p>
        </w:tc>
        <w:tc>
          <w:tcPr>
            <w:tcW w:w="868" w:type="dxa"/>
            <w:vMerge w:val="continue"/>
            <w:tcBorders>
              <w:left w:val="nil"/>
              <w:right w:val="single" w:color="auto" w:sz="4" w:space="0"/>
            </w:tcBorders>
            <w:vAlign w:val="center"/>
          </w:tcPr>
          <w:p w14:paraId="5547A79D">
            <w:pPr>
              <w:spacing w:line="600" w:lineRule="exact"/>
              <w:rPr>
                <w:rFonts w:ascii="宋体" w:hAnsi="宋体" w:cs="宋体"/>
                <w:sz w:val="22"/>
                <w:szCs w:val="22"/>
              </w:rPr>
            </w:pPr>
          </w:p>
        </w:tc>
        <w:tc>
          <w:tcPr>
            <w:tcW w:w="2271" w:type="dxa"/>
            <w:tcBorders>
              <w:top w:val="single" w:color="auto" w:sz="4" w:space="0"/>
              <w:left w:val="nil"/>
              <w:bottom w:val="single" w:color="auto" w:sz="4" w:space="0"/>
              <w:right w:val="single" w:color="auto" w:sz="4" w:space="0"/>
            </w:tcBorders>
            <w:vAlign w:val="center"/>
          </w:tcPr>
          <w:p w14:paraId="409EB567">
            <w:pPr>
              <w:adjustRightInd w:val="0"/>
              <w:snapToGrid w:val="0"/>
              <w:spacing w:line="360" w:lineRule="exact"/>
              <w:jc w:val="center"/>
              <w:outlineLvl w:val="0"/>
              <w:rPr>
                <w:rFonts w:ascii="宋体" w:hAnsi="宋体" w:cs="宋体"/>
                <w:bCs/>
                <w:color w:val="000000"/>
                <w:kern w:val="44"/>
                <w:sz w:val="22"/>
                <w:szCs w:val="22"/>
              </w:rPr>
            </w:pPr>
            <w:bookmarkStart w:id="101" w:name="_Toc174034454"/>
            <w:bookmarkEnd w:id="101"/>
            <w:bookmarkStart w:id="102" w:name="_Toc12452"/>
            <w:bookmarkEnd w:id="102"/>
            <w:bookmarkStart w:id="103" w:name="_Toc173946086"/>
            <w:bookmarkEnd w:id="103"/>
            <w:bookmarkStart w:id="104" w:name="_Toc173946421"/>
            <w:bookmarkEnd w:id="104"/>
            <w:bookmarkStart w:id="105" w:name="_Toc8218"/>
            <w:bookmarkStart w:id="106" w:name="_Toc10748"/>
            <w:bookmarkStart w:id="107" w:name="_Toc6308"/>
            <w:r>
              <w:rPr>
                <w:rFonts w:hint="eastAsia" w:ascii="宋体" w:hAnsi="宋体" w:cs="宋体"/>
                <w:color w:val="000000"/>
                <w:kern w:val="0"/>
                <w:sz w:val="22"/>
                <w:szCs w:val="22"/>
              </w:rPr>
              <w:t>负责人为同一人或者存在直接控股、管理关系的不同供应商，不得参加同一合同项</w:t>
            </w:r>
            <w:r>
              <w:rPr>
                <w:rFonts w:hint="eastAsia" w:ascii="宋体" w:hAnsi="宋体" w:cs="宋体"/>
                <w:color w:val="000000"/>
                <w:kern w:val="0"/>
                <w:sz w:val="22"/>
                <w:szCs w:val="22"/>
                <w:lang w:val="en-US" w:eastAsia="zh-CN"/>
              </w:rPr>
              <w:t>目</w:t>
            </w:r>
            <w:r>
              <w:rPr>
                <w:rFonts w:hint="eastAsia" w:ascii="宋体" w:hAnsi="宋体" w:cs="宋体"/>
                <w:color w:val="000000"/>
                <w:kern w:val="0"/>
                <w:sz w:val="22"/>
                <w:szCs w:val="22"/>
              </w:rPr>
              <w:t>下的采购活动</w:t>
            </w:r>
            <w:bookmarkEnd w:id="105"/>
            <w:bookmarkEnd w:id="106"/>
            <w:bookmarkEnd w:id="107"/>
          </w:p>
        </w:tc>
        <w:tc>
          <w:tcPr>
            <w:tcW w:w="5798" w:type="dxa"/>
            <w:tcBorders>
              <w:top w:val="single" w:color="auto" w:sz="4" w:space="0"/>
              <w:left w:val="nil"/>
              <w:bottom w:val="single" w:color="auto" w:sz="4" w:space="0"/>
              <w:right w:val="single" w:color="auto" w:sz="4" w:space="0"/>
            </w:tcBorders>
          </w:tcPr>
          <w:p w14:paraId="34248F10">
            <w:pPr>
              <w:adjustRightInd w:val="0"/>
              <w:snapToGrid w:val="0"/>
              <w:spacing w:line="360" w:lineRule="exact"/>
              <w:jc w:val="left"/>
              <w:rPr>
                <w:rFonts w:ascii="宋体" w:hAnsi="宋体" w:cs="宋体"/>
                <w:color w:val="000000"/>
                <w:sz w:val="22"/>
                <w:szCs w:val="22"/>
              </w:rPr>
            </w:pPr>
            <w:r>
              <w:rPr>
                <w:rFonts w:hint="eastAsia" w:ascii="宋体" w:hAnsi="宋体" w:cs="宋体"/>
                <w:color w:val="000000"/>
                <w:sz w:val="22"/>
                <w:szCs w:val="22"/>
              </w:rPr>
              <w:t>单位负责人为同一人或者存在直接控股、管理关系的不同供应商，不得参加同一合同项下的政府采购活动（提供“国家企业信用信息公示系统”http://www.gsxt.gov.cn/index.htm</w:t>
            </w:r>
            <w:r>
              <w:rPr>
                <w:rFonts w:hint="eastAsia" w:ascii="宋体" w:hAnsi="宋体" w:cs="宋体"/>
                <w:color w:val="000000"/>
                <w:sz w:val="22"/>
                <w:szCs w:val="22"/>
                <w:lang w:val="en-US" w:eastAsia="zh-CN"/>
              </w:rPr>
              <w:t>l</w:t>
            </w:r>
            <w:r>
              <w:rPr>
                <w:rFonts w:hint="eastAsia" w:ascii="宋体" w:hAnsi="宋体" w:cs="宋体"/>
                <w:color w:val="000000"/>
                <w:sz w:val="22"/>
                <w:szCs w:val="22"/>
              </w:rPr>
              <w:t xml:space="preserve">网页查询,需包含公司基本信息、股东信息及股权变更信息内容） </w:t>
            </w:r>
          </w:p>
        </w:tc>
      </w:tr>
      <w:tr w14:paraId="13D65182">
        <w:tblPrEx>
          <w:tblCellMar>
            <w:top w:w="0" w:type="dxa"/>
            <w:left w:w="108" w:type="dxa"/>
            <w:bottom w:w="0" w:type="dxa"/>
            <w:right w:w="108" w:type="dxa"/>
          </w:tblCellMar>
        </w:tblPrEx>
        <w:trPr>
          <w:trHeight w:val="692" w:hRule="atLeast"/>
        </w:trPr>
        <w:tc>
          <w:tcPr>
            <w:tcW w:w="508" w:type="dxa"/>
            <w:vMerge w:val="continue"/>
            <w:tcBorders>
              <w:left w:val="single" w:color="auto" w:sz="4" w:space="0"/>
              <w:bottom w:val="single" w:color="auto" w:sz="4" w:space="0"/>
              <w:right w:val="single" w:color="auto" w:sz="4" w:space="0"/>
            </w:tcBorders>
            <w:vAlign w:val="center"/>
          </w:tcPr>
          <w:p w14:paraId="3F7F93B3">
            <w:pPr>
              <w:spacing w:line="600" w:lineRule="exact"/>
              <w:rPr>
                <w:rFonts w:ascii="宋体" w:hAnsi="宋体" w:cs="宋体"/>
                <w:sz w:val="22"/>
                <w:szCs w:val="22"/>
              </w:rPr>
            </w:pPr>
          </w:p>
        </w:tc>
        <w:tc>
          <w:tcPr>
            <w:tcW w:w="868" w:type="dxa"/>
            <w:vMerge w:val="continue"/>
            <w:tcBorders>
              <w:left w:val="nil"/>
              <w:bottom w:val="single" w:color="auto" w:sz="4" w:space="0"/>
              <w:right w:val="single" w:color="auto" w:sz="4" w:space="0"/>
            </w:tcBorders>
            <w:vAlign w:val="center"/>
          </w:tcPr>
          <w:p w14:paraId="1C1449FB">
            <w:pPr>
              <w:spacing w:line="600" w:lineRule="exact"/>
              <w:rPr>
                <w:rFonts w:ascii="宋体" w:hAnsi="宋体" w:cs="宋体"/>
                <w:sz w:val="22"/>
                <w:szCs w:val="22"/>
              </w:rPr>
            </w:pPr>
          </w:p>
        </w:tc>
        <w:tc>
          <w:tcPr>
            <w:tcW w:w="2271" w:type="dxa"/>
            <w:tcBorders>
              <w:top w:val="single" w:color="auto" w:sz="4" w:space="0"/>
              <w:left w:val="nil"/>
              <w:bottom w:val="single" w:color="auto" w:sz="4" w:space="0"/>
              <w:right w:val="single" w:color="auto" w:sz="4" w:space="0"/>
            </w:tcBorders>
            <w:vAlign w:val="center"/>
          </w:tcPr>
          <w:p w14:paraId="2D75300E">
            <w:pPr>
              <w:adjustRightInd w:val="0"/>
              <w:snapToGrid w:val="0"/>
              <w:spacing w:line="360" w:lineRule="exact"/>
              <w:jc w:val="center"/>
              <w:outlineLvl w:val="0"/>
              <w:rPr>
                <w:rFonts w:hint="eastAsia" w:ascii="宋体" w:hAnsi="宋体" w:cs="宋体" w:eastAsiaTheme="minorEastAsia"/>
                <w:color w:val="000000"/>
                <w:kern w:val="0"/>
                <w:sz w:val="22"/>
                <w:szCs w:val="22"/>
                <w:lang w:eastAsia="zh-CN"/>
              </w:rPr>
            </w:pPr>
            <w:bookmarkStart w:id="108" w:name="_Toc173946422"/>
            <w:bookmarkEnd w:id="108"/>
            <w:bookmarkStart w:id="109" w:name="_Toc174034455"/>
            <w:bookmarkEnd w:id="109"/>
            <w:bookmarkStart w:id="110" w:name="_Toc173946087"/>
            <w:bookmarkEnd w:id="110"/>
            <w:bookmarkStart w:id="111" w:name="_Toc7643"/>
            <w:bookmarkEnd w:id="111"/>
            <w:r>
              <w:rPr>
                <w:rFonts w:hint="eastAsia" w:ascii="宋体" w:hAnsi="宋体" w:cs="宋体"/>
                <w:color w:val="000000"/>
                <w:kern w:val="0"/>
                <w:sz w:val="22"/>
                <w:szCs w:val="22"/>
                <w:lang w:val="en-US" w:eastAsia="zh-CN"/>
              </w:rPr>
              <w:t>其他</w:t>
            </w:r>
          </w:p>
        </w:tc>
        <w:tc>
          <w:tcPr>
            <w:tcW w:w="5798" w:type="dxa"/>
            <w:tcBorders>
              <w:top w:val="single" w:color="auto" w:sz="4" w:space="0"/>
              <w:left w:val="nil"/>
              <w:bottom w:val="single" w:color="auto" w:sz="4" w:space="0"/>
              <w:right w:val="single" w:color="auto" w:sz="4" w:space="0"/>
            </w:tcBorders>
          </w:tcPr>
          <w:p w14:paraId="031E974A">
            <w:pPr>
              <w:numPr>
                <w:ilvl w:val="0"/>
                <w:numId w:val="5"/>
              </w:numPr>
              <w:adjustRightInd w:val="0"/>
              <w:snapToGrid w:val="0"/>
              <w:spacing w:line="360" w:lineRule="exact"/>
              <w:jc w:val="left"/>
              <w:rPr>
                <w:rFonts w:hint="eastAsia" w:ascii="宋体" w:hAnsi="宋体" w:cs="宋体"/>
                <w:color w:val="000000"/>
                <w:kern w:val="0"/>
                <w:sz w:val="22"/>
                <w:szCs w:val="22"/>
              </w:rPr>
            </w:pPr>
            <w:r>
              <w:rPr>
                <w:rFonts w:hint="eastAsia" w:ascii="宋体" w:hAnsi="宋体" w:cs="宋体"/>
                <w:sz w:val="22"/>
                <w:szCs w:val="22"/>
              </w:rPr>
              <w:t>本项目不接受联合体磋商（提供非联合体承诺书，格式自拟）</w:t>
            </w:r>
          </w:p>
          <w:p w14:paraId="5DC2D334">
            <w:pPr>
              <w:numPr>
                <w:ilvl w:val="0"/>
                <w:numId w:val="0"/>
              </w:numPr>
              <w:adjustRightInd w:val="0"/>
              <w:snapToGrid w:val="0"/>
              <w:spacing w:line="360" w:lineRule="exact"/>
              <w:jc w:val="left"/>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2、本项目实行资格后审，（提供资格后审承诺书格式自拟）</w:t>
            </w:r>
          </w:p>
        </w:tc>
      </w:tr>
      <w:tr w14:paraId="32B4DE47">
        <w:tblPrEx>
          <w:tblCellMar>
            <w:top w:w="0" w:type="dxa"/>
            <w:left w:w="108" w:type="dxa"/>
            <w:bottom w:w="0" w:type="dxa"/>
            <w:right w:w="108" w:type="dxa"/>
          </w:tblCellMar>
        </w:tblPrEx>
        <w:trPr>
          <w:trHeight w:val="429" w:hRule="atLeast"/>
        </w:trPr>
        <w:tc>
          <w:tcPr>
            <w:tcW w:w="508" w:type="dxa"/>
            <w:vMerge w:val="restart"/>
            <w:tcBorders>
              <w:top w:val="single" w:color="auto" w:sz="4" w:space="0"/>
              <w:left w:val="single" w:color="auto" w:sz="4" w:space="0"/>
              <w:bottom w:val="single" w:color="auto" w:sz="4" w:space="0"/>
              <w:right w:val="single" w:color="auto" w:sz="4" w:space="0"/>
            </w:tcBorders>
            <w:vAlign w:val="center"/>
          </w:tcPr>
          <w:p w14:paraId="4B137433">
            <w:pPr>
              <w:spacing w:line="600" w:lineRule="exact"/>
              <w:jc w:val="center"/>
              <w:rPr>
                <w:rFonts w:ascii="宋体" w:hAnsi="宋体" w:cs="宋体"/>
                <w:sz w:val="22"/>
                <w:szCs w:val="22"/>
              </w:rPr>
            </w:pPr>
            <w:r>
              <w:rPr>
                <w:rFonts w:hint="eastAsia" w:ascii="宋体" w:hAnsi="宋体" w:cs="宋体"/>
                <w:sz w:val="22"/>
                <w:szCs w:val="22"/>
              </w:rPr>
              <w:t>3</w:t>
            </w:r>
          </w:p>
        </w:tc>
        <w:tc>
          <w:tcPr>
            <w:tcW w:w="868" w:type="dxa"/>
            <w:vMerge w:val="restart"/>
            <w:tcBorders>
              <w:top w:val="single" w:color="auto" w:sz="4" w:space="0"/>
              <w:left w:val="nil"/>
              <w:right w:val="single" w:color="auto" w:sz="4" w:space="0"/>
            </w:tcBorders>
            <w:vAlign w:val="center"/>
          </w:tcPr>
          <w:p w14:paraId="0690F54B">
            <w:pPr>
              <w:spacing w:line="600" w:lineRule="exact"/>
              <w:rPr>
                <w:rFonts w:ascii="宋体" w:hAnsi="宋体" w:cs="宋体"/>
                <w:sz w:val="22"/>
                <w:szCs w:val="22"/>
              </w:rPr>
            </w:pPr>
            <w:r>
              <w:rPr>
                <w:rFonts w:hint="eastAsia" w:ascii="宋体" w:hAnsi="宋体" w:cs="宋体"/>
                <w:sz w:val="22"/>
                <w:szCs w:val="22"/>
              </w:rPr>
              <w:t>响应</w:t>
            </w:r>
            <w:r>
              <w:rPr>
                <w:rFonts w:ascii="宋体" w:hAnsi="宋体" w:cs="宋体"/>
                <w:sz w:val="22"/>
                <w:szCs w:val="22"/>
              </w:rPr>
              <w:t>性</w:t>
            </w:r>
            <w:r>
              <w:rPr>
                <w:rFonts w:hint="eastAsia" w:ascii="宋体" w:hAnsi="宋体" w:cs="宋体"/>
                <w:sz w:val="22"/>
                <w:szCs w:val="22"/>
              </w:rPr>
              <w:t>评审标准</w:t>
            </w:r>
          </w:p>
        </w:tc>
        <w:tc>
          <w:tcPr>
            <w:tcW w:w="2271" w:type="dxa"/>
            <w:tcBorders>
              <w:top w:val="single" w:color="auto" w:sz="4" w:space="0"/>
              <w:left w:val="nil"/>
              <w:bottom w:val="single" w:color="auto" w:sz="4" w:space="0"/>
              <w:right w:val="single" w:color="auto" w:sz="4" w:space="0"/>
            </w:tcBorders>
            <w:vAlign w:val="center"/>
          </w:tcPr>
          <w:p w14:paraId="679F4381">
            <w:pPr>
              <w:adjustRightInd w:val="0"/>
              <w:snapToGrid w:val="0"/>
              <w:spacing w:line="360" w:lineRule="auto"/>
              <w:jc w:val="center"/>
              <w:rPr>
                <w:rFonts w:ascii="宋体" w:hAnsi="宋体"/>
                <w:sz w:val="22"/>
                <w:szCs w:val="20"/>
              </w:rPr>
            </w:pPr>
            <w:r>
              <w:rPr>
                <w:rFonts w:hint="eastAsia" w:ascii="宋体" w:hAnsi="宋体" w:cs="宋体"/>
                <w:color w:val="000000"/>
                <w:kern w:val="0"/>
                <w:sz w:val="22"/>
                <w:szCs w:val="22"/>
              </w:rPr>
              <w:t>服务周期</w:t>
            </w:r>
          </w:p>
        </w:tc>
        <w:tc>
          <w:tcPr>
            <w:tcW w:w="5798" w:type="dxa"/>
            <w:tcBorders>
              <w:top w:val="single" w:color="auto" w:sz="4" w:space="0"/>
              <w:left w:val="nil"/>
              <w:bottom w:val="single" w:color="auto" w:sz="4" w:space="0"/>
              <w:right w:val="single" w:color="auto" w:sz="4" w:space="0"/>
            </w:tcBorders>
            <w:vAlign w:val="center"/>
          </w:tcPr>
          <w:p w14:paraId="5A12BF4D">
            <w:pPr>
              <w:adjustRightInd w:val="0"/>
              <w:snapToGrid w:val="0"/>
              <w:spacing w:line="360" w:lineRule="auto"/>
              <w:jc w:val="left"/>
              <w:rPr>
                <w:rFonts w:ascii="宋体" w:hAnsi="宋体"/>
                <w:sz w:val="22"/>
                <w:szCs w:val="20"/>
              </w:rPr>
            </w:pPr>
            <w:r>
              <w:rPr>
                <w:rFonts w:hint="eastAsia" w:ascii="宋体" w:hAnsi="宋体"/>
                <w:sz w:val="22"/>
                <w:szCs w:val="20"/>
              </w:rPr>
              <w:t>一年</w:t>
            </w:r>
          </w:p>
        </w:tc>
      </w:tr>
      <w:tr w14:paraId="5147A06E">
        <w:tblPrEx>
          <w:tblCellMar>
            <w:top w:w="0" w:type="dxa"/>
            <w:left w:w="108" w:type="dxa"/>
            <w:bottom w:w="0" w:type="dxa"/>
            <w:right w:w="108" w:type="dxa"/>
          </w:tblCellMar>
        </w:tblPrEx>
        <w:trPr>
          <w:trHeight w:val="429" w:hRule="atLeast"/>
        </w:trPr>
        <w:tc>
          <w:tcPr>
            <w:tcW w:w="508" w:type="dxa"/>
            <w:vMerge w:val="continue"/>
            <w:tcBorders>
              <w:top w:val="single" w:color="auto" w:sz="4" w:space="0"/>
              <w:left w:val="single" w:color="auto" w:sz="4" w:space="0"/>
              <w:bottom w:val="single" w:color="auto" w:sz="4" w:space="0"/>
              <w:right w:val="single" w:color="auto" w:sz="4" w:space="0"/>
            </w:tcBorders>
            <w:vAlign w:val="center"/>
          </w:tcPr>
          <w:p w14:paraId="5731F0A3">
            <w:pPr>
              <w:spacing w:line="600" w:lineRule="exact"/>
              <w:jc w:val="center"/>
              <w:rPr>
                <w:rFonts w:ascii="宋体" w:hAnsi="宋体" w:cs="宋体"/>
                <w:sz w:val="22"/>
                <w:szCs w:val="22"/>
              </w:rPr>
            </w:pPr>
          </w:p>
        </w:tc>
        <w:tc>
          <w:tcPr>
            <w:tcW w:w="868" w:type="dxa"/>
            <w:vMerge w:val="continue"/>
            <w:tcBorders>
              <w:top w:val="single" w:color="auto" w:sz="4" w:space="0"/>
              <w:left w:val="nil"/>
              <w:right w:val="single" w:color="auto" w:sz="4" w:space="0"/>
            </w:tcBorders>
            <w:vAlign w:val="center"/>
          </w:tcPr>
          <w:p w14:paraId="1F6AA7FB">
            <w:pPr>
              <w:spacing w:line="600" w:lineRule="exact"/>
              <w:rPr>
                <w:rFonts w:ascii="宋体" w:hAnsi="宋体" w:cs="宋体"/>
                <w:sz w:val="22"/>
                <w:szCs w:val="22"/>
              </w:rPr>
            </w:pPr>
          </w:p>
        </w:tc>
        <w:tc>
          <w:tcPr>
            <w:tcW w:w="2271" w:type="dxa"/>
            <w:tcBorders>
              <w:top w:val="single" w:color="auto" w:sz="4" w:space="0"/>
              <w:left w:val="nil"/>
              <w:bottom w:val="single" w:color="auto" w:sz="4" w:space="0"/>
              <w:right w:val="single" w:color="auto" w:sz="4" w:space="0"/>
            </w:tcBorders>
            <w:vAlign w:val="center"/>
          </w:tcPr>
          <w:p w14:paraId="199DAA02">
            <w:pPr>
              <w:adjustRightInd w:val="0"/>
              <w:snapToGrid w:val="0"/>
              <w:spacing w:line="360" w:lineRule="auto"/>
              <w:jc w:val="center"/>
              <w:rPr>
                <w:rFonts w:ascii="宋体" w:hAnsi="宋体"/>
                <w:sz w:val="22"/>
                <w:szCs w:val="20"/>
              </w:rPr>
            </w:pPr>
            <w:r>
              <w:rPr>
                <w:rFonts w:hint="eastAsia" w:ascii="宋体" w:hAnsi="宋体"/>
                <w:sz w:val="22"/>
                <w:szCs w:val="20"/>
              </w:rPr>
              <w:t>质量</w:t>
            </w:r>
            <w:r>
              <w:rPr>
                <w:rFonts w:hint="eastAsia" w:ascii="宋体" w:hAnsi="宋体" w:cs="宋体"/>
                <w:color w:val="000000"/>
                <w:kern w:val="0"/>
                <w:sz w:val="22"/>
                <w:szCs w:val="22"/>
              </w:rPr>
              <w:t>要求</w:t>
            </w:r>
          </w:p>
        </w:tc>
        <w:tc>
          <w:tcPr>
            <w:tcW w:w="5798" w:type="dxa"/>
            <w:tcBorders>
              <w:top w:val="single" w:color="auto" w:sz="4" w:space="0"/>
              <w:left w:val="nil"/>
              <w:bottom w:val="single" w:color="auto" w:sz="4" w:space="0"/>
              <w:right w:val="single" w:color="auto" w:sz="4" w:space="0"/>
            </w:tcBorders>
            <w:vAlign w:val="center"/>
          </w:tcPr>
          <w:p w14:paraId="3923AC41">
            <w:pPr>
              <w:adjustRightInd w:val="0"/>
              <w:snapToGrid w:val="0"/>
              <w:spacing w:line="360" w:lineRule="auto"/>
              <w:jc w:val="left"/>
              <w:rPr>
                <w:rFonts w:ascii="宋体" w:hAnsi="宋体"/>
                <w:sz w:val="22"/>
                <w:szCs w:val="20"/>
              </w:rPr>
            </w:pPr>
            <w:r>
              <w:rPr>
                <w:rFonts w:hint="eastAsia" w:ascii="宋体" w:hAnsi="宋体"/>
                <w:sz w:val="22"/>
                <w:szCs w:val="20"/>
              </w:rPr>
              <w:t>符合相关法律法规及行业标准</w:t>
            </w:r>
          </w:p>
        </w:tc>
      </w:tr>
      <w:tr w14:paraId="592970A6">
        <w:tblPrEx>
          <w:tblCellMar>
            <w:top w:w="0" w:type="dxa"/>
            <w:left w:w="108" w:type="dxa"/>
            <w:bottom w:w="0" w:type="dxa"/>
            <w:right w:w="108" w:type="dxa"/>
          </w:tblCellMar>
        </w:tblPrEx>
        <w:trPr>
          <w:trHeight w:val="500" w:hRule="atLeast"/>
        </w:trPr>
        <w:tc>
          <w:tcPr>
            <w:tcW w:w="508" w:type="dxa"/>
            <w:vMerge w:val="continue"/>
            <w:tcBorders>
              <w:top w:val="nil"/>
              <w:left w:val="single" w:color="auto" w:sz="4" w:space="0"/>
              <w:bottom w:val="single" w:color="auto" w:sz="4" w:space="0"/>
              <w:right w:val="single" w:color="auto" w:sz="4" w:space="0"/>
            </w:tcBorders>
            <w:vAlign w:val="center"/>
          </w:tcPr>
          <w:p w14:paraId="2D1DBD95">
            <w:pPr>
              <w:spacing w:line="600" w:lineRule="exact"/>
              <w:rPr>
                <w:rFonts w:ascii="宋体" w:hAnsi="宋体" w:cs="宋体"/>
                <w:sz w:val="22"/>
                <w:szCs w:val="22"/>
              </w:rPr>
            </w:pPr>
          </w:p>
        </w:tc>
        <w:tc>
          <w:tcPr>
            <w:tcW w:w="868" w:type="dxa"/>
            <w:vMerge w:val="continue"/>
            <w:tcBorders>
              <w:left w:val="nil"/>
              <w:right w:val="single" w:color="auto" w:sz="4" w:space="0"/>
            </w:tcBorders>
            <w:vAlign w:val="center"/>
          </w:tcPr>
          <w:p w14:paraId="65B67B75">
            <w:pPr>
              <w:spacing w:line="600" w:lineRule="exact"/>
              <w:rPr>
                <w:rFonts w:ascii="宋体" w:hAnsi="宋体" w:cs="宋体"/>
                <w:sz w:val="22"/>
                <w:szCs w:val="22"/>
              </w:rPr>
            </w:pPr>
          </w:p>
        </w:tc>
        <w:tc>
          <w:tcPr>
            <w:tcW w:w="2271" w:type="dxa"/>
            <w:tcBorders>
              <w:top w:val="single" w:color="auto" w:sz="4" w:space="0"/>
              <w:left w:val="nil"/>
              <w:bottom w:val="single" w:color="auto" w:sz="4" w:space="0"/>
              <w:right w:val="single" w:color="auto" w:sz="4" w:space="0"/>
            </w:tcBorders>
            <w:vAlign w:val="center"/>
          </w:tcPr>
          <w:p w14:paraId="1F643BF3">
            <w:pPr>
              <w:adjustRightInd w:val="0"/>
              <w:snapToGrid w:val="0"/>
              <w:spacing w:line="360" w:lineRule="auto"/>
              <w:jc w:val="center"/>
              <w:rPr>
                <w:rFonts w:ascii="宋体" w:hAnsi="宋体"/>
                <w:sz w:val="22"/>
                <w:szCs w:val="20"/>
              </w:rPr>
            </w:pPr>
            <w:r>
              <w:rPr>
                <w:rFonts w:hint="eastAsia" w:ascii="宋体" w:hAnsi="宋体"/>
                <w:sz w:val="22"/>
                <w:szCs w:val="20"/>
              </w:rPr>
              <w:t>磋商有效期</w:t>
            </w:r>
          </w:p>
        </w:tc>
        <w:tc>
          <w:tcPr>
            <w:tcW w:w="5798" w:type="dxa"/>
            <w:tcBorders>
              <w:top w:val="single" w:color="auto" w:sz="4" w:space="0"/>
              <w:left w:val="nil"/>
              <w:bottom w:val="single" w:color="auto" w:sz="4" w:space="0"/>
              <w:right w:val="single" w:color="auto" w:sz="4" w:space="0"/>
            </w:tcBorders>
            <w:vAlign w:val="center"/>
          </w:tcPr>
          <w:p w14:paraId="239D0B86">
            <w:pPr>
              <w:adjustRightInd w:val="0"/>
              <w:snapToGrid w:val="0"/>
              <w:spacing w:line="360" w:lineRule="auto"/>
              <w:rPr>
                <w:rFonts w:ascii="宋体" w:hAnsi="宋体"/>
                <w:sz w:val="22"/>
                <w:szCs w:val="20"/>
              </w:rPr>
            </w:pPr>
            <w:r>
              <w:rPr>
                <w:rFonts w:ascii="宋体" w:hAnsi="宋体"/>
                <w:sz w:val="22"/>
                <w:szCs w:val="20"/>
              </w:rPr>
              <w:t>60日历天(</w:t>
            </w:r>
            <w:r>
              <w:rPr>
                <w:rFonts w:hint="eastAsia" w:ascii="宋体" w:hAnsi="宋体"/>
                <w:sz w:val="22"/>
                <w:szCs w:val="20"/>
              </w:rPr>
              <w:t>指本次采购项目递交响应性文件截止之日起</w:t>
            </w:r>
            <w:r>
              <w:rPr>
                <w:rFonts w:ascii="宋体" w:hAnsi="宋体"/>
                <w:sz w:val="22"/>
                <w:szCs w:val="20"/>
              </w:rPr>
              <w:t>)</w:t>
            </w:r>
          </w:p>
        </w:tc>
      </w:tr>
      <w:tr w14:paraId="6501E0AF">
        <w:tblPrEx>
          <w:tblCellMar>
            <w:top w:w="0" w:type="dxa"/>
            <w:left w:w="108" w:type="dxa"/>
            <w:bottom w:w="0" w:type="dxa"/>
            <w:right w:w="108" w:type="dxa"/>
          </w:tblCellMar>
        </w:tblPrEx>
        <w:trPr>
          <w:trHeight w:val="373" w:hRule="atLeast"/>
        </w:trPr>
        <w:tc>
          <w:tcPr>
            <w:tcW w:w="508" w:type="dxa"/>
            <w:vMerge w:val="continue"/>
            <w:tcBorders>
              <w:top w:val="nil"/>
              <w:left w:val="single" w:color="auto" w:sz="4" w:space="0"/>
              <w:bottom w:val="single" w:color="auto" w:sz="4" w:space="0"/>
              <w:right w:val="single" w:color="auto" w:sz="4" w:space="0"/>
            </w:tcBorders>
            <w:vAlign w:val="center"/>
          </w:tcPr>
          <w:p w14:paraId="5B4D88FD">
            <w:pPr>
              <w:spacing w:line="600" w:lineRule="exact"/>
              <w:rPr>
                <w:rFonts w:ascii="宋体" w:hAnsi="宋体" w:cs="宋体"/>
                <w:sz w:val="22"/>
                <w:szCs w:val="22"/>
              </w:rPr>
            </w:pPr>
          </w:p>
        </w:tc>
        <w:tc>
          <w:tcPr>
            <w:tcW w:w="868" w:type="dxa"/>
            <w:vMerge w:val="continue"/>
            <w:tcBorders>
              <w:left w:val="nil"/>
              <w:bottom w:val="single" w:color="auto" w:sz="4" w:space="0"/>
              <w:right w:val="single" w:color="auto" w:sz="4" w:space="0"/>
            </w:tcBorders>
            <w:vAlign w:val="center"/>
          </w:tcPr>
          <w:p w14:paraId="3976E0C9">
            <w:pPr>
              <w:spacing w:line="600" w:lineRule="exact"/>
              <w:rPr>
                <w:rFonts w:ascii="宋体" w:hAnsi="宋体" w:cs="宋体"/>
                <w:sz w:val="22"/>
                <w:szCs w:val="22"/>
              </w:rPr>
            </w:pPr>
          </w:p>
        </w:tc>
        <w:tc>
          <w:tcPr>
            <w:tcW w:w="2271" w:type="dxa"/>
            <w:tcBorders>
              <w:top w:val="single" w:color="auto" w:sz="4" w:space="0"/>
              <w:left w:val="nil"/>
              <w:bottom w:val="single" w:color="auto" w:sz="4" w:space="0"/>
              <w:right w:val="single" w:color="auto" w:sz="4" w:space="0"/>
            </w:tcBorders>
            <w:vAlign w:val="center"/>
          </w:tcPr>
          <w:p w14:paraId="3036B311">
            <w:pPr>
              <w:adjustRightInd w:val="0"/>
              <w:snapToGrid w:val="0"/>
              <w:spacing w:line="360" w:lineRule="auto"/>
              <w:jc w:val="center"/>
              <w:rPr>
                <w:rFonts w:ascii="宋体" w:hAnsi="宋体"/>
                <w:sz w:val="22"/>
                <w:szCs w:val="20"/>
              </w:rPr>
            </w:pPr>
            <w:r>
              <w:rPr>
                <w:rFonts w:hint="eastAsia" w:ascii="宋体" w:hAnsi="宋体"/>
                <w:sz w:val="22"/>
                <w:szCs w:val="20"/>
              </w:rPr>
              <w:t>磋商报价</w:t>
            </w:r>
          </w:p>
        </w:tc>
        <w:tc>
          <w:tcPr>
            <w:tcW w:w="5798" w:type="dxa"/>
            <w:tcBorders>
              <w:top w:val="single" w:color="auto" w:sz="4" w:space="0"/>
              <w:left w:val="nil"/>
              <w:bottom w:val="single" w:color="auto" w:sz="4" w:space="0"/>
              <w:right w:val="single" w:color="auto" w:sz="4" w:space="0"/>
            </w:tcBorders>
            <w:vAlign w:val="center"/>
          </w:tcPr>
          <w:p w14:paraId="44FDDDF7">
            <w:pPr>
              <w:adjustRightInd w:val="0"/>
              <w:snapToGrid w:val="0"/>
              <w:spacing w:line="360" w:lineRule="auto"/>
              <w:rPr>
                <w:rFonts w:ascii="宋体" w:hAnsi="宋体"/>
                <w:sz w:val="22"/>
                <w:szCs w:val="20"/>
              </w:rPr>
            </w:pPr>
            <w:r>
              <w:rPr>
                <w:rFonts w:hint="eastAsia" w:ascii="宋体" w:hAnsi="宋体"/>
                <w:sz w:val="22"/>
                <w:szCs w:val="22"/>
              </w:rPr>
              <w:t>供应商磋商报价不得高于采购人公布的预算价（最高限价），否则其磋商将被否决</w:t>
            </w:r>
          </w:p>
        </w:tc>
      </w:tr>
    </w:tbl>
    <w:p w14:paraId="47CB34DB">
      <w:pPr>
        <w:spacing w:line="600" w:lineRule="exact"/>
        <w:ind w:firstLine="482" w:firstLineChars="200"/>
        <w:rPr>
          <w:rFonts w:hint="eastAsia" w:ascii="宋体" w:hAnsi="宋体" w:eastAsia="宋体" w:cs="宋体"/>
          <w:b/>
          <w:color w:val="000000" w:themeColor="text1"/>
          <w:sz w:val="24"/>
          <w14:textFill>
            <w14:solidFill>
              <w14:schemeClr w14:val="tx1"/>
            </w14:solidFill>
          </w14:textFill>
        </w:rPr>
      </w:pPr>
    </w:p>
    <w:p w14:paraId="685ABE9B">
      <w:pPr>
        <w:spacing w:line="600" w:lineRule="exact"/>
        <w:ind w:firstLine="482" w:firstLineChars="200"/>
        <w:rPr>
          <w:rFonts w:hint="eastAsia" w:ascii="宋体" w:hAnsi="宋体" w:eastAsia="宋体" w:cs="宋体"/>
          <w:b/>
          <w:color w:val="000000" w:themeColor="text1"/>
          <w:sz w:val="24"/>
          <w14:textFill>
            <w14:solidFill>
              <w14:schemeClr w14:val="tx1"/>
            </w14:solidFill>
          </w14:textFill>
        </w:rPr>
      </w:pPr>
    </w:p>
    <w:p w14:paraId="79F32FAB">
      <w:pPr>
        <w:spacing w:line="600" w:lineRule="exact"/>
        <w:ind w:firstLine="482" w:firstLineChars="200"/>
        <w:rPr>
          <w:rFonts w:hint="eastAsia" w:ascii="宋体" w:hAnsi="宋体" w:eastAsia="宋体" w:cs="宋体"/>
          <w:b/>
          <w:color w:val="000000" w:themeColor="text1"/>
          <w:sz w:val="24"/>
          <w14:textFill>
            <w14:solidFill>
              <w14:schemeClr w14:val="tx1"/>
            </w14:solidFill>
          </w14:textFill>
        </w:rPr>
      </w:pPr>
    </w:p>
    <w:p w14:paraId="1ABE4827">
      <w:pPr>
        <w:spacing w:line="600" w:lineRule="exact"/>
        <w:ind w:firstLine="482" w:firstLineChars="200"/>
        <w:rPr>
          <w:rFonts w:hint="eastAsia" w:ascii="宋体" w:hAnsi="宋体" w:eastAsia="宋体" w:cs="宋体"/>
          <w:b/>
          <w:color w:val="000000" w:themeColor="text1"/>
          <w:sz w:val="24"/>
          <w14:textFill>
            <w14:solidFill>
              <w14:schemeClr w14:val="tx1"/>
            </w14:solidFill>
          </w14:textFill>
        </w:rPr>
      </w:pPr>
    </w:p>
    <w:p w14:paraId="34052EA0">
      <w:pPr>
        <w:spacing w:line="600" w:lineRule="exact"/>
        <w:ind w:firstLine="482" w:firstLineChars="200"/>
        <w:rPr>
          <w:rFonts w:hint="eastAsia" w:ascii="宋体" w:hAnsi="宋体" w:eastAsia="宋体" w:cs="宋体"/>
          <w:b/>
          <w:color w:val="000000" w:themeColor="text1"/>
          <w:sz w:val="24"/>
          <w14:textFill>
            <w14:solidFill>
              <w14:schemeClr w14:val="tx1"/>
            </w14:solidFill>
          </w14:textFill>
        </w:rPr>
      </w:pPr>
    </w:p>
    <w:p w14:paraId="45FF52F4">
      <w:pPr>
        <w:spacing w:line="600" w:lineRule="exact"/>
        <w:ind w:firstLine="482" w:firstLineChars="200"/>
        <w:rPr>
          <w:rFonts w:hint="eastAsia" w:ascii="宋体" w:hAnsi="宋体" w:eastAsia="宋体" w:cs="宋体"/>
          <w:b/>
          <w:color w:val="000000" w:themeColor="text1"/>
          <w:sz w:val="24"/>
          <w14:textFill>
            <w14:solidFill>
              <w14:schemeClr w14:val="tx1"/>
            </w14:solidFill>
          </w14:textFill>
        </w:rPr>
      </w:pPr>
    </w:p>
    <w:p w14:paraId="02ADB8E0">
      <w:pPr>
        <w:spacing w:line="600" w:lineRule="exact"/>
        <w:ind w:firstLine="482" w:firstLineChars="200"/>
        <w:rPr>
          <w:rFonts w:hint="eastAsia" w:ascii="宋体" w:hAnsi="宋体" w:eastAsia="宋体" w:cs="宋体"/>
          <w:b/>
          <w:color w:val="000000" w:themeColor="text1"/>
          <w:sz w:val="24"/>
          <w14:textFill>
            <w14:solidFill>
              <w14:schemeClr w14:val="tx1"/>
            </w14:solidFill>
          </w14:textFill>
        </w:rPr>
      </w:pPr>
    </w:p>
    <w:p w14:paraId="329539AD">
      <w:pPr>
        <w:spacing w:line="600" w:lineRule="exact"/>
        <w:ind w:firstLine="482" w:firstLineChars="200"/>
        <w:rPr>
          <w:rFonts w:hint="eastAsia" w:ascii="宋体" w:hAnsi="宋体" w:eastAsia="宋体" w:cs="宋体"/>
          <w:b/>
          <w:color w:val="000000" w:themeColor="text1"/>
          <w:sz w:val="24"/>
          <w14:textFill>
            <w14:solidFill>
              <w14:schemeClr w14:val="tx1"/>
            </w14:solidFill>
          </w14:textFill>
        </w:rPr>
      </w:pPr>
    </w:p>
    <w:p w14:paraId="6D80A5EC">
      <w:pPr>
        <w:spacing w:line="600" w:lineRule="exact"/>
        <w:ind w:firstLine="482" w:firstLineChars="200"/>
        <w:rPr>
          <w:rFonts w:hint="eastAsia" w:ascii="宋体" w:hAnsi="宋体" w:eastAsia="宋体" w:cs="宋体"/>
          <w:b/>
          <w:color w:val="000000" w:themeColor="text1"/>
          <w:sz w:val="24"/>
          <w14:textFill>
            <w14:solidFill>
              <w14:schemeClr w14:val="tx1"/>
            </w14:solidFill>
          </w14:textFill>
        </w:rPr>
      </w:pPr>
    </w:p>
    <w:p w14:paraId="132DE46D">
      <w:pPr>
        <w:spacing w:line="600" w:lineRule="exact"/>
        <w:ind w:firstLine="482" w:firstLineChars="200"/>
        <w:rPr>
          <w:rFonts w:hint="eastAsia" w:ascii="宋体" w:hAnsi="宋体" w:eastAsia="宋体" w:cs="宋体"/>
          <w:b/>
          <w:color w:val="000000" w:themeColor="text1"/>
          <w:sz w:val="24"/>
          <w14:textFill>
            <w14:solidFill>
              <w14:schemeClr w14:val="tx1"/>
            </w14:solidFill>
          </w14:textFill>
        </w:rPr>
      </w:pPr>
    </w:p>
    <w:p w14:paraId="0D59C78B">
      <w:pPr>
        <w:spacing w:line="600" w:lineRule="exact"/>
        <w:ind w:firstLine="482" w:firstLineChars="200"/>
        <w:rPr>
          <w:rFonts w:hint="eastAsia" w:ascii="宋体" w:hAnsi="宋体" w:eastAsia="宋体" w:cs="宋体"/>
          <w:b/>
          <w:color w:val="000000" w:themeColor="text1"/>
          <w:sz w:val="24"/>
          <w14:textFill>
            <w14:solidFill>
              <w14:schemeClr w14:val="tx1"/>
            </w14:solidFill>
          </w14:textFill>
        </w:rPr>
      </w:pPr>
    </w:p>
    <w:p w14:paraId="271AB84E">
      <w:pPr>
        <w:spacing w:line="600" w:lineRule="exact"/>
        <w:ind w:firstLine="482" w:firstLineChars="200"/>
        <w:rPr>
          <w:rFonts w:hint="eastAsia" w:ascii="宋体" w:hAnsi="宋体" w:eastAsia="宋体" w:cs="宋体"/>
          <w:b/>
          <w:color w:val="000000" w:themeColor="text1"/>
          <w:sz w:val="24"/>
          <w14:textFill>
            <w14:solidFill>
              <w14:schemeClr w14:val="tx1"/>
            </w14:solidFill>
          </w14:textFill>
        </w:rPr>
      </w:pPr>
    </w:p>
    <w:p w14:paraId="42DA0652">
      <w:pPr>
        <w:spacing w:line="600" w:lineRule="exact"/>
        <w:ind w:firstLine="482" w:firstLineChars="200"/>
        <w:rPr>
          <w:rFonts w:hint="eastAsia" w:ascii="宋体" w:hAnsi="宋体" w:eastAsia="宋体" w:cs="宋体"/>
          <w:b/>
          <w:color w:val="000000" w:themeColor="text1"/>
          <w:sz w:val="24"/>
          <w14:textFill>
            <w14:solidFill>
              <w14:schemeClr w14:val="tx1"/>
            </w14:solidFill>
          </w14:textFill>
        </w:rPr>
      </w:pPr>
    </w:p>
    <w:p w14:paraId="7F1F9C7F">
      <w:pPr>
        <w:spacing w:line="600" w:lineRule="exact"/>
        <w:ind w:firstLine="482" w:firstLineChars="200"/>
        <w:rPr>
          <w:rFonts w:hint="eastAsia" w:ascii="宋体" w:hAnsi="宋体" w:eastAsia="宋体" w:cs="宋体"/>
          <w:b/>
          <w:color w:val="000000" w:themeColor="text1"/>
          <w:sz w:val="24"/>
          <w14:textFill>
            <w14:solidFill>
              <w14:schemeClr w14:val="tx1"/>
            </w14:solidFill>
          </w14:textFill>
        </w:rPr>
      </w:pPr>
    </w:p>
    <w:p w14:paraId="59C1F0DC">
      <w:pPr>
        <w:spacing w:line="600" w:lineRule="exact"/>
        <w:ind w:firstLine="482" w:firstLineChars="200"/>
        <w:rPr>
          <w:rFonts w:ascii="Calibri" w:hAnsi="Calibri" w:eastAsia="宋体" w:cs="Times New Roman"/>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1. 磋商文件的评审、比较和否决</w:t>
      </w:r>
    </w:p>
    <w:p w14:paraId="61B8C5F6">
      <w:pPr>
        <w:spacing w:line="600" w:lineRule="exact"/>
        <w:ind w:firstLine="482" w:firstLineChars="200"/>
        <w:rPr>
          <w:rFonts w:ascii="Calibri" w:hAnsi="Calibri" w:eastAsia="宋体" w:cs="Times New Roman"/>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磋商小组将按照竞争性磋商文件的规定，仅对在实质上响应竞争性磋商文件要求的响应文件进行评估和比较。</w:t>
      </w:r>
    </w:p>
    <w:p w14:paraId="44371A4E">
      <w:pPr>
        <w:spacing w:line="600" w:lineRule="exact"/>
        <w:ind w:firstLine="482" w:firstLineChars="200"/>
        <w:rPr>
          <w:rFonts w:ascii="Calibri" w:hAnsi="Calibri" w:eastAsia="宋体" w:cs="Times New Roman"/>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根据相关法律法规及有关磋商文件规定，结合本项目具体情况，制定本次采购磋商办法。并按照“公平、公正、科学、择优”的原则进行磋商。采用百分制综合评估法进行评比。</w:t>
      </w:r>
    </w:p>
    <w:p w14:paraId="3ACC1885">
      <w:pPr>
        <w:spacing w:line="600" w:lineRule="exact"/>
        <w:ind w:firstLine="482" w:firstLineChars="200"/>
        <w:rPr>
          <w:rFonts w:ascii="Calibri" w:hAnsi="Calibri" w:eastAsia="宋体" w:cs="Times New Roman"/>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1.3</w:t>
      </w:r>
      <w:r>
        <w:rPr>
          <w:rFonts w:hint="eastAsia" w:ascii="宋体" w:hAnsi="宋体" w:eastAsia="宋体" w:cs="宋体"/>
          <w:color w:val="000000" w:themeColor="text1"/>
          <w:sz w:val="24"/>
          <w14:textFill>
            <w14:solidFill>
              <w14:schemeClr w14:val="tx1"/>
            </w14:solidFill>
          </w14:textFill>
        </w:rPr>
        <w:t>在磋商过程中，磋商小组可以以书面形式要求供应商就响应文件中含义不明确的内容进行书面说明并提供相关材料；凡遇到响应文件中无界定或界定不清、前后不一致使磋商小组意见有分歧且又难于协商一致的问题，均由磋商小组予以表决，获半数以上同意的即为通过，未获半数同意的即为否决。</w:t>
      </w:r>
    </w:p>
    <w:p w14:paraId="386DD9B6">
      <w:pPr>
        <w:spacing w:line="600" w:lineRule="exact"/>
        <w:ind w:firstLine="482" w:firstLineChars="200"/>
        <w:rPr>
          <w:rFonts w:ascii="Calibri" w:hAnsi="Calibri" w:eastAsia="宋体" w:cs="Times New Roman"/>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1.4</w:t>
      </w:r>
      <w:r>
        <w:rPr>
          <w:rFonts w:hint="eastAsia" w:ascii="宋体" w:hAnsi="宋体" w:eastAsia="宋体" w:cs="宋体"/>
          <w:color w:val="000000" w:themeColor="text1"/>
          <w:sz w:val="24"/>
          <w14:textFill>
            <w14:solidFill>
              <w14:schemeClr w14:val="tx1"/>
            </w14:solidFill>
          </w14:textFill>
        </w:rPr>
        <w:t>磋商时，磋商报价是磋商的重要依据，但不是唯一依据，采购人不承诺将合同授予报价最低或最高的供应商。</w:t>
      </w:r>
    </w:p>
    <w:p w14:paraId="05D3B97E">
      <w:pPr>
        <w:spacing w:line="600" w:lineRule="exact"/>
        <w:ind w:firstLine="482" w:firstLineChars="200"/>
        <w:rPr>
          <w:rFonts w:ascii="Calibri" w:hAnsi="Calibri" w:eastAsia="宋体" w:cs="Times New Roman"/>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1.5</w:t>
      </w:r>
      <w:r>
        <w:rPr>
          <w:rFonts w:hint="eastAsia" w:ascii="宋体" w:hAnsi="宋体" w:eastAsia="宋体" w:cs="宋体"/>
          <w:color w:val="000000" w:themeColor="text1"/>
          <w:sz w:val="24"/>
          <w14:textFill>
            <w14:solidFill>
              <w14:schemeClr w14:val="tx1"/>
            </w14:solidFill>
          </w14:textFill>
        </w:rPr>
        <w:t>磋商小组依据竞争性磋商文件中规定的磋商标准和方法，对响应文件进行评审和比较，向采购人提出书面评标报告，并推荐合格的成交候选人。采购人根据磋商小组提出的书面评标报告和推荐的成交候选人按序确定成交人。</w:t>
      </w:r>
    </w:p>
    <w:p w14:paraId="5977A30B">
      <w:pPr>
        <w:spacing w:line="600" w:lineRule="exact"/>
        <w:ind w:firstLine="482" w:firstLineChars="200"/>
        <w:rPr>
          <w:rFonts w:ascii="Calibri" w:hAnsi="Calibri" w:eastAsia="宋体" w:cs="Times New Roman"/>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2. 磋商程序</w:t>
      </w:r>
    </w:p>
    <w:p w14:paraId="5E2AE4A7">
      <w:pPr>
        <w:spacing w:line="600" w:lineRule="exact"/>
        <w:ind w:firstLine="480" w:firstLineChars="200"/>
        <w:rPr>
          <w:rFonts w:ascii="Calibri" w:hAnsi="Calibri" w:eastAsia="宋体" w:cs="Times New Roman"/>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 资格审查</w:t>
      </w:r>
    </w:p>
    <w:p w14:paraId="1E7ED4C9">
      <w:pPr>
        <w:spacing w:line="600" w:lineRule="exact"/>
        <w:ind w:firstLine="480" w:firstLineChars="200"/>
        <w:rPr>
          <w:rFonts w:ascii="Calibri" w:hAnsi="Calibri" w:eastAsia="宋体" w:cs="Times New Roman"/>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本项目采用资格后审</w:t>
      </w:r>
    </w:p>
    <w:p w14:paraId="5FF4BAF9">
      <w:pPr>
        <w:spacing w:line="60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磋商小组按照竞争性磋商文件供应商资格要求，对供应商的响应文件进行形式</w:t>
      </w:r>
      <w:r>
        <w:rPr>
          <w:rFonts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资格和响应性审查，有一项不符合的，按废标处理，符合的进入下一磋商程序。</w:t>
      </w:r>
    </w:p>
    <w:p w14:paraId="004254EF">
      <w:pPr>
        <w:spacing w:line="600" w:lineRule="exact"/>
        <w:ind w:firstLine="482" w:firstLineChars="200"/>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3.磋商具体方法和标准</w:t>
      </w:r>
    </w:p>
    <w:p w14:paraId="69360F95">
      <w:pPr>
        <w:spacing w:line="6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磋商小组根据磋商原则和办法对所有响应文件进行集中审核，分别评价。</w:t>
      </w:r>
    </w:p>
    <w:p w14:paraId="2814CB91">
      <w:pPr>
        <w:pStyle w:val="40"/>
        <w:ind w:firstLine="281"/>
        <w:jc w:val="center"/>
        <w:rPr>
          <w:rFonts w:hint="eastAsia" w:ascii="宋体" w:hAnsi="宋体" w:eastAsia="宋体" w:cs="宋体-18030"/>
          <w:b/>
          <w:color w:val="000000"/>
          <w:sz w:val="28"/>
        </w:rPr>
      </w:pPr>
    </w:p>
    <w:p w14:paraId="6ACB45BB">
      <w:pPr>
        <w:pStyle w:val="40"/>
        <w:ind w:firstLine="281"/>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18030"/>
          <w:b/>
          <w:color w:val="000000"/>
          <w:sz w:val="28"/>
        </w:rPr>
        <w:t>详细评审表</w:t>
      </w:r>
    </w:p>
    <w:tbl>
      <w:tblPr>
        <w:tblStyle w:val="21"/>
        <w:tblW w:w="9001"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1208"/>
        <w:gridCol w:w="5695"/>
        <w:gridCol w:w="840"/>
      </w:tblGrid>
      <w:tr w14:paraId="4878C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258" w:type="dxa"/>
            <w:vAlign w:val="center"/>
          </w:tcPr>
          <w:p w14:paraId="4BE2E219">
            <w:pPr>
              <w:spacing w:line="360" w:lineRule="auto"/>
              <w:jc w:val="center"/>
              <w:rPr>
                <w:rFonts w:ascii="宋体" w:hAnsi="宋体" w:eastAsia="宋体" w:cs="宋体"/>
                <w:b/>
                <w:bCs/>
                <w:sz w:val="24"/>
              </w:rPr>
            </w:pPr>
            <w:r>
              <w:rPr>
                <w:rFonts w:hint="eastAsia" w:ascii="宋体" w:hAnsi="宋体" w:eastAsia="宋体" w:cs="宋体"/>
                <w:b/>
                <w:bCs/>
                <w:sz w:val="24"/>
              </w:rPr>
              <w:t>评分因素</w:t>
            </w:r>
          </w:p>
        </w:tc>
        <w:tc>
          <w:tcPr>
            <w:tcW w:w="1208" w:type="dxa"/>
            <w:vAlign w:val="center"/>
          </w:tcPr>
          <w:p w14:paraId="1E269D08">
            <w:pPr>
              <w:spacing w:line="360" w:lineRule="auto"/>
              <w:jc w:val="center"/>
              <w:rPr>
                <w:rFonts w:ascii="宋体" w:hAnsi="宋体" w:eastAsia="宋体" w:cs="宋体"/>
                <w:b/>
                <w:bCs/>
                <w:sz w:val="24"/>
              </w:rPr>
            </w:pPr>
            <w:r>
              <w:rPr>
                <w:rFonts w:hint="eastAsia" w:ascii="宋体" w:hAnsi="宋体" w:eastAsia="宋体" w:cs="宋体"/>
                <w:b/>
                <w:bCs/>
                <w:sz w:val="24"/>
              </w:rPr>
              <w:t>评分内容</w:t>
            </w:r>
          </w:p>
        </w:tc>
        <w:tc>
          <w:tcPr>
            <w:tcW w:w="5695" w:type="dxa"/>
            <w:vAlign w:val="center"/>
          </w:tcPr>
          <w:p w14:paraId="7C6C359D">
            <w:pPr>
              <w:spacing w:line="360" w:lineRule="auto"/>
              <w:jc w:val="center"/>
              <w:rPr>
                <w:rFonts w:ascii="宋体" w:hAnsi="宋体" w:eastAsia="宋体" w:cs="宋体"/>
                <w:b/>
                <w:bCs/>
                <w:sz w:val="24"/>
              </w:rPr>
            </w:pPr>
            <w:r>
              <w:rPr>
                <w:rFonts w:hint="eastAsia" w:ascii="宋体" w:hAnsi="宋体" w:eastAsia="宋体" w:cs="宋体"/>
                <w:b/>
                <w:bCs/>
                <w:sz w:val="24"/>
              </w:rPr>
              <w:t>评分标准</w:t>
            </w:r>
          </w:p>
        </w:tc>
        <w:tc>
          <w:tcPr>
            <w:tcW w:w="840" w:type="dxa"/>
            <w:vAlign w:val="center"/>
          </w:tcPr>
          <w:p w14:paraId="5F2C2A71">
            <w:pPr>
              <w:spacing w:line="360" w:lineRule="auto"/>
              <w:jc w:val="center"/>
              <w:rPr>
                <w:rFonts w:ascii="宋体" w:hAnsi="宋体" w:eastAsia="宋体" w:cs="宋体"/>
                <w:b/>
                <w:bCs/>
                <w:sz w:val="24"/>
              </w:rPr>
            </w:pPr>
            <w:r>
              <w:rPr>
                <w:rFonts w:hint="eastAsia" w:ascii="宋体" w:hAnsi="宋体" w:eastAsia="宋体" w:cs="宋体"/>
                <w:b/>
                <w:bCs/>
                <w:sz w:val="24"/>
              </w:rPr>
              <w:t>分值</w:t>
            </w:r>
          </w:p>
        </w:tc>
      </w:tr>
      <w:tr w14:paraId="085D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2" w:hRule="atLeast"/>
        </w:trPr>
        <w:tc>
          <w:tcPr>
            <w:tcW w:w="1258" w:type="dxa"/>
            <w:vAlign w:val="center"/>
          </w:tcPr>
          <w:p w14:paraId="1CD94C5F">
            <w:pPr>
              <w:spacing w:line="360" w:lineRule="auto"/>
              <w:jc w:val="center"/>
              <w:rPr>
                <w:rFonts w:ascii="宋体" w:hAnsi="宋体" w:eastAsia="宋体" w:cs="宋体"/>
                <w:b/>
                <w:bCs/>
                <w:sz w:val="24"/>
              </w:rPr>
            </w:pPr>
            <w:r>
              <w:rPr>
                <w:rFonts w:hint="eastAsia" w:ascii="宋体" w:hAnsi="宋体" w:cs="宋体"/>
                <w:b/>
                <w:bCs/>
                <w:sz w:val="24"/>
              </w:rPr>
              <w:t>磋商报价（30分）</w:t>
            </w:r>
          </w:p>
        </w:tc>
        <w:tc>
          <w:tcPr>
            <w:tcW w:w="1208" w:type="dxa"/>
            <w:vAlign w:val="center"/>
          </w:tcPr>
          <w:p w14:paraId="5143FF90">
            <w:pPr>
              <w:spacing w:line="360" w:lineRule="auto"/>
              <w:jc w:val="center"/>
              <w:rPr>
                <w:rFonts w:ascii="宋体" w:hAnsi="宋体" w:eastAsia="宋体" w:cs="宋体"/>
                <w:b/>
                <w:bCs/>
                <w:sz w:val="24"/>
              </w:rPr>
            </w:pPr>
            <w:r>
              <w:rPr>
                <w:rFonts w:hint="eastAsia" w:ascii="宋体" w:hAnsi="宋体" w:cs="宋体"/>
                <w:sz w:val="24"/>
              </w:rPr>
              <w:t>磋商报价</w:t>
            </w:r>
          </w:p>
        </w:tc>
        <w:tc>
          <w:tcPr>
            <w:tcW w:w="5695" w:type="dxa"/>
            <w:vAlign w:val="center"/>
          </w:tcPr>
          <w:p w14:paraId="6154F36C">
            <w:pPr>
              <w:spacing w:line="360" w:lineRule="auto"/>
              <w:rPr>
                <w:rFonts w:ascii="宋体" w:hAnsi="宋体" w:cs="宋体"/>
                <w:sz w:val="22"/>
                <w:szCs w:val="22"/>
              </w:rPr>
            </w:pPr>
            <w:r>
              <w:rPr>
                <w:rFonts w:hint="eastAsia" w:ascii="宋体" w:hAnsi="宋体" w:cs="宋体"/>
                <w:sz w:val="22"/>
                <w:szCs w:val="22"/>
              </w:rPr>
              <w:t>1、本次竞争性磋商分为两轮报价，响应文件中的报价作为第一次报价，不得高于</w:t>
            </w:r>
            <w:r>
              <w:rPr>
                <w:rFonts w:hint="eastAsia" w:ascii="宋体" w:hAnsi="宋体" w:cs="宋体"/>
                <w:sz w:val="22"/>
                <w:szCs w:val="22"/>
                <w:highlight w:val="none"/>
              </w:rPr>
              <w:t>磋商控制价</w:t>
            </w:r>
            <w:r>
              <w:rPr>
                <w:rFonts w:hint="eastAsia" w:ascii="宋体" w:hAnsi="宋体" w:cs="宋体"/>
                <w:sz w:val="22"/>
                <w:szCs w:val="22"/>
              </w:rPr>
              <w:t>。所有未进入详细评审的磋商为无效磋商，其报价不作为评分依据。</w:t>
            </w:r>
          </w:p>
          <w:p w14:paraId="4338B770">
            <w:pPr>
              <w:spacing w:line="360" w:lineRule="auto"/>
              <w:rPr>
                <w:rFonts w:ascii="宋体" w:hAnsi="宋体" w:cs="宋体"/>
                <w:sz w:val="22"/>
                <w:szCs w:val="22"/>
                <w:highlight w:val="none"/>
              </w:rPr>
            </w:pPr>
            <w:r>
              <w:rPr>
                <w:rFonts w:hint="eastAsia" w:ascii="宋体" w:hAnsi="宋体" w:cs="宋体"/>
                <w:sz w:val="22"/>
                <w:szCs w:val="22"/>
              </w:rPr>
              <w:t>2、</w:t>
            </w:r>
            <w:r>
              <w:rPr>
                <w:rFonts w:hint="eastAsia" w:ascii="宋体" w:hAnsi="宋体" w:cs="宋体"/>
                <w:sz w:val="22"/>
                <w:szCs w:val="22"/>
                <w:highlight w:val="none"/>
              </w:rPr>
              <w:t>价格分采用低价优先法计算，即满足竞争性磋商文件要求且最后报价最低的供应商的价格为磋商基准价，其价格分为满分，其他供应商的价格分统一按照下列公式计算：</w:t>
            </w:r>
          </w:p>
          <w:p w14:paraId="13FABA69">
            <w:pPr>
              <w:spacing w:line="360" w:lineRule="auto"/>
              <w:rPr>
                <w:rFonts w:ascii="宋体" w:hAnsi="宋体" w:cs="宋体"/>
                <w:bCs/>
                <w:kern w:val="0"/>
                <w:sz w:val="22"/>
                <w:szCs w:val="22"/>
                <w:highlight w:val="none"/>
              </w:rPr>
            </w:pPr>
            <w:r>
              <w:rPr>
                <w:rFonts w:hint="eastAsia" w:ascii="宋体" w:hAnsi="宋体" w:cs="宋体"/>
                <w:bCs/>
                <w:kern w:val="0"/>
                <w:sz w:val="22"/>
                <w:szCs w:val="22"/>
                <w:highlight w:val="none"/>
              </w:rPr>
              <w:t>其他供应商磋商报价得分=</w:t>
            </w:r>
            <w:r>
              <w:rPr>
                <w:rFonts w:hint="eastAsia" w:ascii="宋体" w:hAnsi="宋体" w:eastAsia="宋体" w:cs="仿宋_GB2312"/>
                <w:color w:val="000000"/>
                <w:sz w:val="22"/>
                <w:szCs w:val="22"/>
                <w:highlight w:val="none"/>
                <w:lang w:val="zh-CN"/>
              </w:rPr>
              <w:t>（</w:t>
            </w:r>
            <w:r>
              <w:rPr>
                <w:rFonts w:hint="eastAsia" w:ascii="宋体" w:hAnsi="宋体" w:cs="宋体"/>
                <w:bCs/>
                <w:kern w:val="0"/>
                <w:sz w:val="22"/>
                <w:szCs w:val="22"/>
                <w:highlight w:val="none"/>
              </w:rPr>
              <w:t>磋商基准价/磋商报价</w:t>
            </w:r>
            <w:r>
              <w:rPr>
                <w:rFonts w:hint="eastAsia" w:ascii="宋体" w:hAnsi="宋体" w:eastAsia="宋体" w:cs="仿宋_GB2312"/>
                <w:color w:val="000000"/>
                <w:sz w:val="22"/>
                <w:szCs w:val="22"/>
                <w:highlight w:val="none"/>
                <w:lang w:val="zh-CN"/>
              </w:rPr>
              <w:t>）</w:t>
            </w:r>
            <w:r>
              <w:rPr>
                <w:rFonts w:hint="eastAsia" w:ascii="宋体" w:hAnsi="宋体" w:cs="宋体"/>
                <w:bCs/>
                <w:kern w:val="0"/>
                <w:sz w:val="22"/>
                <w:szCs w:val="22"/>
                <w:highlight w:val="none"/>
              </w:rPr>
              <w:t>×30%×100</w:t>
            </w:r>
          </w:p>
          <w:p w14:paraId="7ED670E7">
            <w:pPr>
              <w:spacing w:line="360" w:lineRule="auto"/>
              <w:ind w:firstLine="442" w:firstLineChars="200"/>
              <w:rPr>
                <w:rFonts w:hint="default" w:ascii="宋体" w:hAnsi="宋体" w:cs="宋体"/>
                <w:b/>
                <w:bCs/>
                <w:sz w:val="22"/>
                <w:szCs w:val="22"/>
                <w:lang w:val="en-US" w:eastAsia="zh-CN"/>
              </w:rPr>
            </w:pPr>
            <w:r>
              <w:rPr>
                <w:rFonts w:hint="eastAsia" w:ascii="宋体" w:hAnsi="宋体" w:cs="宋体"/>
                <w:b/>
                <w:bCs/>
                <w:sz w:val="22"/>
                <w:szCs w:val="22"/>
                <w:lang w:val="en-US" w:eastAsia="zh-CN"/>
              </w:rPr>
              <w:t>注：1.得分四舍五入后保留两位小数。</w:t>
            </w:r>
          </w:p>
          <w:p w14:paraId="1E56AE92">
            <w:pPr>
              <w:spacing w:line="360" w:lineRule="auto"/>
              <w:ind w:firstLine="442" w:firstLineChars="200"/>
              <w:rPr>
                <w:rFonts w:hint="eastAsia" w:ascii="宋体" w:hAnsi="宋体" w:cs="宋体"/>
                <w:b/>
                <w:bCs/>
                <w:sz w:val="22"/>
                <w:szCs w:val="22"/>
              </w:rPr>
            </w:pPr>
            <w:r>
              <w:rPr>
                <w:rFonts w:hint="eastAsia" w:ascii="宋体" w:hAnsi="宋体" w:cs="宋体"/>
                <w:b/>
                <w:bCs/>
                <w:sz w:val="22"/>
                <w:szCs w:val="22"/>
                <w:lang w:val="en-US" w:eastAsia="zh-CN"/>
              </w:rPr>
              <w:t>2.</w:t>
            </w:r>
            <w:r>
              <w:rPr>
                <w:rFonts w:hint="eastAsia" w:ascii="宋体" w:hAnsi="宋体" w:cs="宋体"/>
                <w:b/>
                <w:bCs/>
                <w:sz w:val="22"/>
                <w:szCs w:val="22"/>
              </w:rPr>
              <w:t>如磋商小组一致认为最低报价明显不合理，有降低质量、不能诚信履约的可能时，磋商小组有权通知供应商进行解释。如供应商未能在规定期限内作出解释，或所作解释不合理，经磋商小组取得一致意见后，对该供应商将不予推荐。</w:t>
            </w:r>
          </w:p>
          <w:p w14:paraId="6A2BDAD8">
            <w:pPr>
              <w:spacing w:line="360" w:lineRule="auto"/>
              <w:ind w:firstLine="442" w:firstLineChars="200"/>
            </w:pPr>
            <w:r>
              <w:rPr>
                <w:rFonts w:hint="eastAsia" w:ascii="宋体" w:hAnsi="宋体" w:cs="宋体"/>
                <w:b/>
                <w:bCs/>
                <w:sz w:val="22"/>
                <w:szCs w:val="22"/>
                <w:lang w:val="en-US" w:eastAsia="zh-CN"/>
              </w:rPr>
              <w:t>3.落实的政府采购政策：（1）本项目专门面向中小企业采购，不再进行价格扣除。参加政府采购活动的中小企业应当提供《中小企业声明函》；（2）关于监狱企业：视同小微企业。须提供由省级以上监狱管理局、戒毒管理局（含新疆生产建设兵团）出具的属于监狱企业的证明文件；（3）关于残疾人福利性单位：视同小微企业。须提供完整的“残疾人福利性单位声明函”。</w:t>
            </w:r>
          </w:p>
        </w:tc>
        <w:tc>
          <w:tcPr>
            <w:tcW w:w="840" w:type="dxa"/>
            <w:vAlign w:val="center"/>
          </w:tcPr>
          <w:p w14:paraId="6EDC4BC1">
            <w:pPr>
              <w:snapToGrid w:val="0"/>
              <w:spacing w:line="440" w:lineRule="exact"/>
              <w:jc w:val="center"/>
              <w:rPr>
                <w:rFonts w:ascii="宋体" w:hAnsi="宋体" w:eastAsia="宋体" w:cs="宋体"/>
                <w:b/>
                <w:bCs/>
                <w:sz w:val="24"/>
              </w:rPr>
            </w:pPr>
            <w:r>
              <w:rPr>
                <w:rFonts w:hint="eastAsia" w:ascii="宋体" w:hAnsi="宋体" w:eastAsia="宋体" w:cs="宋体"/>
                <w:kern w:val="0"/>
                <w:sz w:val="24"/>
              </w:rPr>
              <w:t>30分</w:t>
            </w:r>
          </w:p>
        </w:tc>
      </w:tr>
      <w:tr w14:paraId="35BB6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258" w:type="dxa"/>
            <w:vMerge w:val="restart"/>
            <w:vAlign w:val="center"/>
          </w:tcPr>
          <w:p w14:paraId="74CF32C6">
            <w:pPr>
              <w:spacing w:line="360" w:lineRule="auto"/>
              <w:jc w:val="both"/>
              <w:rPr>
                <w:rFonts w:ascii="宋体" w:hAnsi="宋体" w:eastAsia="宋体" w:cs="宋体"/>
                <w:b/>
                <w:bCs/>
                <w:sz w:val="24"/>
              </w:rPr>
            </w:pPr>
            <w:r>
              <w:rPr>
                <w:rFonts w:hint="eastAsia" w:ascii="宋体" w:hAnsi="宋体" w:eastAsia="宋体" w:cs="宋体"/>
                <w:b/>
                <w:bCs/>
                <w:color w:val="auto"/>
                <w:sz w:val="22"/>
                <w:szCs w:val="22"/>
                <w:u w:val="none"/>
                <w:lang w:bidi="ar-SA"/>
              </w:rPr>
              <w:t>技术部分(</w:t>
            </w:r>
            <w:r>
              <w:rPr>
                <w:rFonts w:hint="eastAsia" w:ascii="宋体" w:hAnsi="宋体" w:eastAsia="宋体" w:cs="宋体"/>
                <w:b/>
                <w:bCs/>
                <w:color w:val="auto"/>
                <w:sz w:val="22"/>
                <w:szCs w:val="22"/>
                <w:u w:val="none"/>
                <w:lang w:val="en-US" w:eastAsia="zh-CN" w:bidi="ar-SA"/>
              </w:rPr>
              <w:t>35</w:t>
            </w:r>
            <w:r>
              <w:rPr>
                <w:rFonts w:hint="eastAsia" w:ascii="宋体" w:hAnsi="宋体" w:eastAsia="宋体" w:cs="宋体"/>
                <w:b/>
                <w:bCs/>
                <w:color w:val="auto"/>
                <w:sz w:val="22"/>
                <w:szCs w:val="22"/>
                <w:u w:val="none"/>
                <w:lang w:bidi="ar-SA"/>
              </w:rPr>
              <w:t>分)</w:t>
            </w:r>
          </w:p>
        </w:tc>
        <w:tc>
          <w:tcPr>
            <w:tcW w:w="1208" w:type="dxa"/>
            <w:shd w:val="clear" w:color="auto" w:fill="auto"/>
            <w:vAlign w:val="top"/>
          </w:tcPr>
          <w:p w14:paraId="19F1FDD5">
            <w:pPr>
              <w:pStyle w:val="41"/>
              <w:spacing w:before="91" w:line="333" w:lineRule="auto"/>
              <w:ind w:left="114" w:leftChars="0" w:right="107" w:rightChars="0" w:hanging="2" w:firstLineChars="0"/>
              <w:jc w:val="center"/>
              <w:rPr>
                <w:sz w:val="24"/>
                <w:szCs w:val="24"/>
              </w:rPr>
            </w:pPr>
            <w:r>
              <w:rPr>
                <w:rFonts w:hint="eastAsia" w:ascii="宋体" w:hAnsi="宋体" w:eastAsia="宋体" w:cs="宋体"/>
                <w:kern w:val="2"/>
                <w:sz w:val="22"/>
                <w:szCs w:val="22"/>
                <w:lang w:val="en-US" w:eastAsia="en-US" w:bidi="ar-SA"/>
              </w:rPr>
              <w:t>总体服务方案</w:t>
            </w:r>
          </w:p>
        </w:tc>
        <w:tc>
          <w:tcPr>
            <w:tcW w:w="5695" w:type="dxa"/>
            <w:shd w:val="clear" w:color="auto" w:fill="auto"/>
            <w:vAlign w:val="top"/>
          </w:tcPr>
          <w:p w14:paraId="3D97A3DB">
            <w:pPr>
              <w:spacing w:line="360" w:lineRule="auto"/>
              <w:rPr>
                <w:rFonts w:hint="eastAsia"/>
                <w:spacing w:val="5"/>
                <w:sz w:val="22"/>
                <w:szCs w:val="22"/>
                <w:highlight w:val="none"/>
                <w:lang w:val="en-US" w:eastAsia="zh-CN"/>
              </w:rPr>
            </w:pPr>
            <w:r>
              <w:rPr>
                <w:rFonts w:hint="eastAsia"/>
                <w:spacing w:val="5"/>
                <w:sz w:val="22"/>
                <w:szCs w:val="22"/>
                <w:highlight w:val="none"/>
                <w:lang w:val="en-US" w:eastAsia="en-US"/>
              </w:rPr>
              <w:t>配送保障方案完整、合理，配送的及时性、安全性、车辆及所需设施设备，按要求出入库</w:t>
            </w:r>
            <w:r>
              <w:rPr>
                <w:rFonts w:hint="eastAsia"/>
                <w:spacing w:val="5"/>
                <w:sz w:val="22"/>
                <w:szCs w:val="22"/>
                <w:highlight w:val="none"/>
                <w:lang w:val="en-US" w:eastAsia="zh-CN"/>
              </w:rPr>
              <w:t>；</w:t>
            </w:r>
            <w:r>
              <w:rPr>
                <w:rFonts w:hint="eastAsia"/>
                <w:spacing w:val="5"/>
                <w:sz w:val="22"/>
                <w:szCs w:val="22"/>
                <w:highlight w:val="none"/>
                <w:lang w:val="en-US" w:eastAsia="en-US"/>
              </w:rPr>
              <w:t>台帐健全、人员安排合理、职责明确、流程合理规范</w:t>
            </w:r>
            <w:r>
              <w:rPr>
                <w:rFonts w:hint="eastAsia"/>
                <w:spacing w:val="5"/>
                <w:sz w:val="22"/>
                <w:szCs w:val="22"/>
                <w:highlight w:val="none"/>
                <w:lang w:val="en-US" w:eastAsia="zh-CN"/>
              </w:rPr>
              <w:t>；</w:t>
            </w:r>
          </w:p>
          <w:p w14:paraId="12D3905A">
            <w:pPr>
              <w:spacing w:line="360" w:lineRule="auto"/>
              <w:rPr>
                <w:rFonts w:hint="eastAsia" w:eastAsiaTheme="minorEastAsia"/>
                <w:spacing w:val="5"/>
                <w:sz w:val="22"/>
                <w:szCs w:val="22"/>
                <w:highlight w:val="none"/>
                <w:lang w:val="en-US" w:eastAsia="zh-CN"/>
              </w:rPr>
            </w:pPr>
            <w:r>
              <w:rPr>
                <w:rFonts w:hint="eastAsia"/>
                <w:spacing w:val="5"/>
                <w:sz w:val="22"/>
                <w:szCs w:val="22"/>
                <w:highlight w:val="none"/>
                <w:lang w:val="en-US" w:eastAsia="en-US"/>
              </w:rPr>
              <w:t>明确食材运输有专车、严禁一车多用或与非食材混运，运输中使用的容器、工具专用，有专人负责运输工具的清洗、消毒等卫生工作</w:t>
            </w:r>
            <w:r>
              <w:rPr>
                <w:rFonts w:hint="eastAsia"/>
                <w:spacing w:val="5"/>
                <w:sz w:val="22"/>
                <w:szCs w:val="22"/>
                <w:highlight w:val="none"/>
                <w:lang w:val="en-US" w:eastAsia="zh-CN"/>
              </w:rPr>
              <w:t>；</w:t>
            </w:r>
          </w:p>
          <w:p w14:paraId="23D74886">
            <w:pPr>
              <w:numPr>
                <w:ilvl w:val="0"/>
                <w:numId w:val="6"/>
              </w:num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对项目总体认识</w:t>
            </w:r>
            <w:r>
              <w:rPr>
                <w:rFonts w:hint="eastAsia" w:ascii="宋体" w:hAnsi="宋体" w:eastAsia="宋体" w:cs="宋体"/>
                <w:kern w:val="2"/>
                <w:sz w:val="22"/>
                <w:szCs w:val="22"/>
                <w:lang w:val="en-US" w:eastAsia="zh-CN" w:bidi="ar-SA"/>
              </w:rPr>
              <w:t>全面深刻</w:t>
            </w:r>
            <w:r>
              <w:rPr>
                <w:rFonts w:hint="eastAsia" w:ascii="宋体" w:hAnsi="宋体" w:eastAsia="宋体" w:cs="宋体"/>
                <w:kern w:val="2"/>
                <w:sz w:val="22"/>
                <w:szCs w:val="22"/>
                <w:lang w:val="en-US" w:eastAsia="en-US" w:bidi="ar-SA"/>
              </w:rPr>
              <w:t>，表述全面，总体服务方案</w:t>
            </w:r>
            <w:r>
              <w:rPr>
                <w:rFonts w:hint="eastAsia" w:ascii="宋体" w:hAnsi="宋体" w:eastAsia="宋体" w:cs="宋体"/>
                <w:kern w:val="2"/>
                <w:sz w:val="22"/>
                <w:szCs w:val="22"/>
                <w:lang w:val="en-US" w:eastAsia="zh-CN" w:bidi="ar-SA"/>
              </w:rPr>
              <w:t>优于</w:t>
            </w:r>
            <w:r>
              <w:rPr>
                <w:rFonts w:hint="eastAsia" w:ascii="宋体" w:hAnsi="宋体" w:eastAsia="宋体" w:cs="宋体"/>
                <w:kern w:val="2"/>
                <w:sz w:val="22"/>
                <w:szCs w:val="22"/>
                <w:lang w:val="en-US" w:eastAsia="en-US" w:bidi="ar-SA"/>
              </w:rPr>
              <w:t>采购文件要求的得</w:t>
            </w:r>
            <w:r>
              <w:rPr>
                <w:rFonts w:hint="eastAsia" w:ascii="宋体" w:hAnsi="宋体" w:eastAsia="宋体" w:cs="宋体"/>
                <w:kern w:val="2"/>
                <w:sz w:val="22"/>
                <w:szCs w:val="22"/>
                <w:lang w:val="en-US" w:eastAsia="zh-CN" w:bidi="ar-SA"/>
              </w:rPr>
              <w:t>8</w:t>
            </w:r>
            <w:r>
              <w:rPr>
                <w:rFonts w:hint="eastAsia" w:ascii="宋体" w:hAnsi="宋体" w:eastAsia="宋体" w:cs="宋体"/>
                <w:kern w:val="2"/>
                <w:sz w:val="22"/>
                <w:szCs w:val="22"/>
                <w:lang w:val="en-US" w:eastAsia="en-US" w:bidi="ar-SA"/>
              </w:rPr>
              <w:t>分；</w:t>
            </w:r>
          </w:p>
          <w:p w14:paraId="349661C2">
            <w:pPr>
              <w:numPr>
                <w:ilvl w:val="0"/>
                <w:numId w:val="6"/>
              </w:num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对项目总体认识</w:t>
            </w:r>
            <w:r>
              <w:rPr>
                <w:rFonts w:hint="eastAsia" w:ascii="宋体" w:hAnsi="宋体" w:eastAsia="宋体" w:cs="宋体"/>
                <w:kern w:val="2"/>
                <w:sz w:val="22"/>
                <w:szCs w:val="22"/>
                <w:lang w:val="en-US" w:eastAsia="zh-CN" w:bidi="ar-SA"/>
              </w:rPr>
              <w:t>较全面深刻</w:t>
            </w:r>
            <w:r>
              <w:rPr>
                <w:rFonts w:hint="eastAsia" w:ascii="宋体" w:hAnsi="宋体" w:eastAsia="宋体" w:cs="宋体"/>
                <w:kern w:val="2"/>
                <w:sz w:val="22"/>
                <w:szCs w:val="22"/>
                <w:lang w:val="en-US" w:eastAsia="en-US" w:bidi="ar-SA"/>
              </w:rPr>
              <w:t>，表述</w:t>
            </w:r>
            <w:r>
              <w:rPr>
                <w:rFonts w:hint="eastAsia" w:ascii="宋体" w:hAnsi="宋体" w:eastAsia="宋体" w:cs="宋体"/>
                <w:kern w:val="2"/>
                <w:sz w:val="22"/>
                <w:szCs w:val="22"/>
                <w:lang w:val="en-US" w:eastAsia="zh-CN" w:bidi="ar-SA"/>
              </w:rPr>
              <w:t>较</w:t>
            </w:r>
            <w:r>
              <w:rPr>
                <w:rFonts w:hint="eastAsia" w:ascii="宋体" w:hAnsi="宋体" w:eastAsia="宋体" w:cs="宋体"/>
                <w:kern w:val="2"/>
                <w:sz w:val="22"/>
                <w:szCs w:val="22"/>
                <w:lang w:val="en-US" w:eastAsia="en-US" w:bidi="ar-SA"/>
              </w:rPr>
              <w:t>全面，总体服务方案</w:t>
            </w:r>
            <w:r>
              <w:rPr>
                <w:rFonts w:hint="eastAsia" w:ascii="宋体" w:hAnsi="宋体" w:eastAsia="宋体" w:cs="宋体"/>
                <w:kern w:val="2"/>
                <w:sz w:val="22"/>
                <w:szCs w:val="22"/>
                <w:lang w:val="en-US" w:eastAsia="zh-CN" w:bidi="ar-SA"/>
              </w:rPr>
              <w:t>满足</w:t>
            </w:r>
            <w:r>
              <w:rPr>
                <w:rFonts w:hint="eastAsia" w:ascii="宋体" w:hAnsi="宋体" w:eastAsia="宋体" w:cs="宋体"/>
                <w:kern w:val="2"/>
                <w:sz w:val="22"/>
                <w:szCs w:val="22"/>
                <w:lang w:val="en-US" w:eastAsia="en-US" w:bidi="ar-SA"/>
              </w:rPr>
              <w:t>采购文件要求的得</w:t>
            </w:r>
            <w:r>
              <w:rPr>
                <w:rFonts w:hint="eastAsia" w:ascii="宋体" w:hAnsi="宋体" w:eastAsia="宋体" w:cs="宋体"/>
                <w:kern w:val="2"/>
                <w:sz w:val="22"/>
                <w:szCs w:val="22"/>
                <w:lang w:val="en-US" w:eastAsia="zh-CN" w:bidi="ar-SA"/>
              </w:rPr>
              <w:t>5</w:t>
            </w:r>
            <w:r>
              <w:rPr>
                <w:rFonts w:hint="eastAsia" w:ascii="宋体" w:hAnsi="宋体" w:eastAsia="宋体" w:cs="宋体"/>
                <w:kern w:val="2"/>
                <w:sz w:val="22"/>
                <w:szCs w:val="22"/>
                <w:lang w:val="en-US" w:eastAsia="en-US" w:bidi="ar-SA"/>
              </w:rPr>
              <w:t>分</w:t>
            </w:r>
          </w:p>
          <w:p w14:paraId="518C102B">
            <w:pPr>
              <w:numPr>
                <w:ilvl w:val="0"/>
                <w:numId w:val="6"/>
              </w:num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对项目总体认识不全面，简单考虑了针对本项目所采取的措施；对项目实施过程中重点、难点认识不全面的得</w:t>
            </w: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val="en-US" w:eastAsia="en-US" w:bidi="ar-SA"/>
              </w:rPr>
              <w:t>分。</w:t>
            </w:r>
          </w:p>
          <w:p w14:paraId="5B5F0261">
            <w:pPr>
              <w:spacing w:line="360" w:lineRule="auto"/>
              <w:rPr>
                <w:rFonts w:ascii="宋体" w:hAnsi="宋体" w:eastAsia="宋体" w:cs="宋体"/>
                <w:sz w:val="24"/>
              </w:rPr>
            </w:pPr>
            <w:r>
              <w:rPr>
                <w:rFonts w:hint="eastAsia" w:ascii="宋体" w:hAnsi="宋体" w:eastAsia="宋体" w:cs="宋体"/>
                <w:kern w:val="2"/>
                <w:sz w:val="22"/>
                <w:szCs w:val="22"/>
                <w:lang w:val="en-US" w:eastAsia="en-US" w:bidi="ar-SA"/>
              </w:rPr>
              <w:t>4.缺项或不提供的得0分</w:t>
            </w:r>
          </w:p>
        </w:tc>
        <w:tc>
          <w:tcPr>
            <w:tcW w:w="840" w:type="dxa"/>
            <w:vAlign w:val="center"/>
          </w:tcPr>
          <w:p w14:paraId="041C6961">
            <w:pPr>
              <w:spacing w:line="360" w:lineRule="auto"/>
              <w:jc w:val="center"/>
              <w:rPr>
                <w:rFonts w:ascii="宋体" w:hAnsi="宋体" w:eastAsia="宋体" w:cs="宋体"/>
                <w:sz w:val="24"/>
              </w:rPr>
            </w:pPr>
            <w:r>
              <w:rPr>
                <w:rFonts w:hint="eastAsia" w:ascii="宋体" w:hAnsi="宋体" w:eastAsia="宋体" w:cs="宋体"/>
                <w:color w:val="auto"/>
                <w:sz w:val="22"/>
                <w:szCs w:val="22"/>
                <w:u w:val="none"/>
                <w:lang w:val="en-US" w:eastAsia="zh-CN" w:bidi="ar-SA"/>
              </w:rPr>
              <w:t>8</w:t>
            </w:r>
            <w:r>
              <w:rPr>
                <w:rFonts w:hint="eastAsia" w:ascii="宋体" w:hAnsi="宋体" w:eastAsia="宋体" w:cs="宋体"/>
                <w:color w:val="auto"/>
                <w:sz w:val="22"/>
                <w:szCs w:val="22"/>
                <w:u w:val="none"/>
                <w:lang w:bidi="ar-SA"/>
              </w:rPr>
              <w:t>分</w:t>
            </w:r>
          </w:p>
        </w:tc>
      </w:tr>
      <w:tr w14:paraId="7BF2F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1258" w:type="dxa"/>
            <w:vMerge w:val="continue"/>
            <w:vAlign w:val="center"/>
          </w:tcPr>
          <w:p w14:paraId="23E881CC">
            <w:pPr>
              <w:rPr>
                <w:rFonts w:ascii="宋体" w:hAnsi="宋体" w:eastAsia="宋体" w:cs="宋体"/>
                <w:sz w:val="24"/>
              </w:rPr>
            </w:pPr>
          </w:p>
        </w:tc>
        <w:tc>
          <w:tcPr>
            <w:tcW w:w="1208" w:type="dxa"/>
            <w:shd w:val="clear" w:color="auto" w:fill="auto"/>
            <w:vAlign w:val="top"/>
          </w:tcPr>
          <w:p w14:paraId="3AE4D9CE">
            <w:pPr>
              <w:pStyle w:val="41"/>
              <w:spacing w:before="91" w:line="333" w:lineRule="auto"/>
              <w:ind w:right="107" w:rightChars="0"/>
              <w:rPr>
                <w:sz w:val="24"/>
                <w:szCs w:val="24"/>
              </w:rPr>
            </w:pPr>
            <w:r>
              <w:rPr>
                <w:rFonts w:hint="eastAsia" w:ascii="宋体" w:hAnsi="宋体" w:eastAsia="宋体" w:cs="宋体"/>
                <w:kern w:val="2"/>
                <w:sz w:val="22"/>
                <w:szCs w:val="22"/>
                <w:lang w:val="en-US" w:eastAsia="zh-CN" w:bidi="ar-SA"/>
              </w:rPr>
              <w:t>原材料管理方案</w:t>
            </w:r>
          </w:p>
        </w:tc>
        <w:tc>
          <w:tcPr>
            <w:tcW w:w="5695" w:type="dxa"/>
            <w:shd w:val="clear" w:color="auto" w:fill="auto"/>
            <w:vAlign w:val="top"/>
          </w:tcPr>
          <w:p w14:paraId="0597BA14">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en-US" w:bidi="ar-SA"/>
              </w:rPr>
              <w:t>根据供应商对食品原材料的采购、检测检验、储存管理、来源可追溯等方面建立切实可行的管理制度和工作流程，保证采购使用的原材料符合国家食品卫生标准的管理措施进行打分</w:t>
            </w:r>
            <w:r>
              <w:rPr>
                <w:rFonts w:hint="eastAsia" w:ascii="宋体" w:hAnsi="宋体" w:eastAsia="宋体" w:cs="宋体"/>
                <w:kern w:val="2"/>
                <w:sz w:val="22"/>
                <w:szCs w:val="22"/>
                <w:lang w:val="en-US" w:eastAsia="zh-CN" w:bidi="ar-SA"/>
              </w:rPr>
              <w:t>。</w:t>
            </w:r>
          </w:p>
          <w:p w14:paraId="2F5DB656">
            <w:pPr>
              <w:numPr>
                <w:ilvl w:val="0"/>
                <w:numId w:val="7"/>
              </w:num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供应商原材料管理措施合理全面，内容具体详细，优于采购文件要求的得5分；</w:t>
            </w:r>
          </w:p>
          <w:p w14:paraId="23A4C1CE">
            <w:pPr>
              <w:numPr>
                <w:ilvl w:val="0"/>
                <w:numId w:val="7"/>
              </w:numPr>
              <w:spacing w:line="360" w:lineRule="auto"/>
              <w:ind w:left="0" w:leftChars="0" w:firstLine="0" w:firstLineChars="0"/>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供应商原材料管理措施合理可行，满足采购文件要求的得3分；</w:t>
            </w:r>
          </w:p>
          <w:p w14:paraId="2C87ACAD">
            <w:pPr>
              <w:numPr>
                <w:ilvl w:val="0"/>
                <w:numId w:val="7"/>
              </w:numPr>
              <w:spacing w:line="360" w:lineRule="auto"/>
              <w:ind w:left="0" w:leftChars="0" w:firstLine="0" w:firstLineChars="0"/>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供应商原材料管理措施内容有瑕疵的得1分</w:t>
            </w:r>
            <w:r>
              <w:rPr>
                <w:rFonts w:hint="eastAsia" w:ascii="宋体" w:hAnsi="宋体" w:eastAsia="宋体" w:cs="宋体"/>
                <w:kern w:val="2"/>
                <w:sz w:val="22"/>
                <w:szCs w:val="22"/>
                <w:lang w:val="en-US" w:eastAsia="zh-CN" w:bidi="ar-SA"/>
              </w:rPr>
              <w:t>；</w:t>
            </w:r>
          </w:p>
          <w:p w14:paraId="1E4C8C14">
            <w:pPr>
              <w:spacing w:line="360" w:lineRule="auto"/>
              <w:rPr>
                <w:rFonts w:ascii="宋体" w:hAnsi="宋体" w:eastAsia="宋体" w:cs="宋体"/>
                <w:sz w:val="24"/>
                <w:lang w:eastAsia="en-US"/>
              </w:rPr>
            </w:pPr>
            <w:r>
              <w:rPr>
                <w:rFonts w:hint="eastAsia" w:ascii="宋体" w:hAnsi="宋体" w:eastAsia="宋体" w:cs="宋体"/>
                <w:kern w:val="2"/>
                <w:sz w:val="22"/>
                <w:szCs w:val="22"/>
                <w:lang w:val="en-US" w:eastAsia="en-US" w:bidi="ar-SA"/>
              </w:rPr>
              <w:t>4.缺项或不提供的得0分。</w:t>
            </w:r>
          </w:p>
        </w:tc>
        <w:tc>
          <w:tcPr>
            <w:tcW w:w="840" w:type="dxa"/>
            <w:vAlign w:val="center"/>
          </w:tcPr>
          <w:p w14:paraId="518EC0B0">
            <w:pPr>
              <w:spacing w:line="360" w:lineRule="auto"/>
              <w:jc w:val="center"/>
              <w:rPr>
                <w:rFonts w:ascii="宋体" w:hAnsi="宋体" w:eastAsia="宋体" w:cs="宋体"/>
                <w:sz w:val="24"/>
              </w:rPr>
            </w:pPr>
            <w:r>
              <w:rPr>
                <w:rFonts w:hint="eastAsia" w:ascii="宋体" w:hAnsi="宋体" w:eastAsia="宋体" w:cs="宋体"/>
                <w:color w:val="auto"/>
                <w:sz w:val="22"/>
                <w:szCs w:val="22"/>
                <w:u w:val="none"/>
                <w:lang w:val="en-US" w:eastAsia="zh-CN" w:bidi="ar-SA"/>
              </w:rPr>
              <w:t>5</w:t>
            </w:r>
            <w:r>
              <w:rPr>
                <w:rFonts w:hint="eastAsia" w:ascii="宋体" w:hAnsi="宋体" w:eastAsia="宋体" w:cs="宋体"/>
                <w:color w:val="auto"/>
                <w:sz w:val="22"/>
                <w:szCs w:val="22"/>
                <w:u w:val="none"/>
                <w:lang w:bidi="ar-SA"/>
              </w:rPr>
              <w:t>分</w:t>
            </w:r>
          </w:p>
        </w:tc>
      </w:tr>
      <w:tr w14:paraId="6AB77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1258" w:type="dxa"/>
            <w:vMerge w:val="continue"/>
            <w:vAlign w:val="center"/>
          </w:tcPr>
          <w:p w14:paraId="1AE05B80">
            <w:pPr>
              <w:rPr>
                <w:rFonts w:ascii="宋体" w:hAnsi="宋体" w:eastAsia="宋体" w:cs="宋体"/>
                <w:sz w:val="24"/>
              </w:rPr>
            </w:pPr>
          </w:p>
        </w:tc>
        <w:tc>
          <w:tcPr>
            <w:tcW w:w="1208" w:type="dxa"/>
            <w:shd w:val="clear" w:color="auto" w:fill="auto"/>
            <w:vAlign w:val="top"/>
          </w:tcPr>
          <w:p w14:paraId="5EF96386">
            <w:pPr>
              <w:pStyle w:val="41"/>
              <w:spacing w:before="91" w:line="332" w:lineRule="auto"/>
              <w:ind w:left="114" w:leftChars="0" w:right="107" w:rightChars="0" w:hanging="2" w:firstLineChars="0"/>
              <w:rPr>
                <w:sz w:val="24"/>
                <w:szCs w:val="24"/>
              </w:rPr>
            </w:pPr>
            <w:r>
              <w:rPr>
                <w:rFonts w:hint="eastAsia" w:ascii="宋体" w:hAnsi="宋体"/>
                <w:bCs/>
                <w:sz w:val="22"/>
                <w:szCs w:val="22"/>
              </w:rPr>
              <w:t>供货货源措施</w:t>
            </w:r>
          </w:p>
        </w:tc>
        <w:tc>
          <w:tcPr>
            <w:tcW w:w="5695" w:type="dxa"/>
            <w:shd w:val="clear" w:color="auto" w:fill="auto"/>
            <w:vAlign w:val="top"/>
          </w:tcPr>
          <w:p w14:paraId="0115D00A">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供应商针对本项目的供货货源地及渠道，能切实保障供应渠道的畅通且具有充足储备，积极做好调配，确保</w:t>
            </w:r>
            <w:r>
              <w:rPr>
                <w:rFonts w:hint="eastAsia" w:ascii="宋体" w:hAnsi="宋体" w:eastAsia="宋体" w:cs="宋体"/>
                <w:kern w:val="2"/>
                <w:sz w:val="22"/>
                <w:szCs w:val="22"/>
                <w:lang w:val="en-US" w:eastAsia="zh-CN" w:bidi="ar-SA"/>
              </w:rPr>
              <w:t>所需货物</w:t>
            </w:r>
            <w:r>
              <w:rPr>
                <w:rFonts w:hint="eastAsia" w:ascii="宋体" w:hAnsi="宋体" w:eastAsia="宋体" w:cs="宋体"/>
                <w:kern w:val="2"/>
                <w:sz w:val="22"/>
                <w:szCs w:val="22"/>
                <w:lang w:val="en-US" w:eastAsia="en-US" w:bidi="ar-SA"/>
              </w:rPr>
              <w:t>储备充足且质量符合国家有关标准的措施。</w:t>
            </w:r>
          </w:p>
          <w:p w14:paraId="617745DA">
            <w:pPr>
              <w:numPr>
                <w:ilvl w:val="0"/>
                <w:numId w:val="8"/>
              </w:numPr>
              <w:spacing w:line="360" w:lineRule="auto"/>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供货方案完整且合理的得6分；</w:t>
            </w:r>
          </w:p>
          <w:p w14:paraId="7C7F456B">
            <w:pPr>
              <w:numPr>
                <w:ilvl w:val="0"/>
                <w:numId w:val="8"/>
              </w:numPr>
              <w:spacing w:line="360" w:lineRule="auto"/>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供货方案较完整且较合理的得3分；</w:t>
            </w:r>
          </w:p>
          <w:p w14:paraId="6B048661">
            <w:pPr>
              <w:numPr>
                <w:ilvl w:val="0"/>
                <w:numId w:val="8"/>
              </w:numPr>
              <w:spacing w:line="360" w:lineRule="auto"/>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供货方案不完整且不太合理的得1分；</w:t>
            </w:r>
          </w:p>
          <w:p w14:paraId="4CE2EF86">
            <w:pPr>
              <w:spacing w:line="360" w:lineRule="auto"/>
              <w:rPr>
                <w:rFonts w:ascii="宋体" w:hAnsi="宋体" w:eastAsia="宋体" w:cs="宋体"/>
                <w:sz w:val="24"/>
              </w:rPr>
            </w:pPr>
            <w:r>
              <w:rPr>
                <w:rFonts w:hint="eastAsia" w:ascii="宋体" w:hAnsi="宋体" w:eastAsia="宋体" w:cs="宋体"/>
                <w:kern w:val="2"/>
                <w:sz w:val="22"/>
                <w:szCs w:val="22"/>
                <w:lang w:val="en-US" w:eastAsia="en-US" w:bidi="ar-SA"/>
              </w:rPr>
              <w:t>缺项或不提供的得0分。</w:t>
            </w:r>
          </w:p>
        </w:tc>
        <w:tc>
          <w:tcPr>
            <w:tcW w:w="840" w:type="dxa"/>
            <w:vAlign w:val="center"/>
          </w:tcPr>
          <w:p w14:paraId="1DCCF6D2">
            <w:pPr>
              <w:spacing w:line="360" w:lineRule="auto"/>
              <w:jc w:val="center"/>
              <w:rPr>
                <w:rFonts w:ascii="宋体" w:hAnsi="宋体" w:eastAsia="宋体" w:cs="宋体"/>
                <w:sz w:val="24"/>
              </w:rPr>
            </w:pPr>
            <w:r>
              <w:rPr>
                <w:rFonts w:hint="eastAsia" w:ascii="宋体" w:hAnsi="宋体" w:eastAsia="宋体" w:cs="宋体"/>
                <w:color w:val="auto"/>
                <w:sz w:val="22"/>
                <w:szCs w:val="22"/>
                <w:u w:val="none"/>
                <w:lang w:val="en-US" w:eastAsia="zh-CN" w:bidi="ar-SA"/>
              </w:rPr>
              <w:t>6</w:t>
            </w:r>
            <w:r>
              <w:rPr>
                <w:rFonts w:hint="eastAsia" w:ascii="宋体" w:hAnsi="宋体" w:eastAsia="宋体" w:cs="宋体"/>
                <w:color w:val="auto"/>
                <w:sz w:val="22"/>
                <w:szCs w:val="22"/>
                <w:u w:val="none"/>
                <w:lang w:bidi="ar-SA"/>
              </w:rPr>
              <w:t>分</w:t>
            </w:r>
          </w:p>
        </w:tc>
      </w:tr>
      <w:tr w14:paraId="0B527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258" w:type="dxa"/>
            <w:vMerge w:val="continue"/>
            <w:vAlign w:val="center"/>
          </w:tcPr>
          <w:p w14:paraId="50112CD4">
            <w:pPr>
              <w:rPr>
                <w:rFonts w:ascii="宋体" w:hAnsi="宋体" w:eastAsia="宋体" w:cs="宋体"/>
                <w:sz w:val="24"/>
              </w:rPr>
            </w:pPr>
          </w:p>
        </w:tc>
        <w:tc>
          <w:tcPr>
            <w:tcW w:w="1208" w:type="dxa"/>
            <w:shd w:val="clear" w:color="auto" w:fill="auto"/>
            <w:vAlign w:val="top"/>
          </w:tcPr>
          <w:p w14:paraId="15BFBDC6">
            <w:pPr>
              <w:pStyle w:val="41"/>
              <w:spacing w:before="91" w:line="219" w:lineRule="auto"/>
              <w:rPr>
                <w:sz w:val="24"/>
                <w:szCs w:val="24"/>
              </w:rPr>
            </w:pPr>
            <w:r>
              <w:rPr>
                <w:rFonts w:hint="eastAsia" w:ascii="宋体" w:hAnsi="宋体" w:eastAsia="宋体" w:cs="宋体"/>
                <w:kern w:val="2"/>
                <w:sz w:val="22"/>
                <w:szCs w:val="22"/>
                <w:lang w:val="en-US" w:eastAsia="en-US" w:bidi="ar-SA"/>
              </w:rPr>
              <w:t>食品安全管理水平</w:t>
            </w:r>
          </w:p>
        </w:tc>
        <w:tc>
          <w:tcPr>
            <w:tcW w:w="5695" w:type="dxa"/>
            <w:shd w:val="clear" w:color="auto" w:fill="auto"/>
            <w:vAlign w:val="top"/>
          </w:tcPr>
          <w:p w14:paraId="4D6F86A0">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针对本项目提供合理的食品质量保障及控制措施方案，明确阐述针对本项目的食品质量保障技术服务工作方法和项目管理制度，方法中明确成立专门项目组、抽样实施管理细则、检验实施细则、结果专报机制、客户回访、档案管理机制及应急处置机制进行打分：</w:t>
            </w:r>
          </w:p>
          <w:p w14:paraId="7D3CD1A7">
            <w:pPr>
              <w:numPr>
                <w:ilvl w:val="0"/>
                <w:numId w:val="9"/>
              </w:num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质量保障及控制措施方案合理全面，内容具体详细，优于采购需求的得</w:t>
            </w:r>
            <w:r>
              <w:rPr>
                <w:rFonts w:hint="eastAsia" w:ascii="宋体" w:hAnsi="宋体" w:eastAsia="宋体" w:cs="宋体"/>
                <w:kern w:val="2"/>
                <w:sz w:val="22"/>
                <w:szCs w:val="22"/>
                <w:lang w:val="en-US" w:eastAsia="zh-CN" w:bidi="ar-SA"/>
              </w:rPr>
              <w:t>6</w:t>
            </w:r>
            <w:r>
              <w:rPr>
                <w:rFonts w:hint="eastAsia" w:ascii="宋体" w:hAnsi="宋体" w:eastAsia="宋体" w:cs="宋体"/>
                <w:kern w:val="2"/>
                <w:sz w:val="22"/>
                <w:szCs w:val="22"/>
                <w:lang w:val="en-US" w:eastAsia="en-US" w:bidi="ar-SA"/>
              </w:rPr>
              <w:t>分；</w:t>
            </w:r>
          </w:p>
          <w:p w14:paraId="4E64A655">
            <w:pPr>
              <w:numPr>
                <w:ilvl w:val="0"/>
                <w:numId w:val="0"/>
              </w:num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2.质量保障及控制措施方案合理可行，满足采购需求的得3分；</w:t>
            </w:r>
          </w:p>
          <w:p w14:paraId="7CDA81EB">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en-US" w:bidi="ar-SA"/>
              </w:rPr>
              <w:t>3.质量保障及控制措施方案不详细的得</w:t>
            </w:r>
            <w:r>
              <w:rPr>
                <w:rFonts w:hint="eastAsia" w:ascii="宋体" w:hAnsi="宋体" w:eastAsia="宋体" w:cs="宋体"/>
                <w:kern w:val="2"/>
                <w:sz w:val="22"/>
                <w:szCs w:val="22"/>
                <w:lang w:val="en-US" w:eastAsia="zh-CN" w:bidi="ar-SA"/>
              </w:rPr>
              <w:t>1分；</w:t>
            </w:r>
          </w:p>
          <w:p w14:paraId="6CFE8C51">
            <w:pPr>
              <w:spacing w:line="360" w:lineRule="auto"/>
              <w:rPr>
                <w:rFonts w:ascii="宋体" w:hAnsi="宋体" w:eastAsia="宋体" w:cs="宋体"/>
                <w:sz w:val="24"/>
              </w:rPr>
            </w:pPr>
            <w:r>
              <w:rPr>
                <w:rFonts w:hint="eastAsia" w:ascii="宋体" w:hAnsi="宋体" w:eastAsia="宋体" w:cs="宋体"/>
                <w:kern w:val="2"/>
                <w:sz w:val="22"/>
                <w:szCs w:val="22"/>
                <w:lang w:val="en-US" w:eastAsia="zh-CN" w:bidi="ar-SA"/>
              </w:rPr>
              <w:t>4.</w:t>
            </w:r>
            <w:r>
              <w:rPr>
                <w:rFonts w:hint="eastAsia" w:ascii="宋体" w:hAnsi="宋体" w:eastAsia="宋体" w:cs="宋体"/>
                <w:kern w:val="2"/>
                <w:sz w:val="22"/>
                <w:szCs w:val="22"/>
                <w:lang w:val="en-US" w:eastAsia="en-US" w:bidi="ar-SA"/>
              </w:rPr>
              <w:t>缺项或不提供的得0分</w:t>
            </w:r>
            <w:r>
              <w:rPr>
                <w:rFonts w:hint="eastAsia" w:ascii="宋体" w:hAnsi="宋体" w:eastAsia="宋体" w:cs="宋体"/>
                <w:kern w:val="2"/>
                <w:sz w:val="22"/>
                <w:szCs w:val="22"/>
                <w:lang w:val="en-US" w:eastAsia="zh-CN" w:bidi="ar-SA"/>
              </w:rPr>
              <w:t>。</w:t>
            </w:r>
          </w:p>
        </w:tc>
        <w:tc>
          <w:tcPr>
            <w:tcW w:w="840" w:type="dxa"/>
            <w:vAlign w:val="center"/>
          </w:tcPr>
          <w:p w14:paraId="4431E066">
            <w:pPr>
              <w:spacing w:line="360" w:lineRule="auto"/>
              <w:jc w:val="center"/>
              <w:rPr>
                <w:rFonts w:ascii="宋体" w:hAnsi="宋体" w:eastAsia="宋体" w:cs="宋体"/>
                <w:sz w:val="24"/>
              </w:rPr>
            </w:pPr>
            <w:r>
              <w:rPr>
                <w:rFonts w:hint="eastAsia" w:ascii="宋体" w:hAnsi="宋体" w:eastAsia="宋体" w:cs="宋体"/>
                <w:color w:val="auto"/>
                <w:sz w:val="22"/>
                <w:szCs w:val="22"/>
                <w:u w:val="none"/>
                <w:lang w:val="en-US" w:eastAsia="zh-CN" w:bidi="ar-SA"/>
              </w:rPr>
              <w:t>6</w:t>
            </w:r>
            <w:r>
              <w:rPr>
                <w:rFonts w:hint="eastAsia" w:ascii="宋体" w:hAnsi="宋体" w:eastAsia="宋体" w:cs="宋体"/>
                <w:color w:val="auto"/>
                <w:sz w:val="22"/>
                <w:szCs w:val="22"/>
                <w:u w:val="none"/>
                <w:lang w:bidi="ar-SA"/>
              </w:rPr>
              <w:t>分</w:t>
            </w:r>
          </w:p>
        </w:tc>
      </w:tr>
      <w:tr w14:paraId="4D5A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58" w:type="dxa"/>
            <w:vMerge w:val="continue"/>
            <w:vAlign w:val="center"/>
          </w:tcPr>
          <w:p w14:paraId="293F1A06">
            <w:pPr>
              <w:rPr>
                <w:rFonts w:ascii="宋体" w:hAnsi="宋体" w:eastAsia="宋体" w:cs="宋体"/>
                <w:sz w:val="24"/>
              </w:rPr>
            </w:pPr>
          </w:p>
        </w:tc>
        <w:tc>
          <w:tcPr>
            <w:tcW w:w="1208" w:type="dxa"/>
            <w:shd w:val="clear" w:color="auto" w:fill="auto"/>
            <w:vAlign w:val="top"/>
          </w:tcPr>
          <w:p w14:paraId="45BC08F1">
            <w:pPr>
              <w:pStyle w:val="41"/>
              <w:spacing w:before="91" w:line="333" w:lineRule="auto"/>
              <w:ind w:left="116" w:leftChars="0" w:right="107" w:rightChars="0"/>
              <w:rPr>
                <w:sz w:val="24"/>
                <w:szCs w:val="24"/>
              </w:rPr>
            </w:pPr>
            <w:r>
              <w:rPr>
                <w:rFonts w:hint="eastAsia" w:ascii="宋体" w:hAnsi="宋体" w:cs="宋体"/>
                <w:kern w:val="0"/>
                <w:sz w:val="22"/>
                <w:szCs w:val="22"/>
              </w:rPr>
              <w:t>质量保证措施</w:t>
            </w:r>
          </w:p>
        </w:tc>
        <w:tc>
          <w:tcPr>
            <w:tcW w:w="5695" w:type="dxa"/>
            <w:shd w:val="clear" w:color="auto" w:fill="auto"/>
            <w:vAlign w:val="top"/>
          </w:tcPr>
          <w:p w14:paraId="5B44EAC7">
            <w:pPr>
              <w:spacing w:line="360" w:lineRule="auto"/>
              <w:rPr>
                <w:rFonts w:hint="eastAsia" w:ascii="宋体" w:hAnsi="宋体" w:eastAsia="宋体" w:cs="宋体"/>
                <w:color w:val="auto"/>
                <w:sz w:val="22"/>
                <w:szCs w:val="22"/>
                <w:u w:val="none"/>
                <w:lang w:val="en-US" w:eastAsia="en-US" w:bidi="ar-SA"/>
              </w:rPr>
            </w:pPr>
            <w:r>
              <w:rPr>
                <w:rFonts w:hint="eastAsia" w:ascii="宋体" w:hAnsi="宋体" w:eastAsia="宋体" w:cs="宋体"/>
                <w:color w:val="auto"/>
                <w:sz w:val="22"/>
                <w:szCs w:val="22"/>
                <w:u w:val="none"/>
                <w:lang w:val="en-US" w:eastAsia="en-US" w:bidi="ar-SA"/>
              </w:rPr>
              <w:t>能够提出针对本项目的产品特点，提出详细的质量保证措施及保证食品安全措施，依据措施的合理性、可行性酌情打分。</w:t>
            </w:r>
          </w:p>
          <w:p w14:paraId="2069258D">
            <w:pPr>
              <w:numPr>
                <w:ilvl w:val="0"/>
                <w:numId w:val="10"/>
              </w:num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质量保障及控制措施方案合理全面，内容具体详细，优于采购需求的得5分；</w:t>
            </w:r>
          </w:p>
          <w:p w14:paraId="4912C162">
            <w:pPr>
              <w:numPr>
                <w:ilvl w:val="0"/>
                <w:numId w:val="10"/>
              </w:numPr>
              <w:spacing w:line="360" w:lineRule="auto"/>
              <w:ind w:left="0" w:leftChars="0" w:firstLine="0" w:firstLineChars="0"/>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质量保障及控制措施方案合理可行，满足采购需求的得3分；</w:t>
            </w:r>
          </w:p>
          <w:p w14:paraId="649582FF">
            <w:pPr>
              <w:numPr>
                <w:ilvl w:val="0"/>
                <w:numId w:val="10"/>
              </w:numPr>
              <w:spacing w:line="360" w:lineRule="auto"/>
              <w:ind w:left="0" w:leftChars="0" w:firstLine="0" w:firstLineChars="0"/>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质量保障及控制措施方案不详细的得1分；</w:t>
            </w:r>
          </w:p>
          <w:p w14:paraId="7541ECC1">
            <w:pPr>
              <w:spacing w:line="360" w:lineRule="auto"/>
              <w:rPr>
                <w:rFonts w:ascii="宋体" w:hAnsi="宋体" w:eastAsia="宋体" w:cs="宋体"/>
                <w:sz w:val="24"/>
                <w:lang w:eastAsia="en-US"/>
              </w:rPr>
            </w:pPr>
            <w:r>
              <w:rPr>
                <w:rFonts w:hint="eastAsia" w:ascii="宋体" w:hAnsi="宋体" w:eastAsia="宋体" w:cs="宋体"/>
                <w:kern w:val="2"/>
                <w:sz w:val="22"/>
                <w:szCs w:val="22"/>
                <w:lang w:val="en-US" w:eastAsia="en-US" w:bidi="ar-SA"/>
              </w:rPr>
              <w:t>缺项或不提供的得0分</w:t>
            </w:r>
            <w:r>
              <w:rPr>
                <w:rFonts w:hint="eastAsia" w:ascii="宋体" w:hAnsi="宋体" w:eastAsia="宋体" w:cs="宋体"/>
                <w:kern w:val="2"/>
                <w:sz w:val="22"/>
                <w:szCs w:val="22"/>
                <w:lang w:val="en-US" w:eastAsia="zh-CN" w:bidi="ar-SA"/>
              </w:rPr>
              <w:t>。</w:t>
            </w:r>
          </w:p>
        </w:tc>
        <w:tc>
          <w:tcPr>
            <w:tcW w:w="840" w:type="dxa"/>
            <w:vAlign w:val="center"/>
          </w:tcPr>
          <w:p w14:paraId="431094BE">
            <w:pPr>
              <w:spacing w:line="360" w:lineRule="auto"/>
              <w:jc w:val="center"/>
              <w:rPr>
                <w:rFonts w:ascii="宋体" w:hAnsi="宋体" w:eastAsia="宋体" w:cs="宋体"/>
                <w:sz w:val="24"/>
              </w:rPr>
            </w:pPr>
            <w:r>
              <w:rPr>
                <w:rFonts w:hint="eastAsia" w:ascii="宋体" w:hAnsi="宋体" w:eastAsia="宋体" w:cs="宋体"/>
                <w:color w:val="auto"/>
                <w:sz w:val="22"/>
                <w:szCs w:val="22"/>
                <w:u w:val="none"/>
                <w:lang w:val="en-US" w:eastAsia="zh-CN" w:bidi="ar-SA"/>
              </w:rPr>
              <w:t>5</w:t>
            </w:r>
            <w:r>
              <w:rPr>
                <w:rFonts w:hint="eastAsia" w:ascii="宋体" w:hAnsi="宋体" w:eastAsia="宋体" w:cs="宋体"/>
                <w:color w:val="auto"/>
                <w:sz w:val="22"/>
                <w:szCs w:val="22"/>
                <w:u w:val="none"/>
                <w:lang w:bidi="ar-SA"/>
              </w:rPr>
              <w:t>分</w:t>
            </w:r>
          </w:p>
        </w:tc>
      </w:tr>
      <w:tr w14:paraId="04075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58" w:type="dxa"/>
            <w:vMerge w:val="continue"/>
            <w:vAlign w:val="center"/>
          </w:tcPr>
          <w:p w14:paraId="0177D8CD">
            <w:pPr>
              <w:rPr>
                <w:rFonts w:ascii="宋体" w:hAnsi="宋体" w:eastAsia="宋体" w:cs="宋体"/>
                <w:sz w:val="24"/>
              </w:rPr>
            </w:pPr>
          </w:p>
        </w:tc>
        <w:tc>
          <w:tcPr>
            <w:tcW w:w="1208" w:type="dxa"/>
            <w:shd w:val="clear" w:color="auto" w:fill="auto"/>
            <w:vAlign w:val="center"/>
          </w:tcPr>
          <w:p w14:paraId="3D14BC24">
            <w:pPr>
              <w:spacing w:line="360" w:lineRule="auto"/>
              <w:rPr>
                <w:rFonts w:hint="eastAsia" w:ascii="宋体" w:hAnsi="宋体" w:eastAsia="宋体" w:cs="宋体"/>
                <w:color w:val="auto"/>
                <w:kern w:val="2"/>
                <w:sz w:val="22"/>
                <w:szCs w:val="22"/>
                <w:u w:val="none"/>
                <w:lang w:val="en-US" w:eastAsia="zh-CN" w:bidi="ar-SA"/>
              </w:rPr>
            </w:pPr>
            <w:r>
              <w:rPr>
                <w:rFonts w:hint="eastAsia" w:ascii="宋体" w:hAnsi="宋体" w:cs="宋体"/>
                <w:kern w:val="0"/>
                <w:sz w:val="22"/>
                <w:szCs w:val="22"/>
              </w:rPr>
              <w:t>应急预案</w:t>
            </w:r>
          </w:p>
        </w:tc>
        <w:tc>
          <w:tcPr>
            <w:tcW w:w="5695" w:type="dxa"/>
            <w:shd w:val="clear" w:color="auto" w:fill="auto"/>
            <w:vAlign w:val="top"/>
          </w:tcPr>
          <w:p w14:paraId="6CDC5FA0">
            <w:pPr>
              <w:spacing w:line="360" w:lineRule="auto"/>
              <w:rPr>
                <w:rFonts w:hint="eastAsia" w:ascii="宋体" w:hAnsi="宋体" w:eastAsia="宋体" w:cs="宋体"/>
                <w:color w:val="auto"/>
                <w:sz w:val="22"/>
                <w:szCs w:val="22"/>
                <w:u w:val="none"/>
                <w:lang w:eastAsia="zh-CN" w:bidi="ar-SA"/>
              </w:rPr>
            </w:pPr>
            <w:r>
              <w:rPr>
                <w:rFonts w:hint="eastAsia" w:ascii="宋体" w:hAnsi="宋体" w:eastAsia="宋体" w:cs="宋体"/>
                <w:color w:val="auto"/>
                <w:sz w:val="22"/>
                <w:szCs w:val="22"/>
                <w:u w:val="none"/>
                <w:lang w:bidi="ar-SA"/>
              </w:rPr>
              <w:t>应急保障及措施包括但不限于供应商具有建立健全的安全保障及应急制度、食品安全突发事件应急预案、配送过程中副食品已被污染或可能造成严重后果的物品的处理、紧急预案完善，处理措施切实可行、能够妥善规避食品风险，食品安全事故应急预案、制定和完善安全生产管理制度和安全应急预案，面对突发情况应急供货方案，包括应急配送、极端天气</w:t>
            </w:r>
            <w:r>
              <w:rPr>
                <w:rFonts w:hint="eastAsia" w:ascii="宋体" w:hAnsi="宋体" w:eastAsia="宋体" w:cs="宋体"/>
                <w:color w:val="auto"/>
                <w:sz w:val="22"/>
                <w:szCs w:val="22"/>
                <w:u w:val="none"/>
                <w:lang w:eastAsia="zh-CN" w:bidi="ar-SA"/>
              </w:rPr>
              <w:t>。</w:t>
            </w:r>
          </w:p>
          <w:p w14:paraId="6CA3F40A">
            <w:pPr>
              <w:numPr>
                <w:ilvl w:val="0"/>
                <w:numId w:val="11"/>
              </w:numPr>
              <w:spacing w:line="360" w:lineRule="auto"/>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bidi="ar-SA"/>
              </w:rPr>
              <w:t>内容完整、符合且优于采购文件要求的得5分；</w:t>
            </w:r>
          </w:p>
          <w:p w14:paraId="489D8593">
            <w:pPr>
              <w:numPr>
                <w:ilvl w:val="0"/>
                <w:numId w:val="11"/>
              </w:numPr>
              <w:spacing w:line="360" w:lineRule="auto"/>
              <w:ind w:left="0" w:leftChars="0" w:firstLine="0" w:firstLineChars="0"/>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bidi="ar-SA"/>
              </w:rPr>
              <w:t>内容完整、符合采购文件要求的得3分；</w:t>
            </w:r>
          </w:p>
          <w:p w14:paraId="64CE110B">
            <w:pPr>
              <w:numPr>
                <w:ilvl w:val="0"/>
                <w:numId w:val="11"/>
              </w:numPr>
              <w:spacing w:line="360" w:lineRule="auto"/>
              <w:ind w:left="0" w:leftChars="0" w:firstLine="0" w:firstLineChars="0"/>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bidi="ar-SA"/>
              </w:rPr>
              <w:t>内容描述不完整的得1分</w:t>
            </w:r>
          </w:p>
          <w:p w14:paraId="7C3C339B">
            <w:pPr>
              <w:spacing w:line="360" w:lineRule="auto"/>
              <w:rPr>
                <w:rFonts w:hint="eastAsia" w:ascii="宋体" w:hAnsi="宋体" w:eastAsia="宋体" w:cs="宋体"/>
                <w:color w:val="auto"/>
                <w:kern w:val="2"/>
                <w:sz w:val="22"/>
                <w:szCs w:val="22"/>
                <w:u w:val="none"/>
                <w:lang w:val="en-US" w:eastAsia="zh-CN" w:bidi="ar-SA"/>
              </w:rPr>
            </w:pPr>
            <w:r>
              <w:rPr>
                <w:rFonts w:hint="eastAsia" w:ascii="宋体" w:hAnsi="宋体" w:eastAsia="宋体" w:cs="宋体"/>
                <w:kern w:val="2"/>
                <w:sz w:val="22"/>
                <w:szCs w:val="22"/>
                <w:lang w:val="en-US" w:eastAsia="en-US" w:bidi="ar-SA"/>
              </w:rPr>
              <w:t>缺项或不提供的得0分</w:t>
            </w:r>
            <w:r>
              <w:rPr>
                <w:rFonts w:hint="eastAsia" w:ascii="宋体" w:hAnsi="宋体" w:eastAsia="宋体" w:cs="宋体"/>
                <w:kern w:val="2"/>
                <w:sz w:val="22"/>
                <w:szCs w:val="22"/>
                <w:lang w:val="en-US" w:eastAsia="zh-CN" w:bidi="ar-SA"/>
              </w:rPr>
              <w:t>。</w:t>
            </w:r>
          </w:p>
        </w:tc>
        <w:tc>
          <w:tcPr>
            <w:tcW w:w="840" w:type="dxa"/>
            <w:shd w:val="clear" w:color="auto" w:fill="auto"/>
            <w:vAlign w:val="center"/>
          </w:tcPr>
          <w:p w14:paraId="3595788C">
            <w:pPr>
              <w:spacing w:line="360" w:lineRule="auto"/>
              <w:jc w:val="center"/>
              <w:rPr>
                <w:rFonts w:hint="eastAsia" w:ascii="宋体" w:hAnsi="宋体" w:eastAsia="宋体" w:cs="宋体"/>
                <w:color w:val="auto"/>
                <w:kern w:val="2"/>
                <w:sz w:val="22"/>
                <w:szCs w:val="22"/>
                <w:u w:val="none"/>
                <w:lang w:val="en-US" w:eastAsia="zh-CN" w:bidi="ar-SA"/>
              </w:rPr>
            </w:pPr>
            <w:r>
              <w:rPr>
                <w:rFonts w:hint="eastAsia" w:ascii="宋体" w:hAnsi="宋体" w:eastAsia="宋体" w:cs="宋体"/>
                <w:color w:val="auto"/>
                <w:sz w:val="22"/>
                <w:szCs w:val="22"/>
                <w:u w:val="none"/>
                <w:lang w:val="en-US" w:eastAsia="zh-CN" w:bidi="ar-SA"/>
              </w:rPr>
              <w:t>5</w:t>
            </w:r>
            <w:r>
              <w:rPr>
                <w:rFonts w:hint="eastAsia" w:ascii="宋体" w:hAnsi="宋体" w:eastAsia="宋体" w:cs="宋体"/>
                <w:color w:val="auto"/>
                <w:sz w:val="22"/>
                <w:szCs w:val="22"/>
                <w:u w:val="none"/>
                <w:lang w:bidi="ar-SA"/>
              </w:rPr>
              <w:t>分</w:t>
            </w:r>
          </w:p>
        </w:tc>
      </w:tr>
      <w:tr w14:paraId="14554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58" w:type="dxa"/>
            <w:vMerge w:val="restart"/>
            <w:vAlign w:val="center"/>
          </w:tcPr>
          <w:p w14:paraId="4D274C2C">
            <w:pPr>
              <w:snapToGrid w:val="0"/>
              <w:spacing w:line="440" w:lineRule="exact"/>
              <w:jc w:val="center"/>
              <w:rPr>
                <w:rFonts w:ascii="宋体" w:hAnsi="宋体" w:eastAsia="宋体" w:cs="宋体"/>
                <w:b/>
                <w:bCs/>
                <w:sz w:val="24"/>
              </w:rPr>
            </w:pPr>
            <w:r>
              <w:rPr>
                <w:rFonts w:hint="eastAsia" w:ascii="宋体" w:hAnsi="宋体" w:eastAsia="宋体" w:cs="宋体"/>
                <w:b/>
                <w:bCs/>
                <w:color w:val="auto"/>
                <w:kern w:val="0"/>
                <w:sz w:val="22"/>
                <w:szCs w:val="22"/>
                <w:u w:val="none"/>
                <w:lang w:bidi="ar-SA"/>
              </w:rPr>
              <w:t>商务部分（</w:t>
            </w:r>
            <w:r>
              <w:rPr>
                <w:rFonts w:hint="eastAsia" w:ascii="宋体" w:hAnsi="宋体" w:eastAsia="宋体" w:cs="宋体"/>
                <w:b/>
                <w:bCs/>
                <w:color w:val="auto"/>
                <w:kern w:val="0"/>
                <w:sz w:val="22"/>
                <w:szCs w:val="22"/>
                <w:u w:val="none"/>
                <w:lang w:val="en-US" w:eastAsia="zh-CN" w:bidi="ar-SA"/>
              </w:rPr>
              <w:t>35</w:t>
            </w:r>
            <w:r>
              <w:rPr>
                <w:rFonts w:hint="eastAsia" w:ascii="宋体" w:hAnsi="宋体" w:eastAsia="宋体" w:cs="宋体"/>
                <w:b/>
                <w:bCs/>
                <w:color w:val="auto"/>
                <w:kern w:val="0"/>
                <w:sz w:val="22"/>
                <w:szCs w:val="22"/>
                <w:u w:val="none"/>
                <w:lang w:bidi="ar-SA"/>
              </w:rPr>
              <w:t>分）</w:t>
            </w:r>
          </w:p>
        </w:tc>
        <w:tc>
          <w:tcPr>
            <w:tcW w:w="1208" w:type="dxa"/>
            <w:vAlign w:val="center"/>
          </w:tcPr>
          <w:p w14:paraId="6F7F53F1">
            <w:pPr>
              <w:widowControl/>
              <w:shd w:val="clear" w:color="auto" w:fill="FFFFFF"/>
              <w:spacing w:line="360" w:lineRule="auto"/>
              <w:jc w:val="center"/>
              <w:rPr>
                <w:rFonts w:ascii="宋体" w:hAnsi="宋体" w:eastAsia="宋体" w:cs="宋体"/>
                <w:sz w:val="24"/>
              </w:rPr>
            </w:pPr>
            <w:r>
              <w:rPr>
                <w:rFonts w:hint="eastAsia" w:ascii="宋体" w:hAnsi="宋体" w:eastAsia="宋体" w:cs="宋体"/>
                <w:bCs/>
                <w:color w:val="auto"/>
                <w:kern w:val="0"/>
                <w:sz w:val="22"/>
                <w:szCs w:val="22"/>
                <w:u w:val="none"/>
                <w:lang w:bidi="ar-SA"/>
              </w:rPr>
              <w:t>企业业绩</w:t>
            </w:r>
          </w:p>
        </w:tc>
        <w:tc>
          <w:tcPr>
            <w:tcW w:w="5695" w:type="dxa"/>
            <w:vAlign w:val="top"/>
          </w:tcPr>
          <w:p w14:paraId="227F6EF5">
            <w:pPr>
              <w:spacing w:line="360" w:lineRule="auto"/>
              <w:rPr>
                <w:rFonts w:hint="eastAsia" w:ascii="宋体" w:hAnsi="宋体" w:eastAsia="宋体" w:cs="宋体"/>
                <w:color w:val="auto"/>
                <w:kern w:val="0"/>
                <w:sz w:val="22"/>
                <w:szCs w:val="22"/>
                <w:u w:val="none"/>
                <w:lang w:bidi="ar-SA"/>
              </w:rPr>
            </w:pPr>
            <w:r>
              <w:rPr>
                <w:rFonts w:hint="eastAsia" w:ascii="宋体" w:hAnsi="宋体" w:eastAsia="宋体" w:cs="宋体"/>
                <w:color w:val="auto"/>
                <w:kern w:val="0"/>
                <w:sz w:val="22"/>
                <w:szCs w:val="22"/>
                <w:u w:val="none"/>
                <w:lang w:bidi="ar-SA"/>
              </w:rPr>
              <w:t>自202</w:t>
            </w:r>
            <w:r>
              <w:rPr>
                <w:rFonts w:hint="eastAsia" w:ascii="宋体" w:hAnsi="宋体" w:eastAsia="宋体" w:cs="宋体"/>
                <w:color w:val="auto"/>
                <w:kern w:val="0"/>
                <w:sz w:val="22"/>
                <w:szCs w:val="22"/>
                <w:u w:val="none"/>
                <w:lang w:val="en-US" w:eastAsia="zh-CN" w:bidi="ar-SA"/>
              </w:rPr>
              <w:t>2</w:t>
            </w:r>
            <w:r>
              <w:rPr>
                <w:rFonts w:hint="eastAsia" w:ascii="宋体" w:hAnsi="宋体" w:eastAsia="宋体" w:cs="宋体"/>
                <w:color w:val="auto"/>
                <w:kern w:val="0"/>
                <w:sz w:val="22"/>
                <w:szCs w:val="22"/>
                <w:u w:val="none"/>
                <w:lang w:bidi="ar-SA"/>
              </w:rPr>
              <w:t>年1月1日至今完成的</w:t>
            </w:r>
            <w:r>
              <w:rPr>
                <w:rFonts w:hint="eastAsia" w:ascii="宋体" w:hAnsi="宋体" w:eastAsia="宋体" w:cs="宋体"/>
                <w:color w:val="auto"/>
                <w:kern w:val="0"/>
                <w:sz w:val="22"/>
                <w:szCs w:val="22"/>
                <w:u w:val="none"/>
                <w:lang w:eastAsia="zh-CN" w:bidi="ar-SA"/>
              </w:rPr>
              <w:t>类似项目</w:t>
            </w:r>
            <w:r>
              <w:rPr>
                <w:rFonts w:hint="eastAsia" w:ascii="宋体" w:hAnsi="宋体" w:eastAsia="宋体" w:cs="宋体"/>
                <w:color w:val="auto"/>
                <w:kern w:val="0"/>
                <w:sz w:val="22"/>
                <w:szCs w:val="22"/>
                <w:u w:val="none"/>
                <w:lang w:val="en-US" w:eastAsia="zh-CN" w:bidi="ar-SA"/>
              </w:rPr>
              <w:t>业绩，</w:t>
            </w:r>
            <w:r>
              <w:rPr>
                <w:rFonts w:hint="eastAsia" w:ascii="宋体" w:hAnsi="宋体" w:eastAsia="宋体" w:cs="宋体"/>
                <w:color w:val="auto"/>
                <w:kern w:val="0"/>
                <w:sz w:val="22"/>
                <w:szCs w:val="22"/>
                <w:u w:val="none"/>
                <w:lang w:bidi="ar-SA"/>
              </w:rPr>
              <w:t>每提供一份得</w:t>
            </w:r>
            <w:r>
              <w:rPr>
                <w:rFonts w:hint="eastAsia" w:ascii="宋体" w:hAnsi="宋体" w:eastAsia="宋体" w:cs="宋体"/>
                <w:color w:val="auto"/>
                <w:kern w:val="0"/>
                <w:sz w:val="22"/>
                <w:szCs w:val="22"/>
                <w:u w:val="none"/>
                <w:lang w:val="en-US" w:eastAsia="zh-CN" w:bidi="ar-SA"/>
              </w:rPr>
              <w:t>2</w:t>
            </w:r>
            <w:r>
              <w:rPr>
                <w:rFonts w:hint="eastAsia" w:ascii="宋体" w:hAnsi="宋体" w:eastAsia="宋体" w:cs="宋体"/>
                <w:color w:val="auto"/>
                <w:kern w:val="0"/>
                <w:sz w:val="22"/>
                <w:szCs w:val="22"/>
                <w:u w:val="none"/>
                <w:lang w:bidi="ar-SA"/>
              </w:rPr>
              <w:t>分，最多得</w:t>
            </w:r>
            <w:r>
              <w:rPr>
                <w:rFonts w:hint="eastAsia" w:ascii="宋体" w:hAnsi="宋体" w:eastAsia="宋体" w:cs="宋体"/>
                <w:color w:val="auto"/>
                <w:kern w:val="0"/>
                <w:sz w:val="22"/>
                <w:szCs w:val="22"/>
                <w:u w:val="none"/>
                <w:lang w:val="en-US" w:eastAsia="zh-CN" w:bidi="ar-SA"/>
              </w:rPr>
              <w:t>6</w:t>
            </w:r>
            <w:r>
              <w:rPr>
                <w:rFonts w:hint="eastAsia" w:ascii="宋体" w:hAnsi="宋体" w:eastAsia="宋体" w:cs="宋体"/>
                <w:color w:val="auto"/>
                <w:kern w:val="0"/>
                <w:sz w:val="22"/>
                <w:szCs w:val="22"/>
                <w:u w:val="none"/>
                <w:lang w:bidi="ar-SA"/>
              </w:rPr>
              <w:t>分。</w:t>
            </w:r>
          </w:p>
          <w:p w14:paraId="6C0DE489">
            <w:pPr>
              <w:spacing w:line="360" w:lineRule="auto"/>
              <w:rPr>
                <w:rFonts w:ascii="宋体" w:hAnsi="宋体" w:eastAsia="宋体" w:cs="宋体"/>
                <w:sz w:val="24"/>
              </w:rPr>
            </w:pPr>
            <w:r>
              <w:rPr>
                <w:rFonts w:hint="eastAsia" w:ascii="宋体" w:hAnsi="宋体" w:eastAsia="宋体" w:cs="宋体"/>
                <w:color w:val="auto"/>
                <w:kern w:val="0"/>
                <w:sz w:val="22"/>
                <w:szCs w:val="22"/>
                <w:u w:val="none"/>
                <w:lang w:bidi="ar-SA"/>
              </w:rPr>
              <w:t>注：</w:t>
            </w:r>
            <w:r>
              <w:rPr>
                <w:rFonts w:hint="eastAsia" w:ascii="宋体" w:hAnsi="宋体" w:eastAsia="宋体" w:cs="宋体"/>
                <w:color w:val="auto"/>
                <w:kern w:val="0"/>
                <w:sz w:val="22"/>
                <w:szCs w:val="22"/>
                <w:u w:val="none"/>
                <w:lang w:val="en-US" w:eastAsia="zh-CN" w:bidi="ar-SA"/>
              </w:rPr>
              <w:t>响应</w:t>
            </w:r>
            <w:r>
              <w:rPr>
                <w:rFonts w:hint="eastAsia" w:ascii="宋体" w:hAnsi="宋体" w:eastAsia="宋体" w:cs="宋体"/>
                <w:color w:val="auto"/>
                <w:kern w:val="0"/>
                <w:sz w:val="22"/>
                <w:szCs w:val="22"/>
                <w:u w:val="none"/>
                <w:lang w:eastAsia="zh-CN" w:bidi="ar-SA"/>
              </w:rPr>
              <w:t>文件</w:t>
            </w:r>
            <w:r>
              <w:rPr>
                <w:rFonts w:hint="eastAsia" w:ascii="宋体" w:hAnsi="宋体" w:eastAsia="宋体" w:cs="宋体"/>
                <w:color w:val="auto"/>
                <w:kern w:val="0"/>
                <w:sz w:val="22"/>
                <w:szCs w:val="22"/>
                <w:u w:val="none"/>
                <w:lang w:bidi="ar-SA"/>
              </w:rPr>
              <w:t>中须提供合同</w:t>
            </w:r>
            <w:r>
              <w:rPr>
                <w:rFonts w:hint="eastAsia" w:ascii="宋体" w:hAnsi="宋体" w:eastAsia="宋体" w:cs="宋体"/>
                <w:color w:val="auto"/>
                <w:kern w:val="0"/>
                <w:sz w:val="22"/>
                <w:szCs w:val="22"/>
                <w:u w:val="none"/>
                <w:lang w:val="en-US" w:eastAsia="zh-CN" w:bidi="ar-SA"/>
              </w:rPr>
              <w:t>复印件或</w:t>
            </w:r>
            <w:r>
              <w:rPr>
                <w:rFonts w:hint="eastAsia" w:ascii="宋体" w:hAnsi="宋体" w:eastAsia="宋体" w:cs="宋体"/>
                <w:color w:val="auto"/>
                <w:kern w:val="0"/>
                <w:sz w:val="22"/>
                <w:szCs w:val="22"/>
                <w:u w:val="none"/>
                <w:lang w:bidi="ar-SA"/>
              </w:rPr>
              <w:t>扫描件</w:t>
            </w:r>
          </w:p>
        </w:tc>
        <w:tc>
          <w:tcPr>
            <w:tcW w:w="840" w:type="dxa"/>
            <w:vAlign w:val="center"/>
          </w:tcPr>
          <w:p w14:paraId="525B7ED5">
            <w:pPr>
              <w:snapToGrid w:val="0"/>
              <w:spacing w:line="440" w:lineRule="exact"/>
              <w:jc w:val="center"/>
              <w:rPr>
                <w:rFonts w:ascii="宋体" w:hAnsi="宋体" w:eastAsia="宋体" w:cs="宋体"/>
                <w:sz w:val="24"/>
              </w:rPr>
            </w:pPr>
            <w:r>
              <w:rPr>
                <w:rFonts w:hint="eastAsia" w:ascii="宋体" w:hAnsi="宋体" w:eastAsia="宋体" w:cs="宋体"/>
                <w:color w:val="auto"/>
                <w:sz w:val="22"/>
                <w:szCs w:val="22"/>
                <w:u w:val="none"/>
                <w:lang w:val="en-US" w:eastAsia="zh-CN" w:bidi="ar-SA"/>
              </w:rPr>
              <w:t>6</w:t>
            </w:r>
            <w:r>
              <w:rPr>
                <w:rFonts w:hint="eastAsia" w:ascii="宋体" w:hAnsi="宋体" w:eastAsia="宋体" w:cs="宋体"/>
                <w:color w:val="auto"/>
                <w:sz w:val="22"/>
                <w:szCs w:val="22"/>
                <w:u w:val="none"/>
                <w:lang w:bidi="ar-SA"/>
              </w:rPr>
              <w:t>分</w:t>
            </w:r>
          </w:p>
        </w:tc>
      </w:tr>
      <w:tr w14:paraId="6FC8B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258" w:type="dxa"/>
            <w:vMerge w:val="continue"/>
            <w:vAlign w:val="center"/>
          </w:tcPr>
          <w:p w14:paraId="782FE72B">
            <w:pPr>
              <w:rPr>
                <w:rFonts w:ascii="宋体" w:hAnsi="宋体" w:eastAsia="宋体" w:cs="宋体"/>
                <w:sz w:val="24"/>
              </w:rPr>
            </w:pPr>
          </w:p>
        </w:tc>
        <w:tc>
          <w:tcPr>
            <w:tcW w:w="1208" w:type="dxa"/>
            <w:vAlign w:val="center"/>
          </w:tcPr>
          <w:p w14:paraId="75A3ABA6">
            <w:pPr>
              <w:spacing w:before="57" w:line="360" w:lineRule="auto"/>
              <w:jc w:val="center"/>
              <w:rPr>
                <w:rFonts w:ascii="宋体" w:hAnsi="宋体" w:eastAsia="宋体" w:cs="宋体"/>
                <w:sz w:val="24"/>
              </w:rPr>
            </w:pPr>
            <w:r>
              <w:rPr>
                <w:rFonts w:hint="eastAsia" w:ascii="宋体" w:hAnsi="宋体" w:cs="宋体"/>
                <w:kern w:val="0"/>
                <w:sz w:val="22"/>
                <w:szCs w:val="22"/>
              </w:rPr>
              <w:t>营业场所</w:t>
            </w:r>
          </w:p>
        </w:tc>
        <w:tc>
          <w:tcPr>
            <w:tcW w:w="5695" w:type="dxa"/>
            <w:vAlign w:val="center"/>
          </w:tcPr>
          <w:p w14:paraId="69CB5AE8">
            <w:pPr>
              <w:numPr>
                <w:ilvl w:val="0"/>
                <w:numId w:val="12"/>
              </w:numPr>
              <w:spacing w:before="57" w:line="360" w:lineRule="auto"/>
              <w:jc w:val="left"/>
              <w:rPr>
                <w:rFonts w:hint="eastAsia" w:ascii="宋体" w:hAnsi="宋体" w:cs="宋体"/>
                <w:kern w:val="0"/>
                <w:sz w:val="22"/>
                <w:szCs w:val="22"/>
              </w:rPr>
            </w:pPr>
            <w:r>
              <w:rPr>
                <w:rFonts w:hint="eastAsia" w:ascii="宋体" w:hAnsi="宋体" w:cs="宋体"/>
                <w:kern w:val="0"/>
                <w:sz w:val="22"/>
                <w:szCs w:val="22"/>
              </w:rPr>
              <w:t>供应商有固定的</w:t>
            </w:r>
            <w:r>
              <w:rPr>
                <w:rFonts w:hint="eastAsia" w:ascii="宋体" w:hAnsi="宋体" w:cs="宋体"/>
                <w:kern w:val="0"/>
                <w:sz w:val="22"/>
                <w:szCs w:val="22"/>
                <w:lang w:val="en-US" w:eastAsia="zh-CN"/>
              </w:rPr>
              <w:t>仓储或</w:t>
            </w:r>
            <w:r>
              <w:rPr>
                <w:rFonts w:hint="eastAsia" w:ascii="宋体" w:hAnsi="宋体" w:cs="宋体"/>
                <w:kern w:val="0"/>
                <w:sz w:val="22"/>
                <w:szCs w:val="22"/>
              </w:rPr>
              <w:t>配送场所，如营业门面或超市</w:t>
            </w:r>
            <w:r>
              <w:rPr>
                <w:rFonts w:hint="eastAsia" w:ascii="宋体" w:hAnsi="宋体" w:cs="宋体"/>
                <w:kern w:val="0"/>
                <w:sz w:val="22"/>
                <w:szCs w:val="22"/>
                <w:lang w:val="en-US" w:eastAsia="zh-CN"/>
              </w:rPr>
              <w:t>的，得3分，未提供不得分；</w:t>
            </w:r>
          </w:p>
          <w:p w14:paraId="4EFA3C2B">
            <w:pPr>
              <w:numPr>
                <w:ilvl w:val="0"/>
                <w:numId w:val="12"/>
              </w:numPr>
              <w:spacing w:before="57" w:line="360" w:lineRule="auto"/>
              <w:jc w:val="left"/>
              <w:rPr>
                <w:rFonts w:hint="eastAsia" w:ascii="宋体" w:hAnsi="宋体" w:cs="宋体"/>
                <w:kern w:val="0"/>
                <w:sz w:val="22"/>
                <w:szCs w:val="22"/>
              </w:rPr>
            </w:pPr>
            <w:r>
              <w:rPr>
                <w:rFonts w:hint="eastAsia" w:ascii="宋体" w:hAnsi="宋体" w:cs="宋体"/>
                <w:kern w:val="0"/>
                <w:sz w:val="22"/>
                <w:szCs w:val="22"/>
              </w:rPr>
              <w:t>供应商具有冷冻冷藏仓库</w:t>
            </w:r>
            <w:r>
              <w:rPr>
                <w:rFonts w:hint="eastAsia" w:ascii="宋体" w:hAnsi="宋体" w:cs="宋体"/>
                <w:kern w:val="0"/>
                <w:sz w:val="22"/>
                <w:szCs w:val="22"/>
                <w:lang w:val="en-US" w:eastAsia="zh-CN"/>
              </w:rPr>
              <w:t>的，得3分，未提供不得分；</w:t>
            </w:r>
          </w:p>
          <w:p w14:paraId="125275B1">
            <w:pPr>
              <w:spacing w:before="57" w:line="360" w:lineRule="auto"/>
              <w:jc w:val="left"/>
              <w:rPr>
                <w:rFonts w:ascii="宋体" w:hAnsi="宋体" w:cs="宋体"/>
                <w:kern w:val="0"/>
                <w:sz w:val="24"/>
              </w:rPr>
            </w:pPr>
            <w:r>
              <w:rPr>
                <w:rFonts w:hint="eastAsia" w:ascii="宋体" w:hAnsi="宋体" w:cs="宋体"/>
                <w:kern w:val="0"/>
                <w:sz w:val="22"/>
                <w:szCs w:val="22"/>
              </w:rPr>
              <w:t>注：</w:t>
            </w:r>
            <w:r>
              <w:rPr>
                <w:rFonts w:hint="eastAsia" w:ascii="宋体" w:hAnsi="宋体" w:cs="宋体"/>
                <w:kern w:val="0"/>
                <w:sz w:val="22"/>
                <w:szCs w:val="22"/>
                <w:lang w:val="en-US" w:eastAsia="zh-CN"/>
              </w:rPr>
              <w:t>响应</w:t>
            </w:r>
            <w:r>
              <w:rPr>
                <w:rFonts w:hint="eastAsia" w:ascii="宋体" w:hAnsi="宋体" w:cs="宋体"/>
                <w:kern w:val="0"/>
                <w:sz w:val="22"/>
                <w:szCs w:val="22"/>
              </w:rPr>
              <w:t>文件</w:t>
            </w:r>
            <w:r>
              <w:rPr>
                <w:rFonts w:ascii="宋体" w:hAnsi="宋体" w:cs="宋体"/>
                <w:kern w:val="0"/>
                <w:sz w:val="22"/>
                <w:szCs w:val="22"/>
              </w:rPr>
              <w:t>中应附房产证</w:t>
            </w:r>
            <w:r>
              <w:rPr>
                <w:rFonts w:hint="eastAsia" w:ascii="宋体" w:hAnsi="宋体" w:cs="宋体"/>
                <w:kern w:val="0"/>
                <w:sz w:val="22"/>
                <w:szCs w:val="22"/>
                <w:lang w:val="en-US" w:eastAsia="zh-CN"/>
              </w:rPr>
              <w:t>明</w:t>
            </w:r>
            <w:r>
              <w:rPr>
                <w:rFonts w:ascii="宋体" w:hAnsi="宋体" w:cs="宋体"/>
                <w:kern w:val="0"/>
                <w:sz w:val="22"/>
                <w:szCs w:val="22"/>
              </w:rPr>
              <w:t>或租赁</w:t>
            </w:r>
            <w:r>
              <w:rPr>
                <w:rFonts w:hint="eastAsia" w:ascii="宋体" w:hAnsi="宋体" w:cs="宋体"/>
                <w:kern w:val="0"/>
                <w:sz w:val="22"/>
                <w:szCs w:val="22"/>
                <w:lang w:val="en-US" w:eastAsia="zh-CN"/>
              </w:rPr>
              <w:t>合同复印件或扫描件（有效期内）</w:t>
            </w:r>
          </w:p>
        </w:tc>
        <w:tc>
          <w:tcPr>
            <w:tcW w:w="840" w:type="dxa"/>
            <w:vAlign w:val="center"/>
          </w:tcPr>
          <w:p w14:paraId="1F2B94BA">
            <w:pPr>
              <w:snapToGrid w:val="0"/>
              <w:spacing w:line="440" w:lineRule="exact"/>
              <w:jc w:val="center"/>
              <w:rPr>
                <w:rFonts w:ascii="宋体" w:hAnsi="宋体" w:eastAsia="宋体" w:cs="宋体"/>
                <w:sz w:val="24"/>
              </w:rPr>
            </w:pPr>
            <w:r>
              <w:rPr>
                <w:rFonts w:hint="eastAsia" w:ascii="宋体" w:hAnsi="宋体" w:eastAsia="宋体" w:cs="宋体"/>
                <w:color w:val="auto"/>
                <w:sz w:val="22"/>
                <w:szCs w:val="22"/>
                <w:u w:val="none"/>
                <w:lang w:val="en-US" w:eastAsia="zh-CN" w:bidi="ar-SA"/>
              </w:rPr>
              <w:t>6</w:t>
            </w:r>
            <w:r>
              <w:rPr>
                <w:rFonts w:hint="eastAsia" w:ascii="宋体" w:hAnsi="宋体" w:eastAsia="宋体" w:cs="宋体"/>
                <w:color w:val="auto"/>
                <w:sz w:val="22"/>
                <w:szCs w:val="22"/>
                <w:u w:val="none"/>
                <w:lang w:bidi="ar-SA"/>
              </w:rPr>
              <w:t>分</w:t>
            </w:r>
          </w:p>
        </w:tc>
      </w:tr>
      <w:tr w14:paraId="260A5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258" w:type="dxa"/>
            <w:vMerge w:val="continue"/>
            <w:vAlign w:val="center"/>
          </w:tcPr>
          <w:p w14:paraId="2A4036A1">
            <w:pPr>
              <w:rPr>
                <w:rFonts w:ascii="宋体" w:hAnsi="宋体" w:eastAsia="宋体" w:cs="宋体"/>
                <w:sz w:val="24"/>
              </w:rPr>
            </w:pPr>
          </w:p>
        </w:tc>
        <w:tc>
          <w:tcPr>
            <w:tcW w:w="1208" w:type="dxa"/>
            <w:vAlign w:val="center"/>
          </w:tcPr>
          <w:p w14:paraId="6A039F41">
            <w:pPr>
              <w:pStyle w:val="37"/>
              <w:spacing w:line="360" w:lineRule="auto"/>
              <w:jc w:val="center"/>
              <w:rPr>
                <w:rFonts w:hAnsi="宋体"/>
                <w:color w:val="auto"/>
              </w:rPr>
            </w:pPr>
            <w:r>
              <w:rPr>
                <w:rFonts w:hint="eastAsia" w:ascii="宋体" w:hAnsi="宋体" w:cs="宋体"/>
                <w:kern w:val="0"/>
                <w:sz w:val="22"/>
                <w:szCs w:val="22"/>
                <w:lang w:val="en-US" w:eastAsia="zh-CN"/>
              </w:rPr>
              <w:t>车辆配备</w:t>
            </w:r>
          </w:p>
        </w:tc>
        <w:tc>
          <w:tcPr>
            <w:tcW w:w="5695" w:type="dxa"/>
            <w:vAlign w:val="top"/>
          </w:tcPr>
          <w:p w14:paraId="16FAADDA">
            <w:pPr>
              <w:numPr>
                <w:ilvl w:val="0"/>
                <w:numId w:val="13"/>
              </w:numPr>
              <w:spacing w:before="57" w:line="360" w:lineRule="auto"/>
              <w:jc w:val="left"/>
              <w:rPr>
                <w:rFonts w:hint="eastAsia" w:ascii="宋体" w:hAnsi="宋体" w:cs="宋体"/>
                <w:kern w:val="0"/>
                <w:sz w:val="22"/>
                <w:szCs w:val="22"/>
                <w:lang w:val="en-US" w:eastAsia="zh-CN"/>
              </w:rPr>
            </w:pPr>
            <w:r>
              <w:rPr>
                <w:rFonts w:hint="eastAsia" w:ascii="宋体" w:hAnsi="宋体" w:cs="宋体"/>
                <w:kern w:val="0"/>
                <w:sz w:val="22"/>
                <w:szCs w:val="22"/>
                <w:lang w:val="en-US" w:eastAsia="zh-CN"/>
              </w:rPr>
              <w:t>供应商具备厢式运输车辆的，每具备1台得2分，最多得4分，缺项或不提供不得分；</w:t>
            </w:r>
          </w:p>
          <w:p w14:paraId="01A4D18E">
            <w:pPr>
              <w:numPr>
                <w:ilvl w:val="0"/>
                <w:numId w:val="13"/>
              </w:numPr>
              <w:spacing w:before="57" w:line="360" w:lineRule="auto"/>
              <w:ind w:left="0" w:leftChars="0" w:firstLine="0" w:firstLineChars="0"/>
              <w:jc w:val="left"/>
              <w:rPr>
                <w:rFonts w:hint="eastAsia" w:ascii="宋体" w:hAnsi="宋体" w:cs="宋体"/>
                <w:kern w:val="0"/>
                <w:sz w:val="22"/>
                <w:szCs w:val="22"/>
                <w:lang w:val="en-US" w:eastAsia="zh-CN"/>
              </w:rPr>
            </w:pPr>
            <w:r>
              <w:rPr>
                <w:rFonts w:hint="eastAsia" w:ascii="宋体" w:hAnsi="宋体" w:cs="宋体"/>
                <w:kern w:val="0"/>
                <w:sz w:val="22"/>
                <w:szCs w:val="22"/>
                <w:lang w:val="en-US" w:eastAsia="zh-CN"/>
              </w:rPr>
              <w:t>供应商具备冷链车的，每具备1台得4分，最多得4分，缺项或不提供不得分</w:t>
            </w:r>
          </w:p>
          <w:p w14:paraId="74E13FFC">
            <w:pPr>
              <w:pStyle w:val="37"/>
              <w:spacing w:line="360" w:lineRule="auto"/>
              <w:jc w:val="both"/>
            </w:pPr>
            <w:r>
              <w:rPr>
                <w:rFonts w:hint="eastAsia" w:ascii="宋体" w:hAnsi="宋体" w:cs="宋体"/>
                <w:kern w:val="0"/>
                <w:sz w:val="22"/>
                <w:szCs w:val="22"/>
                <w:lang w:val="en-US" w:eastAsia="zh-CN"/>
              </w:rPr>
              <w:t>注：</w:t>
            </w:r>
            <w:r>
              <w:rPr>
                <w:rFonts w:hint="eastAsia" w:hAnsi="宋体" w:cs="宋体"/>
                <w:kern w:val="0"/>
                <w:sz w:val="22"/>
                <w:szCs w:val="22"/>
                <w:lang w:val="en-US" w:eastAsia="zh-CN"/>
              </w:rPr>
              <w:t>磋商</w:t>
            </w:r>
            <w:r>
              <w:rPr>
                <w:rFonts w:hint="eastAsia" w:ascii="宋体" w:hAnsi="宋体" w:cs="宋体"/>
                <w:kern w:val="0"/>
                <w:sz w:val="22"/>
                <w:szCs w:val="22"/>
                <w:lang w:val="en-US" w:eastAsia="zh-CN"/>
              </w:rPr>
              <w:t>企业自有或法人名下的车辆机动车登记证书、行驶证、车辆照片做入响应文件；若车辆为租赁车辆，还需提供车辆租赁协议</w:t>
            </w:r>
          </w:p>
        </w:tc>
        <w:tc>
          <w:tcPr>
            <w:tcW w:w="840" w:type="dxa"/>
            <w:vAlign w:val="center"/>
          </w:tcPr>
          <w:p w14:paraId="32B42217">
            <w:pPr>
              <w:snapToGrid w:val="0"/>
              <w:spacing w:line="360" w:lineRule="auto"/>
              <w:jc w:val="center"/>
              <w:rPr>
                <w:rFonts w:ascii="宋体" w:hAnsi="宋体" w:eastAsia="宋体" w:cs="宋体"/>
                <w:sz w:val="24"/>
              </w:rPr>
            </w:pPr>
            <w:r>
              <w:rPr>
                <w:rFonts w:hint="eastAsia" w:ascii="宋体" w:hAnsi="宋体" w:eastAsia="宋体" w:cs="宋体"/>
                <w:color w:val="auto"/>
                <w:sz w:val="22"/>
                <w:szCs w:val="22"/>
                <w:u w:val="none"/>
                <w:lang w:val="en-US" w:eastAsia="zh-CN" w:bidi="ar-SA"/>
              </w:rPr>
              <w:t>8</w:t>
            </w:r>
            <w:r>
              <w:rPr>
                <w:rFonts w:hint="eastAsia" w:ascii="宋体" w:hAnsi="宋体" w:eastAsia="宋体" w:cs="宋体"/>
                <w:color w:val="auto"/>
                <w:sz w:val="22"/>
                <w:szCs w:val="22"/>
                <w:u w:val="none"/>
                <w:lang w:bidi="ar-SA"/>
              </w:rPr>
              <w:t>分</w:t>
            </w:r>
          </w:p>
        </w:tc>
      </w:tr>
      <w:tr w14:paraId="3514D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258" w:type="dxa"/>
            <w:vMerge w:val="continue"/>
            <w:vAlign w:val="center"/>
          </w:tcPr>
          <w:p w14:paraId="046FAED4">
            <w:pPr>
              <w:rPr>
                <w:rFonts w:ascii="宋体" w:hAnsi="宋体" w:eastAsia="宋体" w:cs="宋体"/>
                <w:sz w:val="24"/>
              </w:rPr>
            </w:pPr>
          </w:p>
        </w:tc>
        <w:tc>
          <w:tcPr>
            <w:tcW w:w="1208" w:type="dxa"/>
            <w:vAlign w:val="center"/>
          </w:tcPr>
          <w:p w14:paraId="706D327D">
            <w:pPr>
              <w:pStyle w:val="37"/>
              <w:spacing w:line="360" w:lineRule="auto"/>
              <w:jc w:val="center"/>
              <w:rPr>
                <w:rFonts w:ascii="宋体" w:hAnsi="宋体" w:eastAsia="宋体" w:cs="宋体"/>
                <w:sz w:val="24"/>
              </w:rPr>
            </w:pPr>
            <w:r>
              <w:rPr>
                <w:rFonts w:hint="eastAsia" w:ascii="宋体" w:hAnsi="宋体" w:eastAsia="宋体" w:cs="宋体"/>
                <w:color w:val="auto"/>
                <w:sz w:val="22"/>
                <w:szCs w:val="22"/>
                <w:u w:val="none"/>
                <w:lang w:bidi="ar-SA"/>
              </w:rPr>
              <w:t>配送人员</w:t>
            </w:r>
          </w:p>
        </w:tc>
        <w:tc>
          <w:tcPr>
            <w:tcW w:w="5695" w:type="dxa"/>
            <w:vAlign w:val="top"/>
          </w:tcPr>
          <w:p w14:paraId="20BFAAA1">
            <w:pPr>
              <w:pStyle w:val="37"/>
              <w:spacing w:line="360" w:lineRule="auto"/>
              <w:jc w:val="both"/>
              <w:rPr>
                <w:rFonts w:hAnsi="宋体"/>
                <w:color w:val="auto"/>
              </w:rPr>
            </w:pPr>
            <w:r>
              <w:rPr>
                <w:rFonts w:hint="default"/>
                <w:sz w:val="22"/>
                <w:szCs w:val="22"/>
                <w:lang w:val="en-US" w:eastAsia="zh-CN"/>
              </w:rPr>
              <w:t>供应商具备专职配送人员，每提供1人得1分，最多得</w:t>
            </w:r>
            <w:r>
              <w:rPr>
                <w:rFonts w:hint="eastAsia"/>
                <w:sz w:val="22"/>
                <w:szCs w:val="22"/>
                <w:lang w:val="en-US" w:eastAsia="zh-CN"/>
              </w:rPr>
              <w:t>5</w:t>
            </w:r>
            <w:r>
              <w:rPr>
                <w:rFonts w:hint="default"/>
                <w:sz w:val="22"/>
                <w:szCs w:val="22"/>
                <w:lang w:val="en-US" w:eastAsia="zh-CN"/>
              </w:rPr>
              <w:t>分（注：司机需提供驾驶证、健康证，其他配送人员需提供健康证，缺项或不提供不得分）；</w:t>
            </w:r>
          </w:p>
        </w:tc>
        <w:tc>
          <w:tcPr>
            <w:tcW w:w="840" w:type="dxa"/>
            <w:vAlign w:val="center"/>
          </w:tcPr>
          <w:p w14:paraId="404116A4">
            <w:pPr>
              <w:snapToGrid w:val="0"/>
              <w:spacing w:line="360" w:lineRule="auto"/>
              <w:jc w:val="center"/>
              <w:rPr>
                <w:rFonts w:ascii="宋体" w:hAnsi="宋体" w:eastAsia="宋体" w:cs="宋体"/>
                <w:sz w:val="24"/>
              </w:rPr>
            </w:pPr>
            <w:r>
              <w:rPr>
                <w:rFonts w:hint="eastAsia" w:ascii="宋体" w:hAnsi="宋体" w:eastAsia="宋体" w:cs="宋体"/>
                <w:color w:val="auto"/>
                <w:sz w:val="22"/>
                <w:szCs w:val="22"/>
                <w:u w:val="none"/>
                <w:lang w:val="en-US" w:eastAsia="zh-CN" w:bidi="ar-SA"/>
              </w:rPr>
              <w:t>5</w:t>
            </w:r>
            <w:r>
              <w:rPr>
                <w:rFonts w:hint="eastAsia" w:ascii="宋体" w:hAnsi="宋体" w:eastAsia="宋体" w:cs="宋体"/>
                <w:color w:val="auto"/>
                <w:sz w:val="22"/>
                <w:szCs w:val="22"/>
                <w:u w:val="none"/>
                <w:lang w:bidi="ar-SA"/>
              </w:rPr>
              <w:t>分</w:t>
            </w:r>
          </w:p>
        </w:tc>
      </w:tr>
      <w:tr w14:paraId="2B17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258" w:type="dxa"/>
            <w:vMerge w:val="continue"/>
            <w:vAlign w:val="center"/>
          </w:tcPr>
          <w:p w14:paraId="79E396AF">
            <w:pPr>
              <w:rPr>
                <w:rFonts w:ascii="宋体" w:hAnsi="宋体" w:eastAsia="宋体" w:cs="宋体"/>
                <w:sz w:val="24"/>
              </w:rPr>
            </w:pPr>
          </w:p>
        </w:tc>
        <w:tc>
          <w:tcPr>
            <w:tcW w:w="1208" w:type="dxa"/>
            <w:vAlign w:val="center"/>
          </w:tcPr>
          <w:p w14:paraId="3C3BA8C4">
            <w:pPr>
              <w:widowControl/>
              <w:spacing w:line="360" w:lineRule="exact"/>
              <w:jc w:val="center"/>
              <w:rPr>
                <w:rFonts w:ascii="宋体" w:hAnsi="宋体" w:eastAsia="宋体" w:cs="宋体"/>
                <w:sz w:val="24"/>
              </w:rPr>
            </w:pPr>
            <w:r>
              <w:rPr>
                <w:rFonts w:hint="eastAsia" w:ascii="宋体" w:hAnsi="宋体" w:eastAsia="宋体" w:cs="宋体"/>
                <w:color w:val="auto"/>
                <w:sz w:val="22"/>
                <w:szCs w:val="22"/>
                <w:u w:val="none"/>
                <w:lang w:bidi="ar-SA"/>
              </w:rPr>
              <w:t>服务承诺</w:t>
            </w:r>
          </w:p>
        </w:tc>
        <w:tc>
          <w:tcPr>
            <w:tcW w:w="5695" w:type="dxa"/>
            <w:vAlign w:val="center"/>
          </w:tcPr>
          <w:p w14:paraId="3F1F9272">
            <w:pPr>
              <w:pStyle w:val="37"/>
              <w:spacing w:line="360" w:lineRule="auto"/>
              <w:jc w:val="both"/>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bidi="ar-SA"/>
              </w:rPr>
              <w:t>根据供应商提供的服务承诺情况、服务响应情况、对货物出现质量问题的调换、退货等服务方案进行打分：</w:t>
            </w:r>
          </w:p>
          <w:p w14:paraId="45AB0D4D">
            <w:pPr>
              <w:pStyle w:val="37"/>
              <w:numPr>
                <w:ilvl w:val="0"/>
                <w:numId w:val="14"/>
              </w:numPr>
              <w:spacing w:line="360" w:lineRule="auto"/>
              <w:jc w:val="both"/>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bidi="ar-SA"/>
              </w:rPr>
              <w:t>服务承诺详细、完善、切实可行，优于采购要求的得5分；</w:t>
            </w:r>
          </w:p>
          <w:p w14:paraId="1757F0C0">
            <w:pPr>
              <w:pStyle w:val="37"/>
              <w:numPr>
                <w:ilvl w:val="0"/>
                <w:numId w:val="14"/>
              </w:numPr>
              <w:spacing w:line="360" w:lineRule="auto"/>
              <w:ind w:left="0" w:leftChars="0" w:firstLine="0" w:firstLineChars="0"/>
              <w:jc w:val="both"/>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bidi="ar-SA"/>
              </w:rPr>
              <w:t>服务承诺基本详细、完善、切实可行，基本满足采购要求的得3分；</w:t>
            </w:r>
          </w:p>
          <w:p w14:paraId="7D512C34">
            <w:pPr>
              <w:pStyle w:val="37"/>
              <w:numPr>
                <w:ilvl w:val="0"/>
                <w:numId w:val="14"/>
              </w:numPr>
              <w:spacing w:line="360" w:lineRule="auto"/>
              <w:ind w:left="0" w:leftChars="0" w:firstLine="0" w:firstLineChars="0"/>
              <w:jc w:val="both"/>
              <w:rPr>
                <w:rFonts w:hint="eastAsia" w:ascii="宋体" w:hAnsi="宋体" w:eastAsia="宋体" w:cs="宋体"/>
                <w:color w:val="auto"/>
                <w:sz w:val="22"/>
                <w:szCs w:val="22"/>
                <w:u w:val="none"/>
                <w:lang w:eastAsia="zh-CN" w:bidi="ar-SA"/>
              </w:rPr>
            </w:pPr>
            <w:r>
              <w:rPr>
                <w:rFonts w:hint="eastAsia" w:ascii="宋体" w:hAnsi="宋体" w:eastAsia="宋体" w:cs="宋体"/>
                <w:color w:val="auto"/>
                <w:sz w:val="22"/>
                <w:szCs w:val="22"/>
                <w:u w:val="none"/>
                <w:lang w:bidi="ar-SA"/>
              </w:rPr>
              <w:t>服务承诺不详细、不完善的得1分</w:t>
            </w:r>
            <w:r>
              <w:rPr>
                <w:rFonts w:hint="eastAsia" w:ascii="宋体" w:hAnsi="宋体" w:eastAsia="宋体" w:cs="宋体"/>
                <w:color w:val="auto"/>
                <w:sz w:val="22"/>
                <w:szCs w:val="22"/>
                <w:u w:val="none"/>
                <w:lang w:eastAsia="zh-CN" w:bidi="ar-SA"/>
              </w:rPr>
              <w:t>；</w:t>
            </w:r>
          </w:p>
          <w:p w14:paraId="09EFEF9C">
            <w:pPr>
              <w:pStyle w:val="37"/>
              <w:spacing w:line="360" w:lineRule="auto"/>
              <w:jc w:val="both"/>
              <w:rPr>
                <w:rFonts w:hAnsi="宋体"/>
                <w:color w:val="auto"/>
              </w:rPr>
            </w:pPr>
            <w:r>
              <w:rPr>
                <w:rFonts w:hint="eastAsia" w:ascii="宋体" w:hAnsi="宋体" w:eastAsia="宋体" w:cs="宋体"/>
                <w:color w:val="auto"/>
                <w:sz w:val="22"/>
                <w:szCs w:val="22"/>
                <w:u w:val="none"/>
                <w:lang w:val="en-US" w:eastAsia="zh-CN" w:bidi="ar-SA"/>
              </w:rPr>
              <w:t>4.缺项或未提供不得分</w:t>
            </w:r>
          </w:p>
        </w:tc>
        <w:tc>
          <w:tcPr>
            <w:tcW w:w="840" w:type="dxa"/>
            <w:vAlign w:val="center"/>
          </w:tcPr>
          <w:p w14:paraId="33C671A3">
            <w:pPr>
              <w:snapToGrid w:val="0"/>
              <w:spacing w:line="360" w:lineRule="auto"/>
              <w:jc w:val="center"/>
              <w:rPr>
                <w:rFonts w:ascii="宋体" w:hAnsi="宋体" w:eastAsia="宋体" w:cs="宋体"/>
                <w:sz w:val="24"/>
              </w:rPr>
            </w:pPr>
            <w:r>
              <w:rPr>
                <w:rFonts w:hint="eastAsia" w:ascii="宋体" w:hAnsi="宋体" w:eastAsia="宋体" w:cs="宋体"/>
                <w:color w:val="auto"/>
                <w:sz w:val="22"/>
                <w:szCs w:val="22"/>
                <w:u w:val="none"/>
                <w:lang w:val="en-US" w:eastAsia="zh-CN" w:bidi="ar-SA"/>
              </w:rPr>
              <w:t>5</w:t>
            </w:r>
            <w:r>
              <w:rPr>
                <w:rFonts w:hint="eastAsia" w:ascii="宋体" w:hAnsi="宋体" w:eastAsia="宋体" w:cs="宋体"/>
                <w:color w:val="auto"/>
                <w:sz w:val="22"/>
                <w:szCs w:val="22"/>
                <w:u w:val="none"/>
                <w:lang w:bidi="ar-SA"/>
              </w:rPr>
              <w:t>分</w:t>
            </w:r>
          </w:p>
        </w:tc>
      </w:tr>
      <w:tr w14:paraId="5B96B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258" w:type="dxa"/>
            <w:vMerge w:val="continue"/>
            <w:vAlign w:val="center"/>
          </w:tcPr>
          <w:p w14:paraId="12AA7E99">
            <w:pPr>
              <w:rPr>
                <w:rFonts w:ascii="宋体" w:hAnsi="宋体" w:eastAsia="宋体" w:cs="宋体"/>
                <w:sz w:val="24"/>
              </w:rPr>
            </w:pPr>
          </w:p>
        </w:tc>
        <w:tc>
          <w:tcPr>
            <w:tcW w:w="1208" w:type="dxa"/>
            <w:shd w:val="clear" w:color="auto" w:fill="auto"/>
            <w:vAlign w:val="center"/>
          </w:tcPr>
          <w:p w14:paraId="6A3215CE">
            <w:pPr>
              <w:widowControl/>
              <w:spacing w:line="360" w:lineRule="exact"/>
              <w:jc w:val="center"/>
              <w:rPr>
                <w:rFonts w:hint="eastAsia" w:ascii="宋体" w:hAnsi="宋体" w:eastAsia="宋体" w:cs="宋体"/>
                <w:color w:val="auto"/>
                <w:kern w:val="2"/>
                <w:sz w:val="22"/>
                <w:szCs w:val="22"/>
                <w:u w:val="none"/>
                <w:lang w:val="en-US" w:eastAsia="zh-CN" w:bidi="ar-SA"/>
              </w:rPr>
            </w:pPr>
            <w:r>
              <w:rPr>
                <w:rFonts w:hint="eastAsia" w:ascii="宋体" w:hAnsi="宋体" w:eastAsia="宋体" w:cs="宋体"/>
                <w:kern w:val="0"/>
                <w:sz w:val="22"/>
                <w:szCs w:val="22"/>
                <w:lang w:val="en-US" w:eastAsia="zh-CN"/>
              </w:rPr>
              <w:t>优惠承诺</w:t>
            </w:r>
          </w:p>
        </w:tc>
        <w:tc>
          <w:tcPr>
            <w:tcW w:w="5695" w:type="dxa"/>
            <w:shd w:val="clear" w:color="auto" w:fill="auto"/>
            <w:vAlign w:val="center"/>
          </w:tcPr>
          <w:p w14:paraId="0DA31CDC">
            <w:pPr>
              <w:pStyle w:val="37"/>
              <w:spacing w:line="360" w:lineRule="auto"/>
              <w:jc w:val="both"/>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bidi="ar-SA"/>
              </w:rPr>
              <w:t>针对本项目的实际需要提供优惠服务、延伸服务、便利服务等服务承诺或特色服务方案进行打分：</w:t>
            </w:r>
          </w:p>
          <w:p w14:paraId="190A1EC4">
            <w:pPr>
              <w:pStyle w:val="37"/>
              <w:numPr>
                <w:ilvl w:val="0"/>
                <w:numId w:val="15"/>
              </w:numPr>
              <w:spacing w:line="360" w:lineRule="auto"/>
              <w:jc w:val="both"/>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bidi="ar-SA"/>
              </w:rPr>
              <w:t>优惠承诺详细、完善、切实可行，优于采购要求的得5分；</w:t>
            </w:r>
          </w:p>
          <w:p w14:paraId="769B3296">
            <w:pPr>
              <w:pStyle w:val="37"/>
              <w:numPr>
                <w:ilvl w:val="0"/>
                <w:numId w:val="15"/>
              </w:numPr>
              <w:spacing w:line="360" w:lineRule="auto"/>
              <w:ind w:left="0" w:leftChars="0" w:firstLine="0" w:firstLineChars="0"/>
              <w:jc w:val="both"/>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bidi="ar-SA"/>
              </w:rPr>
              <w:t>优惠承诺基本详细、完善、切实可行，基本满足采购要求的得3分；</w:t>
            </w:r>
          </w:p>
          <w:p w14:paraId="2BBBE987">
            <w:pPr>
              <w:pStyle w:val="37"/>
              <w:numPr>
                <w:ilvl w:val="0"/>
                <w:numId w:val="15"/>
              </w:numPr>
              <w:spacing w:line="360" w:lineRule="auto"/>
              <w:ind w:left="0" w:leftChars="0" w:firstLine="0" w:firstLineChars="0"/>
              <w:jc w:val="both"/>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bidi="ar-SA"/>
              </w:rPr>
              <w:t>优惠承诺不详细、不完善的得1分。</w:t>
            </w:r>
          </w:p>
          <w:p w14:paraId="14392BDC">
            <w:pPr>
              <w:pStyle w:val="37"/>
              <w:spacing w:line="360" w:lineRule="auto"/>
              <w:jc w:val="both"/>
              <w:rPr>
                <w:rFonts w:hint="eastAsia" w:ascii="宋体" w:hAnsi="宋体" w:eastAsia="宋体" w:cs="宋体"/>
                <w:color w:val="auto"/>
                <w:kern w:val="2"/>
                <w:sz w:val="22"/>
                <w:szCs w:val="22"/>
                <w:u w:val="none"/>
                <w:lang w:val="en-US" w:eastAsia="zh-CN" w:bidi="ar-SA"/>
              </w:rPr>
            </w:pPr>
            <w:r>
              <w:rPr>
                <w:rFonts w:hint="eastAsia" w:ascii="宋体" w:hAnsi="宋体" w:eastAsia="宋体" w:cs="宋体"/>
                <w:color w:val="auto"/>
                <w:sz w:val="22"/>
                <w:szCs w:val="22"/>
                <w:u w:val="none"/>
                <w:lang w:bidi="ar-SA"/>
              </w:rPr>
              <w:t>4.缺项或不提供的得0分。</w:t>
            </w:r>
          </w:p>
        </w:tc>
        <w:tc>
          <w:tcPr>
            <w:tcW w:w="840" w:type="dxa"/>
            <w:shd w:val="clear" w:color="auto" w:fill="auto"/>
            <w:vAlign w:val="center"/>
          </w:tcPr>
          <w:p w14:paraId="4FB7623D">
            <w:pPr>
              <w:snapToGrid w:val="0"/>
              <w:spacing w:line="360" w:lineRule="auto"/>
              <w:jc w:val="center"/>
              <w:rPr>
                <w:rFonts w:hint="eastAsia" w:ascii="宋体" w:hAnsi="宋体" w:eastAsia="宋体" w:cs="宋体"/>
                <w:color w:val="auto"/>
                <w:kern w:val="2"/>
                <w:sz w:val="22"/>
                <w:szCs w:val="22"/>
                <w:u w:val="none"/>
                <w:lang w:val="en-US" w:eastAsia="zh-CN" w:bidi="ar-SA"/>
              </w:rPr>
            </w:pPr>
            <w:r>
              <w:rPr>
                <w:rFonts w:hint="eastAsia" w:ascii="宋体" w:hAnsi="宋体" w:eastAsia="宋体" w:cs="宋体"/>
                <w:color w:val="auto"/>
                <w:sz w:val="22"/>
                <w:szCs w:val="22"/>
                <w:u w:val="none"/>
                <w:lang w:val="en-US" w:eastAsia="zh-CN" w:bidi="ar-SA"/>
              </w:rPr>
              <w:t>5分</w:t>
            </w:r>
          </w:p>
        </w:tc>
      </w:tr>
    </w:tbl>
    <w:p w14:paraId="2E244461">
      <w:pPr>
        <w:tabs>
          <w:tab w:val="left" w:pos="312"/>
        </w:tabs>
        <w:spacing w:line="500" w:lineRule="exact"/>
        <w:ind w:firstLine="482" w:firstLineChars="200"/>
        <w:rPr>
          <w:rFonts w:hint="eastAsia" w:ascii="宋体" w:hAnsi="宋体" w:cs="宋体"/>
          <w:b/>
          <w:bCs/>
          <w:kern w:val="0"/>
          <w:sz w:val="24"/>
        </w:rPr>
      </w:pPr>
    </w:p>
    <w:p w14:paraId="7AF154C7">
      <w:pPr>
        <w:pStyle w:val="2"/>
        <w:rPr>
          <w:rFonts w:hint="eastAsia" w:ascii="宋体" w:hAnsi="宋体" w:cs="宋体"/>
          <w:b/>
          <w:bCs/>
          <w:kern w:val="0"/>
          <w:sz w:val="24"/>
        </w:rPr>
      </w:pPr>
    </w:p>
    <w:p w14:paraId="2F8D8DDF">
      <w:pPr>
        <w:rPr>
          <w:rFonts w:hint="eastAsia" w:ascii="宋体" w:hAnsi="宋体" w:cs="宋体"/>
          <w:b/>
          <w:bCs/>
          <w:kern w:val="0"/>
          <w:sz w:val="24"/>
        </w:rPr>
      </w:pPr>
    </w:p>
    <w:p w14:paraId="21350D00">
      <w:pPr>
        <w:tabs>
          <w:tab w:val="left" w:pos="312"/>
        </w:tabs>
        <w:spacing w:line="500" w:lineRule="exact"/>
        <w:ind w:firstLine="482" w:firstLineChars="200"/>
        <w:rPr>
          <w:rFonts w:hint="eastAsia" w:ascii="宋体" w:hAnsi="宋体" w:cs="宋体"/>
          <w:b/>
          <w:bCs/>
          <w:kern w:val="0"/>
          <w:sz w:val="24"/>
        </w:rPr>
      </w:pPr>
    </w:p>
    <w:p w14:paraId="7B5008B2">
      <w:pPr>
        <w:tabs>
          <w:tab w:val="left" w:pos="312"/>
        </w:tabs>
        <w:spacing w:line="500" w:lineRule="exact"/>
        <w:ind w:firstLine="482" w:firstLineChars="200"/>
        <w:rPr>
          <w:rFonts w:ascii="宋体" w:hAnsi="宋体" w:cs="宋体"/>
          <w:b/>
          <w:sz w:val="24"/>
        </w:rPr>
      </w:pPr>
      <w:r>
        <w:rPr>
          <w:rFonts w:hint="eastAsia" w:ascii="宋体" w:hAnsi="宋体" w:cs="宋体"/>
          <w:b/>
          <w:bCs/>
          <w:kern w:val="0"/>
          <w:sz w:val="24"/>
        </w:rPr>
        <w:t>1、本次磋商采用综合评分法：</w:t>
      </w:r>
      <w:r>
        <w:rPr>
          <w:rFonts w:hint="eastAsia" w:ascii="宋体" w:hAnsi="宋体" w:cs="宋体"/>
          <w:sz w:val="24"/>
        </w:rPr>
        <w:t>磋商小组对满足竞争性磋商文件实质性要求和提交最终报价的响应文件，按本章节规定的评分标准进行综合评分，并按得分由高到低顺序推荐3名成交候选人。</w:t>
      </w:r>
    </w:p>
    <w:p w14:paraId="72274557">
      <w:pPr>
        <w:spacing w:line="500" w:lineRule="exact"/>
        <w:ind w:firstLine="482" w:firstLineChars="200"/>
        <w:rPr>
          <w:rFonts w:ascii="宋体" w:hAnsi="宋体" w:cs="宋体"/>
          <w:b/>
          <w:bCs/>
          <w:sz w:val="24"/>
        </w:rPr>
      </w:pPr>
      <w:r>
        <w:rPr>
          <w:rFonts w:hint="eastAsia" w:ascii="宋体" w:hAnsi="宋体" w:cs="宋体"/>
          <w:b/>
          <w:bCs/>
          <w:sz w:val="24"/>
        </w:rPr>
        <w:t>2、 评审标准</w:t>
      </w:r>
    </w:p>
    <w:p w14:paraId="31A438BB">
      <w:pPr>
        <w:spacing w:line="500" w:lineRule="exact"/>
        <w:ind w:firstLine="420" w:firstLineChars="175"/>
        <w:rPr>
          <w:rFonts w:ascii="宋体" w:hAnsi="宋体" w:cs="宋体"/>
          <w:sz w:val="24"/>
        </w:rPr>
      </w:pPr>
      <w:bookmarkStart w:id="112" w:name="_Toc179632620"/>
      <w:bookmarkEnd w:id="112"/>
      <w:bookmarkStart w:id="113" w:name="_Toc31847"/>
      <w:bookmarkEnd w:id="113"/>
      <w:bookmarkStart w:id="114" w:name="_Toc23196"/>
      <w:bookmarkEnd w:id="114"/>
      <w:bookmarkStart w:id="115" w:name="_Toc12931"/>
      <w:bookmarkEnd w:id="115"/>
      <w:r>
        <w:rPr>
          <w:rFonts w:hint="eastAsia" w:ascii="宋体" w:hAnsi="宋体" w:cs="宋体"/>
          <w:sz w:val="24"/>
        </w:rPr>
        <w:t>2.1 初步评审标准</w:t>
      </w:r>
    </w:p>
    <w:p w14:paraId="46C23AFA">
      <w:pPr>
        <w:spacing w:line="500" w:lineRule="exact"/>
        <w:ind w:firstLine="420" w:firstLineChars="175"/>
        <w:rPr>
          <w:rFonts w:ascii="宋体" w:hAnsi="宋体" w:cs="宋体"/>
          <w:sz w:val="24"/>
        </w:rPr>
      </w:pPr>
      <w:r>
        <w:rPr>
          <w:rFonts w:hint="eastAsia" w:ascii="宋体" w:hAnsi="宋体" w:cs="宋体"/>
          <w:sz w:val="24"/>
        </w:rPr>
        <w:t>2.1.1符合性评审标准：见磋商办法前附表。</w:t>
      </w:r>
    </w:p>
    <w:p w14:paraId="19E995FE">
      <w:pPr>
        <w:spacing w:line="500" w:lineRule="exact"/>
        <w:ind w:firstLine="420" w:firstLineChars="175"/>
        <w:rPr>
          <w:rFonts w:ascii="宋体" w:hAnsi="宋体" w:cs="宋体"/>
          <w:sz w:val="24"/>
        </w:rPr>
      </w:pPr>
      <w:r>
        <w:rPr>
          <w:rFonts w:hint="eastAsia" w:ascii="宋体" w:hAnsi="宋体" w:cs="宋体"/>
          <w:sz w:val="24"/>
        </w:rPr>
        <w:t>2.1.2 资格性评审标准：见磋商办法前附表。</w:t>
      </w:r>
    </w:p>
    <w:p w14:paraId="025E2F81">
      <w:pPr>
        <w:spacing w:line="500" w:lineRule="exact"/>
        <w:ind w:firstLine="420" w:firstLineChars="175"/>
        <w:rPr>
          <w:rFonts w:ascii="宋体" w:hAnsi="宋体" w:cs="宋体"/>
          <w:sz w:val="24"/>
        </w:rPr>
      </w:pPr>
      <w:r>
        <w:rPr>
          <w:rFonts w:hint="eastAsia" w:ascii="宋体" w:hAnsi="宋体" w:cs="宋体"/>
          <w:sz w:val="24"/>
        </w:rPr>
        <w:t>2.1.3 响应性评审标准：见磋商办法前附表。</w:t>
      </w:r>
    </w:p>
    <w:p w14:paraId="4AA9B830">
      <w:pPr>
        <w:spacing w:line="500" w:lineRule="exact"/>
        <w:ind w:firstLine="420" w:firstLineChars="175"/>
        <w:rPr>
          <w:rFonts w:ascii="宋体" w:hAnsi="宋体" w:cs="宋体"/>
          <w:sz w:val="24"/>
        </w:rPr>
      </w:pPr>
      <w:bookmarkStart w:id="116" w:name="_Toc607"/>
      <w:bookmarkEnd w:id="116"/>
      <w:bookmarkStart w:id="117" w:name="_Toc16603"/>
      <w:bookmarkEnd w:id="117"/>
      <w:bookmarkStart w:id="118" w:name="_Toc179632621"/>
      <w:bookmarkEnd w:id="118"/>
      <w:bookmarkStart w:id="119" w:name="_Toc11804"/>
      <w:bookmarkEnd w:id="119"/>
      <w:r>
        <w:rPr>
          <w:rFonts w:hint="eastAsia" w:ascii="宋体" w:hAnsi="宋体" w:cs="宋体"/>
          <w:sz w:val="24"/>
        </w:rPr>
        <w:t>2.2 分值构成与评分标准：见详细评分表。</w:t>
      </w:r>
    </w:p>
    <w:p w14:paraId="3146C672">
      <w:pPr>
        <w:spacing w:line="500" w:lineRule="exact"/>
        <w:ind w:firstLine="482" w:firstLineChars="200"/>
        <w:rPr>
          <w:rFonts w:ascii="宋体" w:hAnsi="宋体" w:cs="宋体"/>
          <w:b/>
          <w:bCs/>
          <w:sz w:val="24"/>
        </w:rPr>
      </w:pPr>
      <w:bookmarkStart w:id="120" w:name="_Toc152042381"/>
      <w:bookmarkEnd w:id="120"/>
      <w:r>
        <w:rPr>
          <w:rFonts w:hint="eastAsia" w:ascii="宋体" w:hAnsi="宋体" w:cs="宋体"/>
          <w:b/>
          <w:bCs/>
          <w:sz w:val="24"/>
        </w:rPr>
        <w:t>3、磋商程序</w:t>
      </w:r>
    </w:p>
    <w:p w14:paraId="72887179">
      <w:pPr>
        <w:spacing w:line="500" w:lineRule="exact"/>
        <w:ind w:firstLine="480" w:firstLineChars="200"/>
        <w:rPr>
          <w:rFonts w:ascii="宋体" w:hAnsi="宋体" w:cs="宋体"/>
          <w:sz w:val="24"/>
        </w:rPr>
      </w:pPr>
      <w:bookmarkStart w:id="121" w:name="_Toc31010"/>
      <w:bookmarkEnd w:id="121"/>
      <w:bookmarkStart w:id="122" w:name="_Toc8644"/>
      <w:bookmarkEnd w:id="122"/>
      <w:bookmarkStart w:id="123" w:name="_Toc179632623"/>
      <w:bookmarkEnd w:id="123"/>
      <w:bookmarkStart w:id="124" w:name="_Toc152042382"/>
      <w:bookmarkEnd w:id="124"/>
      <w:bookmarkStart w:id="125" w:name="_Toc30372"/>
      <w:bookmarkEnd w:id="125"/>
      <w:bookmarkStart w:id="126" w:name="_Toc152045605"/>
      <w:bookmarkEnd w:id="126"/>
      <w:bookmarkStart w:id="127" w:name="_Toc144974572"/>
      <w:bookmarkEnd w:id="127"/>
      <w:r>
        <w:rPr>
          <w:rFonts w:hint="eastAsia" w:ascii="宋体" w:hAnsi="宋体" w:cs="宋体"/>
          <w:sz w:val="24"/>
        </w:rPr>
        <w:t>3.1 初步评审</w:t>
      </w:r>
    </w:p>
    <w:p w14:paraId="3DDC4080">
      <w:pPr>
        <w:spacing w:line="500" w:lineRule="exact"/>
        <w:ind w:firstLine="480" w:firstLineChars="200"/>
        <w:rPr>
          <w:rFonts w:ascii="宋体" w:hAnsi="宋体" w:cs="宋体"/>
          <w:sz w:val="24"/>
        </w:rPr>
      </w:pPr>
      <w:r>
        <w:rPr>
          <w:rFonts w:hint="eastAsia" w:ascii="宋体" w:hAnsi="宋体" w:cs="宋体"/>
          <w:sz w:val="24"/>
        </w:rPr>
        <w:t>3.1.1 资格审查以响应文件为准，其上传资料真实性由供应商自行承担。磋商小组依据本章规定的标准对响应文件进行初步评审。有一项不符合评审标准的，其磋商将被否决。</w:t>
      </w:r>
    </w:p>
    <w:p w14:paraId="5C7C9442">
      <w:pPr>
        <w:spacing w:line="500" w:lineRule="exact"/>
        <w:ind w:firstLine="480" w:firstLineChars="200"/>
        <w:rPr>
          <w:rFonts w:ascii="宋体" w:hAnsi="宋体" w:cs="宋体"/>
          <w:sz w:val="24"/>
        </w:rPr>
      </w:pPr>
      <w:r>
        <w:rPr>
          <w:rFonts w:hint="eastAsia" w:ascii="宋体" w:hAnsi="宋体" w:cs="宋体"/>
          <w:sz w:val="24"/>
        </w:rPr>
        <w:t>3.1.2磋商小组依据磋商文件规定的评审标准对响应文件进行初步评审。有一项不符合评审标准的，其磋商将被否决。</w:t>
      </w:r>
    </w:p>
    <w:p w14:paraId="71750055">
      <w:pPr>
        <w:spacing w:line="500" w:lineRule="exact"/>
        <w:ind w:firstLine="480" w:firstLineChars="200"/>
        <w:rPr>
          <w:rFonts w:ascii="宋体" w:hAnsi="宋体" w:cs="宋体"/>
          <w:sz w:val="24"/>
        </w:rPr>
      </w:pPr>
      <w:r>
        <w:rPr>
          <w:rFonts w:hint="eastAsia" w:ascii="宋体" w:hAnsi="宋体" w:cs="宋体"/>
          <w:sz w:val="24"/>
        </w:rPr>
        <w:t>3.1.3供应商有以下情形之一的，其磋商作无效标处理：</w:t>
      </w:r>
    </w:p>
    <w:p w14:paraId="7E79F8E7">
      <w:pPr>
        <w:spacing w:line="500" w:lineRule="exact"/>
        <w:ind w:firstLine="480" w:firstLineChars="200"/>
        <w:rPr>
          <w:rFonts w:ascii="宋体" w:hAnsi="宋体" w:cs="宋体"/>
          <w:sz w:val="24"/>
        </w:rPr>
      </w:pPr>
      <w:r>
        <w:rPr>
          <w:rFonts w:hint="eastAsia" w:ascii="宋体" w:hAnsi="宋体" w:cs="宋体"/>
          <w:sz w:val="24"/>
        </w:rPr>
        <w:t>（1）串通磋商或弄虚作假或有其他违法行为的；</w:t>
      </w:r>
    </w:p>
    <w:p w14:paraId="5A14D481">
      <w:pPr>
        <w:spacing w:line="500" w:lineRule="exact"/>
        <w:ind w:firstLine="480" w:firstLineChars="200"/>
        <w:rPr>
          <w:rFonts w:ascii="宋体" w:hAnsi="宋体" w:cs="宋体"/>
          <w:sz w:val="24"/>
        </w:rPr>
      </w:pPr>
      <w:r>
        <w:rPr>
          <w:rFonts w:hint="eastAsia" w:ascii="宋体" w:hAnsi="宋体" w:cs="宋体"/>
          <w:sz w:val="24"/>
        </w:rPr>
        <w:t>（2）不按磋商小组要求澄清、说明或补正的。</w:t>
      </w:r>
    </w:p>
    <w:p w14:paraId="6F574FB4">
      <w:pPr>
        <w:spacing w:line="500" w:lineRule="exact"/>
        <w:ind w:firstLine="480" w:firstLineChars="200"/>
        <w:rPr>
          <w:rFonts w:ascii="宋体" w:hAnsi="宋体" w:cs="宋体"/>
          <w:sz w:val="24"/>
        </w:rPr>
      </w:pPr>
      <w:r>
        <w:rPr>
          <w:rFonts w:hint="eastAsia" w:ascii="宋体" w:hAnsi="宋体" w:cs="宋体"/>
          <w:sz w:val="24"/>
        </w:rPr>
        <w:t>3.1.4磋商报价有算术错误的，磋商小组按以下原则对磋商报价进行修正，修正的价格经供应商书面确认后具有约束力。供应商不接受修正价格的，其磋商将被否决。</w:t>
      </w:r>
    </w:p>
    <w:p w14:paraId="77A5C148">
      <w:pPr>
        <w:spacing w:line="500" w:lineRule="exact"/>
        <w:ind w:firstLine="480" w:firstLineChars="200"/>
        <w:rPr>
          <w:rFonts w:ascii="宋体" w:hAnsi="宋体" w:cs="宋体"/>
          <w:sz w:val="24"/>
        </w:rPr>
      </w:pPr>
      <w:bookmarkStart w:id="128" w:name="_Toc152042383"/>
      <w:bookmarkEnd w:id="128"/>
      <w:r>
        <w:rPr>
          <w:rFonts w:hint="eastAsia" w:ascii="宋体" w:hAnsi="宋体" w:cs="宋体"/>
          <w:sz w:val="24"/>
        </w:rPr>
        <w:t>（1）响应文件中的大写金额与小写金额不一致的，以大写金额为准；</w:t>
      </w:r>
    </w:p>
    <w:p w14:paraId="6415DD11">
      <w:pPr>
        <w:spacing w:line="500" w:lineRule="exact"/>
        <w:ind w:firstLine="480" w:firstLineChars="200"/>
        <w:rPr>
          <w:rFonts w:ascii="宋体" w:hAnsi="宋体" w:cs="宋体"/>
          <w:sz w:val="24"/>
        </w:rPr>
      </w:pPr>
      <w:r>
        <w:rPr>
          <w:rFonts w:hint="eastAsia" w:ascii="宋体" w:hAnsi="宋体" w:cs="宋体"/>
          <w:sz w:val="24"/>
        </w:rPr>
        <w:t>（2）总价金额与依据单价计算出的结果不一致的，以单价金额为准修正总价，但单价金额小数点有明显错误的除外。</w:t>
      </w:r>
    </w:p>
    <w:p w14:paraId="34E06CBB">
      <w:pPr>
        <w:spacing w:line="500" w:lineRule="exact"/>
        <w:ind w:firstLine="480" w:firstLineChars="200"/>
        <w:rPr>
          <w:rFonts w:ascii="宋体" w:hAnsi="宋体" w:cs="宋体"/>
          <w:sz w:val="24"/>
        </w:rPr>
      </w:pPr>
      <w:bookmarkStart w:id="129" w:name="_Toc152042384"/>
      <w:bookmarkEnd w:id="129"/>
      <w:bookmarkStart w:id="130" w:name="_Toc152045606"/>
      <w:bookmarkEnd w:id="130"/>
      <w:bookmarkStart w:id="131" w:name="_Toc144974573"/>
      <w:bookmarkEnd w:id="131"/>
      <w:bookmarkStart w:id="132" w:name="_Toc179632624"/>
      <w:bookmarkEnd w:id="132"/>
      <w:r>
        <w:rPr>
          <w:rFonts w:hint="eastAsia" w:ascii="宋体" w:hAnsi="宋体" w:cs="宋体"/>
          <w:sz w:val="24"/>
        </w:rPr>
        <w:t>3.2 详细评审</w:t>
      </w:r>
    </w:p>
    <w:p w14:paraId="3F0BB952">
      <w:pPr>
        <w:spacing w:line="500" w:lineRule="exact"/>
        <w:ind w:firstLine="480" w:firstLineChars="200"/>
        <w:rPr>
          <w:rFonts w:ascii="宋体" w:hAnsi="宋体" w:cs="宋体"/>
          <w:sz w:val="24"/>
        </w:rPr>
      </w:pPr>
      <w:r>
        <w:rPr>
          <w:rFonts w:hint="eastAsia" w:ascii="宋体" w:hAnsi="宋体" w:cs="宋体"/>
          <w:sz w:val="24"/>
        </w:rPr>
        <w:t>3.2.1 磋商小组按本章详细评审规定的量化因素和分值进行打分，并计算出综合评估得分。</w:t>
      </w:r>
    </w:p>
    <w:p w14:paraId="4F5FFE54">
      <w:pPr>
        <w:spacing w:line="500" w:lineRule="exact"/>
        <w:ind w:firstLine="480" w:firstLineChars="200"/>
        <w:rPr>
          <w:rFonts w:ascii="宋体" w:hAnsi="宋体" w:cs="宋体"/>
          <w:sz w:val="24"/>
        </w:rPr>
      </w:pPr>
      <w:r>
        <w:rPr>
          <w:rFonts w:hint="eastAsia" w:ascii="宋体" w:hAnsi="宋体" w:cs="宋体"/>
          <w:sz w:val="24"/>
        </w:rPr>
        <w:t>3.2.2 磋商小组发现供应商最终提交的报价明显低于其他磋商报价，或者在设有磋商控制价时明显低于磋商控制价，使得其磋商报价可能低于其个别成本的，应当要求该供应商作出书面说明并提供相应的证明材料。供应商不能合理说明或者不能提供相应证明材料的，由磋商小组认定该供应商以低于成本报价竞标，其磋商作无效标处理。</w:t>
      </w:r>
    </w:p>
    <w:p w14:paraId="1F1BF7E9">
      <w:pPr>
        <w:pStyle w:val="37"/>
        <w:spacing w:line="480" w:lineRule="exact"/>
        <w:ind w:firstLine="480" w:firstLineChars="200"/>
        <w:rPr>
          <w:color w:val="auto"/>
        </w:rPr>
      </w:pPr>
      <w:r>
        <w:rPr>
          <w:rFonts w:hint="eastAsia"/>
          <w:color w:val="auto"/>
        </w:rPr>
        <w:t>3.2.3、在磋商过程中，评审得分相同的，首先以报价最低的供应商获得成交供应商推荐资格；若报价相同的，以服务承诺得分最高的供应商获得成交供应商推荐资格。</w:t>
      </w:r>
    </w:p>
    <w:p w14:paraId="292F73D7">
      <w:pPr>
        <w:spacing w:line="500" w:lineRule="exact"/>
        <w:ind w:firstLine="480" w:firstLineChars="200"/>
        <w:rPr>
          <w:rFonts w:ascii="宋体" w:hAnsi="宋体" w:cs="宋体"/>
          <w:sz w:val="24"/>
        </w:rPr>
      </w:pPr>
      <w:bookmarkStart w:id="133" w:name="_Toc179632625"/>
      <w:bookmarkEnd w:id="133"/>
      <w:bookmarkStart w:id="134" w:name="_Toc152042385"/>
      <w:bookmarkEnd w:id="134"/>
      <w:bookmarkStart w:id="135" w:name="_Toc421805017"/>
      <w:bookmarkEnd w:id="135"/>
      <w:bookmarkStart w:id="136" w:name="_Toc401512224"/>
      <w:bookmarkEnd w:id="136"/>
      <w:bookmarkStart w:id="137" w:name="_Toc466566711"/>
      <w:bookmarkEnd w:id="137"/>
      <w:bookmarkStart w:id="138" w:name="_Toc423358132"/>
      <w:bookmarkEnd w:id="138"/>
      <w:bookmarkStart w:id="139" w:name="_Toc401926485"/>
      <w:bookmarkEnd w:id="139"/>
      <w:bookmarkStart w:id="140" w:name="_Toc421698384"/>
      <w:bookmarkEnd w:id="140"/>
      <w:bookmarkStart w:id="141" w:name="_Toc144974575"/>
      <w:bookmarkEnd w:id="141"/>
      <w:bookmarkStart w:id="142" w:name="_Toc418605429"/>
      <w:bookmarkEnd w:id="142"/>
      <w:bookmarkStart w:id="143" w:name="_Toc389384087"/>
      <w:bookmarkEnd w:id="143"/>
      <w:bookmarkStart w:id="144" w:name="_Toc418608950"/>
      <w:bookmarkEnd w:id="144"/>
      <w:bookmarkStart w:id="145" w:name="_Toc152045607"/>
      <w:bookmarkEnd w:id="145"/>
      <w:bookmarkStart w:id="146" w:name="_Toc387498748"/>
      <w:bookmarkEnd w:id="146"/>
      <w:bookmarkStart w:id="147" w:name="_Toc466566800"/>
      <w:bookmarkEnd w:id="147"/>
      <w:r>
        <w:rPr>
          <w:rFonts w:hint="eastAsia" w:ascii="宋体" w:hAnsi="宋体" w:cs="宋体"/>
          <w:sz w:val="24"/>
        </w:rPr>
        <w:t>3.3 响应文件的澄清和补正</w:t>
      </w:r>
    </w:p>
    <w:p w14:paraId="50E97C8E">
      <w:pPr>
        <w:spacing w:line="500" w:lineRule="exact"/>
        <w:ind w:firstLine="480" w:firstLineChars="200"/>
        <w:rPr>
          <w:rFonts w:ascii="宋体" w:hAnsi="宋体" w:cs="宋体"/>
          <w:sz w:val="24"/>
        </w:rPr>
      </w:pPr>
      <w:r>
        <w:rPr>
          <w:rFonts w:hint="eastAsia" w:ascii="宋体" w:hAnsi="宋体" w:cs="宋体"/>
          <w:sz w:val="24"/>
        </w:rPr>
        <w:t>3.3.1在磋商过程中，磋商小组可以书面形式要求供应商对所提交响应文件中不明确的内容进行书面澄清或说明，或者对细微偏差进行补正。磋商小组不接受供应商主动提出的澄清、说明或补正。</w:t>
      </w:r>
    </w:p>
    <w:p w14:paraId="2CF66F52">
      <w:pPr>
        <w:spacing w:line="500" w:lineRule="exact"/>
        <w:ind w:firstLine="480" w:firstLineChars="200"/>
        <w:rPr>
          <w:rFonts w:ascii="宋体" w:hAnsi="宋体" w:cs="宋体"/>
          <w:sz w:val="24"/>
        </w:rPr>
      </w:pPr>
      <w:r>
        <w:rPr>
          <w:rFonts w:hint="eastAsia" w:ascii="宋体" w:hAnsi="宋体" w:cs="宋体"/>
          <w:sz w:val="24"/>
        </w:rPr>
        <w:t>3.3.2 澄清、说明和补正不得改变响应文件的实质性内容（算术性错误修正的除外）。供应商的书面澄清、说明和补正属于响应文件的组成部分。</w:t>
      </w:r>
    </w:p>
    <w:p w14:paraId="47E373A0">
      <w:pPr>
        <w:spacing w:line="500" w:lineRule="exact"/>
        <w:ind w:firstLine="480" w:firstLineChars="200"/>
        <w:rPr>
          <w:rFonts w:ascii="宋体" w:hAnsi="宋体" w:cs="宋体"/>
          <w:sz w:val="24"/>
        </w:rPr>
      </w:pPr>
      <w:r>
        <w:rPr>
          <w:rFonts w:hint="eastAsia" w:ascii="宋体" w:hAnsi="宋体" w:cs="宋体"/>
          <w:sz w:val="24"/>
        </w:rPr>
        <w:t>3.3.3 磋商小组对供应商提交的澄清、说明或补正有疑问的，可以要求供应商进一步澄清、说明或补正，直至满足磋商小组的要求。</w:t>
      </w:r>
    </w:p>
    <w:p w14:paraId="48DBBF7C">
      <w:pPr>
        <w:spacing w:line="500" w:lineRule="exact"/>
        <w:ind w:firstLine="480" w:firstLineChars="200"/>
        <w:rPr>
          <w:rFonts w:ascii="宋体" w:hAnsi="宋体" w:cs="宋体"/>
          <w:sz w:val="24"/>
        </w:rPr>
      </w:pPr>
      <w:bookmarkStart w:id="148" w:name="_Toc466566801"/>
      <w:bookmarkEnd w:id="148"/>
      <w:bookmarkStart w:id="149" w:name="_Toc401512225"/>
      <w:bookmarkEnd w:id="149"/>
      <w:bookmarkStart w:id="150" w:name="_Toc418608951"/>
      <w:bookmarkEnd w:id="150"/>
      <w:bookmarkStart w:id="151" w:name="_Toc389384088"/>
      <w:bookmarkEnd w:id="151"/>
      <w:bookmarkStart w:id="152" w:name="_Toc152045608"/>
      <w:bookmarkEnd w:id="152"/>
      <w:bookmarkStart w:id="153" w:name="_Toc144974576"/>
      <w:bookmarkEnd w:id="153"/>
      <w:bookmarkStart w:id="154" w:name="_Toc421805018"/>
      <w:bookmarkEnd w:id="154"/>
      <w:bookmarkStart w:id="155" w:name="_Toc421698385"/>
      <w:bookmarkEnd w:id="155"/>
      <w:bookmarkStart w:id="156" w:name="_Toc387498749"/>
      <w:bookmarkEnd w:id="156"/>
      <w:bookmarkStart w:id="157" w:name="_Toc418605430"/>
      <w:bookmarkEnd w:id="157"/>
      <w:bookmarkStart w:id="158" w:name="_Toc401926486"/>
      <w:bookmarkEnd w:id="158"/>
      <w:bookmarkStart w:id="159" w:name="_Toc179632626"/>
      <w:bookmarkEnd w:id="159"/>
      <w:bookmarkStart w:id="160" w:name="_Toc466566712"/>
      <w:bookmarkEnd w:id="160"/>
      <w:bookmarkStart w:id="161" w:name="_Toc423358133"/>
      <w:bookmarkEnd w:id="161"/>
      <w:bookmarkStart w:id="162" w:name="_Toc152042386"/>
      <w:bookmarkEnd w:id="162"/>
      <w:r>
        <w:rPr>
          <w:rFonts w:hint="eastAsia" w:ascii="宋体" w:hAnsi="宋体" w:cs="宋体"/>
          <w:sz w:val="24"/>
        </w:rPr>
        <w:t>3.4供应商的最终得分</w:t>
      </w:r>
    </w:p>
    <w:p w14:paraId="5E79D51E">
      <w:pPr>
        <w:spacing w:line="500" w:lineRule="exact"/>
        <w:ind w:firstLine="480" w:firstLineChars="200"/>
        <w:rPr>
          <w:rFonts w:ascii="宋体" w:hAnsi="宋体" w:cs="宋体"/>
          <w:sz w:val="24"/>
        </w:rPr>
      </w:pPr>
      <w:r>
        <w:rPr>
          <w:rFonts w:hint="eastAsia" w:ascii="宋体" w:hAnsi="宋体" w:cs="宋体"/>
          <w:sz w:val="24"/>
        </w:rPr>
        <w:t>（1）磋商小组完成对最终磋商报价、技术部分和商务部分的汇总后，取平均值作为该供应商的最终得分。</w:t>
      </w:r>
    </w:p>
    <w:p w14:paraId="269478F2">
      <w:pPr>
        <w:spacing w:line="500" w:lineRule="exact"/>
        <w:ind w:firstLine="480" w:firstLineChars="200"/>
        <w:rPr>
          <w:rFonts w:ascii="宋体" w:hAnsi="宋体" w:cs="宋体"/>
          <w:sz w:val="24"/>
        </w:rPr>
      </w:pPr>
      <w:r>
        <w:rPr>
          <w:rFonts w:hint="eastAsia" w:ascii="宋体" w:hAnsi="宋体" w:cs="宋体"/>
          <w:sz w:val="24"/>
        </w:rPr>
        <w:t>（2）计算分值均保留两位小数。</w:t>
      </w:r>
    </w:p>
    <w:p w14:paraId="4C377078">
      <w:pPr>
        <w:spacing w:line="500" w:lineRule="exact"/>
        <w:ind w:firstLine="480" w:firstLineChars="200"/>
        <w:rPr>
          <w:rFonts w:ascii="宋体" w:hAnsi="宋体" w:cs="宋体"/>
          <w:sz w:val="24"/>
        </w:rPr>
      </w:pPr>
      <w:r>
        <w:rPr>
          <w:rFonts w:hint="eastAsia" w:ascii="宋体" w:hAnsi="宋体" w:cs="宋体"/>
          <w:sz w:val="24"/>
        </w:rPr>
        <w:t>3.5磋商结果</w:t>
      </w:r>
    </w:p>
    <w:p w14:paraId="486A610C">
      <w:pPr>
        <w:spacing w:line="360" w:lineRule="auto"/>
        <w:ind w:firstLine="480" w:firstLineChars="200"/>
        <w:rPr>
          <w:rFonts w:ascii="宋体" w:hAnsi="宋体" w:cs="宋体"/>
          <w:sz w:val="24"/>
        </w:rPr>
      </w:pPr>
      <w:r>
        <w:rPr>
          <w:rFonts w:hint="eastAsia" w:ascii="宋体" w:hAnsi="宋体" w:cs="宋体"/>
          <w:sz w:val="24"/>
        </w:rPr>
        <w:t>3.5.1磋商小组按照得分由高到低的顺序推荐成交候选人。</w:t>
      </w:r>
    </w:p>
    <w:p w14:paraId="2B5249AA">
      <w:pPr>
        <w:pStyle w:val="14"/>
        <w:spacing w:line="360" w:lineRule="auto"/>
        <w:ind w:firstLine="480" w:firstLineChars="200"/>
        <w:rPr>
          <w:rFonts w:ascii="宋体" w:hAnsi="宋体" w:cs="宋体"/>
          <w:sz w:val="24"/>
        </w:rPr>
      </w:pPr>
      <w:r>
        <w:rPr>
          <w:rFonts w:hint="eastAsia" w:ascii="宋体" w:hAnsi="宋体" w:cs="宋体"/>
          <w:sz w:val="24"/>
        </w:rPr>
        <w:t>3.5.2 磋商小组完成磋商后，应当向采购人提交书面评标报告。</w:t>
      </w:r>
    </w:p>
    <w:p w14:paraId="6A68F837">
      <w:pPr>
        <w:pStyle w:val="14"/>
        <w:spacing w:line="360" w:lineRule="auto"/>
        <w:rPr>
          <w:rFonts w:ascii="宋体" w:hAnsi="宋体" w:cs="宋体"/>
          <w:sz w:val="24"/>
        </w:rPr>
      </w:pPr>
    </w:p>
    <w:p w14:paraId="1EAB9315">
      <w:pPr>
        <w:pStyle w:val="14"/>
        <w:spacing w:line="360" w:lineRule="auto"/>
        <w:rPr>
          <w:rFonts w:ascii="宋体" w:hAnsi="宋体" w:cs="宋体"/>
          <w:sz w:val="24"/>
        </w:rPr>
      </w:pPr>
    </w:p>
    <w:p w14:paraId="029F4E4B">
      <w:pPr>
        <w:pStyle w:val="14"/>
        <w:spacing w:line="360" w:lineRule="auto"/>
        <w:rPr>
          <w:rFonts w:ascii="宋体" w:hAnsi="宋体" w:cs="宋体"/>
          <w:sz w:val="24"/>
        </w:rPr>
      </w:pPr>
    </w:p>
    <w:p w14:paraId="351A9642">
      <w:pPr>
        <w:pStyle w:val="14"/>
        <w:spacing w:line="360" w:lineRule="auto"/>
        <w:rPr>
          <w:rFonts w:ascii="宋体" w:hAnsi="宋体" w:cs="宋体"/>
          <w:sz w:val="24"/>
        </w:rPr>
      </w:pPr>
    </w:p>
    <w:p w14:paraId="0EA3307A">
      <w:pPr>
        <w:pStyle w:val="14"/>
        <w:spacing w:line="360" w:lineRule="auto"/>
        <w:rPr>
          <w:rFonts w:ascii="宋体" w:hAnsi="宋体" w:cs="宋体"/>
          <w:sz w:val="24"/>
        </w:rPr>
      </w:pPr>
    </w:p>
    <w:p w14:paraId="158ABCEC">
      <w:pPr>
        <w:pStyle w:val="14"/>
        <w:spacing w:line="360" w:lineRule="auto"/>
        <w:rPr>
          <w:rFonts w:ascii="宋体" w:hAnsi="宋体" w:cs="宋体"/>
          <w:sz w:val="24"/>
        </w:rPr>
      </w:pPr>
    </w:p>
    <w:p w14:paraId="6C41CBBE">
      <w:pPr>
        <w:pStyle w:val="14"/>
        <w:spacing w:line="360" w:lineRule="auto"/>
        <w:rPr>
          <w:rFonts w:ascii="宋体" w:hAnsi="宋体" w:cs="宋体"/>
          <w:sz w:val="24"/>
        </w:rPr>
      </w:pPr>
    </w:p>
    <w:p w14:paraId="1D89AF99">
      <w:pPr>
        <w:pStyle w:val="14"/>
        <w:numPr>
          <w:ilvl w:val="0"/>
          <w:numId w:val="16"/>
        </w:numPr>
        <w:spacing w:line="360" w:lineRule="auto"/>
        <w:jc w:val="center"/>
        <w:rPr>
          <w:rFonts w:ascii="宋体" w:hAnsi="宋体" w:eastAsia="宋体" w:cs="宋体"/>
          <w:b/>
          <w:bCs/>
          <w:sz w:val="28"/>
          <w:szCs w:val="28"/>
        </w:rPr>
      </w:pPr>
      <w:r>
        <w:rPr>
          <w:rFonts w:hint="eastAsia" w:ascii="宋体" w:hAnsi="宋体" w:eastAsia="宋体" w:cs="宋体"/>
          <w:b/>
          <w:bCs/>
          <w:sz w:val="28"/>
          <w:szCs w:val="28"/>
        </w:rPr>
        <w:t xml:space="preserve"> 服务内容及要求</w:t>
      </w:r>
    </w:p>
    <w:p w14:paraId="1648197D">
      <w:pPr>
        <w:shd w:val="clear" w:color="auto" w:fill="FFFFFF"/>
        <w:wordWrap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一、项目概况</w:t>
      </w:r>
    </w:p>
    <w:p w14:paraId="558F63A8">
      <w:pPr>
        <w:shd w:val="clear" w:color="auto" w:fill="FFFFFF"/>
        <w:wordWrap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本次磋商采购共一包，对义马市消防救援大队食堂餐饮服务，供应商根据采购方规定要求与根据应急消〔2022〕152 号 文件《消防救援局关于调整提高伙食补助费标准》的通知，负责采购方餐饮服务。具体报价范围和所应达到的具体要求，以本磋商文件中商务、技术和服务的相应规定为准。</w:t>
      </w:r>
    </w:p>
    <w:p w14:paraId="717C1A94">
      <w:pPr>
        <w:shd w:val="clear" w:color="auto" w:fill="FFFFFF"/>
        <w:wordWrap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1、项目名称：义马市消防救援大队义马大队食堂主副食品采购项目</w:t>
      </w:r>
    </w:p>
    <w:p w14:paraId="4A6CFAEA">
      <w:pPr>
        <w:shd w:val="clear" w:color="auto" w:fill="FFFFFF"/>
        <w:wordWrap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2、采购预算：</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780000.00元</w:t>
      </w:r>
    </w:p>
    <w:p w14:paraId="798EE222">
      <w:pPr>
        <w:shd w:val="clear" w:color="auto" w:fill="FFFFFF"/>
        <w:wordWrap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内容：对采购人提供蔬果、禽蛋、禽畜肉、水产品、饮品、米面粮油、调料干杂等食材供应，供应商要严格遵守相关法律法规及行业标准，确保相关服务达到验收标准。（详见竞争性磋商文件）</w:t>
      </w:r>
    </w:p>
    <w:p w14:paraId="03EA515B">
      <w:pPr>
        <w:shd w:val="clear" w:color="auto" w:fill="FFFFFF"/>
        <w:wordWrap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4、服务周期：一年</w:t>
      </w:r>
    </w:p>
    <w:p w14:paraId="34039698">
      <w:pPr>
        <w:shd w:val="clear" w:color="auto" w:fill="FFFFFF"/>
        <w:wordWrap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5、服务地点：采购人指定地点</w:t>
      </w:r>
    </w:p>
    <w:p w14:paraId="6B7235D8">
      <w:pPr>
        <w:pStyle w:val="14"/>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rPr>
        <w:t>6、质量要求：符合相关法律法规及行业标准</w:t>
      </w:r>
    </w:p>
    <w:p w14:paraId="1ED1F3BE">
      <w:pPr>
        <w:pStyle w:val="14"/>
        <w:spacing w:line="360" w:lineRule="auto"/>
        <w:ind w:firstLine="482" w:firstLineChars="200"/>
        <w:rPr>
          <w:rFonts w:ascii="宋体" w:hAnsi="宋体" w:eastAsia="宋体"/>
          <w:b/>
          <w:bCs/>
          <w:color w:val="auto"/>
          <w:sz w:val="24"/>
          <w:highlight w:val="none"/>
        </w:rPr>
      </w:pPr>
      <w:r>
        <w:rPr>
          <w:rFonts w:hint="eastAsia" w:ascii="宋体" w:hAnsi="宋体" w:eastAsia="宋体" w:cs="宋体"/>
          <w:b/>
          <w:bCs/>
          <w:color w:val="auto"/>
          <w:sz w:val="24"/>
          <w:highlight w:val="none"/>
        </w:rPr>
        <w:t>二、</w:t>
      </w:r>
      <w:r>
        <w:rPr>
          <w:rFonts w:hint="eastAsia" w:ascii="宋体" w:hAnsi="宋体" w:eastAsia="宋体"/>
          <w:b/>
          <w:bCs/>
          <w:color w:val="auto"/>
          <w:sz w:val="24"/>
          <w:highlight w:val="none"/>
        </w:rPr>
        <w:t>采购需求（包括但不限于）</w:t>
      </w:r>
    </w:p>
    <w:p w14:paraId="6382939B">
      <w:pPr>
        <w:pStyle w:val="14"/>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1、主食类采购需求：</w:t>
      </w:r>
    </w:p>
    <w:p w14:paraId="7293ABBE">
      <w:pPr>
        <w:pStyle w:val="14"/>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①谷物类：大米（粳米、籼米、糙米等）、面粉（高筋、中筋、低筋）、杂粮（小米、玉米碴、燕麦、荞麦等）、豆类：黄豆、红豆、黑豆；</w:t>
      </w:r>
    </w:p>
    <w:p w14:paraId="71662CCD">
      <w:pPr>
        <w:pStyle w:val="14"/>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 xml:space="preserve">②面食类：面条/挂面（宽面、细面、意大利面等）； </w:t>
      </w:r>
    </w:p>
    <w:p w14:paraId="75C8DDFE">
      <w:pPr>
        <w:pStyle w:val="14"/>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 xml:space="preserve">②薯类及淀粉：土豆、红薯、紫薯；玉米淀粉、红薯淀粉、木薯粉等。 </w:t>
      </w:r>
    </w:p>
    <w:p w14:paraId="4F86BA77">
      <w:pPr>
        <w:pStyle w:val="14"/>
        <w:spacing w:line="360" w:lineRule="auto"/>
        <w:ind w:left="420" w:leftChars="200"/>
        <w:rPr>
          <w:rFonts w:ascii="宋体" w:hAnsi="宋体" w:eastAsia="宋体"/>
          <w:color w:val="auto"/>
          <w:sz w:val="24"/>
          <w:highlight w:val="none"/>
        </w:rPr>
      </w:pPr>
      <w:r>
        <w:rPr>
          <w:rFonts w:hint="eastAsia" w:ascii="宋体" w:hAnsi="宋体" w:eastAsia="宋体"/>
          <w:color w:val="auto"/>
          <w:sz w:val="24"/>
          <w:highlight w:val="none"/>
        </w:rPr>
        <w:t>2、副食类采购需求：</w:t>
      </w:r>
    </w:p>
    <w:p w14:paraId="6F0D3580">
      <w:pPr>
        <w:pStyle w:val="14"/>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①蛋白质类：</w:t>
      </w:r>
    </w:p>
    <w:p w14:paraId="2B48E9B8">
      <w:pPr>
        <w:pStyle w:val="14"/>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肉类：猪肉（五花肉、里脊等）、牛肉、鸡肉、羊肉、鸭肉等；</w:t>
      </w:r>
    </w:p>
    <w:p w14:paraId="7BF61C79">
      <w:pPr>
        <w:pStyle w:val="14"/>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禽蛋类：鸡蛋、鸭蛋、鹌鹑蛋等；</w:t>
      </w:r>
    </w:p>
    <w:p w14:paraId="2809DBF3">
      <w:pPr>
        <w:pStyle w:val="14"/>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水产：鱼类（鲫鱼、鲈鱼）、虾、贝类等；</w:t>
      </w:r>
    </w:p>
    <w:p w14:paraId="5FE0CF35">
      <w:pPr>
        <w:pStyle w:val="14"/>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豆制品：豆腐、豆浆、腐竹、千张等。</w:t>
      </w:r>
    </w:p>
    <w:p w14:paraId="0D125F97">
      <w:pPr>
        <w:pStyle w:val="14"/>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②蔬菜类：</w:t>
      </w:r>
    </w:p>
    <w:p w14:paraId="5269BDA1">
      <w:pPr>
        <w:pStyle w:val="14"/>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叶菜：大白菜、小白菜、菠菜、油菜、芹菜、茼蒿、香菜、苋菜、生菜、西蓝花、莴苣、空心菜等；</w:t>
      </w:r>
    </w:p>
    <w:p w14:paraId="21A2A0C8">
      <w:pPr>
        <w:pStyle w:val="14"/>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根茎类：白萝卜、青萝卜、胡萝卜、大头菜、土豆、山药、芋头、洋葱等；</w:t>
      </w:r>
    </w:p>
    <w:p w14:paraId="6F54E637">
      <w:pPr>
        <w:pStyle w:val="14"/>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瓜果类：黄瓜、丝瓜、苦瓜、南瓜、冬瓜、西葫芦、</w:t>
      </w:r>
      <w:r>
        <w:rPr>
          <w:rFonts w:ascii="Arial" w:hAnsi="Arial" w:eastAsia="Arial" w:cs="Arial"/>
          <w:color w:val="auto"/>
          <w:sz w:val="24"/>
          <w:highlight w:val="none"/>
          <w:shd w:val="clear" w:color="auto" w:fill="FFFFFF"/>
        </w:rPr>
        <w:t>茄子、西红柿、辣椒</w:t>
      </w:r>
      <w:r>
        <w:rPr>
          <w:rFonts w:hint="eastAsia" w:ascii="宋体" w:hAnsi="宋体" w:eastAsia="宋体"/>
          <w:color w:val="auto"/>
          <w:sz w:val="24"/>
          <w:highlight w:val="none"/>
        </w:rPr>
        <w:t>等；</w:t>
      </w:r>
    </w:p>
    <w:p w14:paraId="66C6B669">
      <w:pPr>
        <w:pStyle w:val="14"/>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菌菇类：蘑菇、香菇、金针菇、木耳、银耳、平菇等；</w:t>
      </w:r>
    </w:p>
    <w:p w14:paraId="5E5A0591">
      <w:pPr>
        <w:pStyle w:val="14"/>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鲜豆类‌：菜豆、豇豆、豌豆、毛豆、扁豆、刀豆等</w:t>
      </w:r>
    </w:p>
    <w:p w14:paraId="4B39BEF0">
      <w:pPr>
        <w:pStyle w:val="14"/>
        <w:spacing w:line="360" w:lineRule="auto"/>
        <w:ind w:left="420" w:leftChars="200"/>
        <w:rPr>
          <w:rFonts w:ascii="宋体" w:hAnsi="宋体" w:eastAsia="宋体"/>
          <w:color w:val="auto"/>
          <w:sz w:val="24"/>
          <w:highlight w:val="none"/>
        </w:rPr>
      </w:pPr>
      <w:r>
        <w:rPr>
          <w:rFonts w:hint="eastAsia" w:ascii="宋体" w:hAnsi="宋体" w:eastAsia="宋体"/>
          <w:color w:val="auto"/>
          <w:sz w:val="24"/>
          <w:highlight w:val="none"/>
        </w:rPr>
        <w:t>③饮品类 ：牛奶、酸奶、饮料等；</w:t>
      </w:r>
    </w:p>
    <w:p w14:paraId="29E2E890">
      <w:pPr>
        <w:pStyle w:val="14"/>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 xml:space="preserve">④调味品： </w:t>
      </w:r>
    </w:p>
    <w:p w14:paraId="255DC384">
      <w:pPr>
        <w:pStyle w:val="14"/>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基础调味：盐、糖、酱油、醋、鸡精、味精、十三香、耗油、料酒等；</w:t>
      </w:r>
    </w:p>
    <w:p w14:paraId="1816099F">
      <w:pPr>
        <w:pStyle w:val="14"/>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香料：花椒、八角、干辣椒</w:t>
      </w:r>
      <w:r>
        <w:rPr>
          <w:rFonts w:hint="eastAsia" w:ascii="宋体" w:hAnsi="宋体" w:cs="宋体"/>
          <w:color w:val="auto"/>
          <w:kern w:val="0"/>
          <w:sz w:val="24"/>
          <w:highlight w:val="none"/>
        </w:rPr>
        <w:t>（段、粉）</w:t>
      </w:r>
      <w:r>
        <w:rPr>
          <w:rFonts w:hint="eastAsia" w:ascii="宋体" w:hAnsi="宋体" w:eastAsia="宋体"/>
          <w:color w:val="auto"/>
          <w:sz w:val="24"/>
          <w:highlight w:val="none"/>
        </w:rPr>
        <w:t>、</w:t>
      </w:r>
      <w:r>
        <w:rPr>
          <w:rFonts w:hint="eastAsia" w:ascii="宋体" w:hAnsi="宋体" w:cs="宋体"/>
          <w:color w:val="auto"/>
          <w:kern w:val="0"/>
          <w:sz w:val="24"/>
          <w:highlight w:val="none"/>
        </w:rPr>
        <w:t>孜然粒、麻椒、香叶、茴香、桂皮、胡椒、芝麻</w:t>
      </w:r>
      <w:r>
        <w:rPr>
          <w:rFonts w:hint="eastAsia" w:ascii="宋体" w:hAnsi="宋体" w:eastAsia="宋体"/>
          <w:color w:val="auto"/>
          <w:sz w:val="24"/>
          <w:highlight w:val="none"/>
        </w:rPr>
        <w:t>等；</w:t>
      </w:r>
    </w:p>
    <w:p w14:paraId="16C93339">
      <w:pPr>
        <w:pStyle w:val="14"/>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酱料：豆瓣酱、番茄酱、沙拉酱、</w:t>
      </w:r>
      <w:r>
        <w:rPr>
          <w:rFonts w:hint="eastAsia" w:ascii="宋体" w:hAnsi="宋体" w:cs="宋体"/>
          <w:color w:val="auto"/>
          <w:kern w:val="0"/>
          <w:sz w:val="24"/>
          <w:highlight w:val="none"/>
        </w:rPr>
        <w:t>黄豆酱、芝麻酱、火锅料</w:t>
      </w:r>
      <w:r>
        <w:rPr>
          <w:rFonts w:hint="eastAsia" w:ascii="宋体" w:hAnsi="宋体" w:eastAsia="宋体"/>
          <w:color w:val="auto"/>
          <w:sz w:val="24"/>
          <w:highlight w:val="none"/>
        </w:rPr>
        <w:t>等。</w:t>
      </w:r>
    </w:p>
    <w:p w14:paraId="733A7F69">
      <w:pPr>
        <w:pStyle w:val="14"/>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⑤干菜类：海带、腐竹、木耳、粉条、粉丝等。</w:t>
      </w:r>
    </w:p>
    <w:p w14:paraId="471CF1A0">
      <w:pPr>
        <w:pStyle w:val="14"/>
        <w:numPr>
          <w:ilvl w:val="0"/>
          <w:numId w:val="2"/>
        </w:num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食用油类：</w:t>
      </w:r>
      <w:r>
        <w:rPr>
          <w:rFonts w:hint="eastAsia" w:ascii="宋体" w:hAnsi="宋体" w:cs="宋体"/>
          <w:color w:val="auto"/>
          <w:sz w:val="24"/>
          <w:highlight w:val="none"/>
        </w:rPr>
        <w:t>非转基因大豆油、花生油、菜籽油、橄榄油等</w:t>
      </w:r>
    </w:p>
    <w:p w14:paraId="4C347A08">
      <w:pPr>
        <w:pStyle w:val="14"/>
        <w:numPr>
          <w:ilvl w:val="0"/>
          <w:numId w:val="2"/>
        </w:num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水果类：苹果、香蕉、梨、桃子、樱桃、蓝莓、橘子、柚子、橙子、草莓、哈密瓜、香瓜、西瓜、葡萄、猕猴桃、菠萝（凤梨）、圣女果等。</w:t>
      </w:r>
    </w:p>
    <w:p w14:paraId="4CA8E150">
      <w:pPr>
        <w:pStyle w:val="14"/>
        <w:numPr>
          <w:ilvl w:val="0"/>
          <w:numId w:val="17"/>
        </w:numPr>
        <w:spacing w:line="360" w:lineRule="auto"/>
        <w:ind w:left="420" w:left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验收标准及要求</w:t>
      </w:r>
    </w:p>
    <w:p w14:paraId="1B542BB1">
      <w:pPr>
        <w:widowControl/>
        <w:spacing w:line="480" w:lineRule="exact"/>
        <w:ind w:firstLine="480" w:firstLineChars="200"/>
        <w:jc w:val="lef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肉类：①禽肉类产品符合GB2707、GB16869国家标准及食品卫生相关标准及法规要求；②畜肉类产品具有动物检验检疫证明或“SC”食品质量认证标志，符合食品卫生安全法要求，有检验合格证，肉上面有讫印章；③鲜猪肉整体色泽光滑、切面红色、不粘手、无淤血、无注水、无寄生虫；④鲜牛肉肉色深红、肉质有弹性、切面有光泽及微湿润，极小渗出物，无寄生虫，无注水；⑤鲜羊肉肉色为均匀的红色、有光泽、肉质紧密面细腻，有弹性、外表微干、不粘手、无注水；</w:t>
      </w:r>
    </w:p>
    <w:p w14:paraId="67BAA966">
      <w:pPr>
        <w:widowControl/>
        <w:spacing w:line="480" w:lineRule="exact"/>
        <w:ind w:firstLine="480" w:firstLineChars="200"/>
        <w:jc w:val="lef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蔬果类：①蔬果须新鲜，符合国家食品卫生管理规定；②农药残留不得超过《食品中农药最大残留限量》（GB2763）国家标准；③不得提供腐烂变质、黄叶、烂叶及带泥巴的蔬菜；④蔬菜外表不得人为喷洒水分和有过多的虫孔；⑤水果果形端正，果面新鲜洁净，无畸形果，无病虫害，无病斑，无腐烂。</w:t>
      </w:r>
    </w:p>
    <w:p w14:paraId="50989655">
      <w:pPr>
        <w:widowControl/>
        <w:spacing w:line="480" w:lineRule="exact"/>
        <w:ind w:firstLine="480" w:firstLineChars="200"/>
        <w:jc w:val="lef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水产类：①水产品类食品必须符合GB2733国家标准，所有类别产品必须鲜活特殊情况除外，无注水且符合食品卫生相关标准及法规要求；②新鲜无腐败、变质，无异味，色泽清白、爽洁，有光泽，不黏手，无注水且符合食品卫生相关标准及法规要求；③包装产品有生产日期，外包装无破损，生产地址明显；</w:t>
      </w:r>
    </w:p>
    <w:p w14:paraId="24BF3E58">
      <w:pPr>
        <w:widowControl/>
        <w:spacing w:line="480" w:lineRule="exact"/>
        <w:ind w:firstLine="480" w:firstLineChars="200"/>
        <w:jc w:val="lef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4、豆制品类具有“QS”食品质量安全认证，符合GB2711-2003标准；</w:t>
      </w:r>
    </w:p>
    <w:p w14:paraId="7940704B">
      <w:pPr>
        <w:widowControl/>
        <w:spacing w:line="480" w:lineRule="exact"/>
        <w:ind w:firstLine="480" w:firstLineChars="200"/>
        <w:jc w:val="lef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调味干杂类：所有的干菜、调料及其他类必须符合国家卫生标准和质量，包装完好无损、在保质期内、无异味，色泽正常、封口平整、无沙包、漏包、无污染，包装产品有生产地址及生产日期、外包装无破损；</w:t>
      </w:r>
    </w:p>
    <w:p w14:paraId="111FCC6B">
      <w:pPr>
        <w:widowControl/>
        <w:spacing w:line="480" w:lineRule="exact"/>
        <w:ind w:firstLine="480" w:firstLineChars="200"/>
        <w:jc w:val="lef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6、酱腌菜类：亚硝酸盐定期抽检合格，符合《食品安全法》要求；</w:t>
      </w:r>
    </w:p>
    <w:p w14:paraId="4D622D70">
      <w:pPr>
        <w:widowControl/>
        <w:spacing w:line="480" w:lineRule="exact"/>
        <w:ind w:firstLine="480" w:firstLineChars="200"/>
        <w:jc w:val="lef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7、禽蛋类：①禽蛋保证新鲜，具有禽蛋固有的色泽，蛋壳清洁、无破裂，打开后蛋壳凸起、完整、有韧性，蛋白澄清透明、稀稠分明，无杂质，具有固有的气味，无异味，符合《食品安全法》要求。</w:t>
      </w:r>
    </w:p>
    <w:p w14:paraId="3BAFB0D4">
      <w:pPr>
        <w:widowControl/>
        <w:spacing w:line="480" w:lineRule="exact"/>
        <w:ind w:firstLine="480" w:firstLineChars="200"/>
        <w:jc w:val="lef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8、饮品类：①奶制品色泽呈乳白色或微黄色；有乳香味，无异味；无凝块、无沉淀、无正常视力可见异物。奶制品的包装必须符合国家标准。②饮品类（含牛奶）食品须为主流品牌，严禁假冒伪劣产品、过期产品，保证新鲜、保证货品在质保期内，外形完整，无破损。</w:t>
      </w:r>
    </w:p>
    <w:p w14:paraId="1D95A6F1">
      <w:pPr>
        <w:widowControl/>
        <w:spacing w:line="480" w:lineRule="exact"/>
        <w:ind w:firstLine="480" w:firstLineChars="200"/>
        <w:jc w:val="lef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9、米面粮油类：必须符合《农产品质量安全法》要求，保证质量，无腐烂、无变质、无变味、无变色、无虫咬、无鼠咬、无破袋，有生产日期、保质期等。</w:t>
      </w:r>
    </w:p>
    <w:p w14:paraId="307D67C3">
      <w:pPr>
        <w:widowControl/>
        <w:spacing w:line="480" w:lineRule="exact"/>
        <w:ind w:firstLine="480" w:firstLineChars="200"/>
        <w:jc w:val="lef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注：1、以上所列明的国标如有更新或废止，以最新标准为准。</w:t>
      </w:r>
    </w:p>
    <w:p w14:paraId="12946E68">
      <w:pPr>
        <w:widowControl/>
        <w:spacing w:line="480" w:lineRule="exact"/>
        <w:ind w:firstLine="480" w:firstLineChars="200"/>
        <w:jc w:val="left"/>
        <w:rPr>
          <w:rFonts w:hint="default" w:ascii="宋体" w:hAnsi="宋体"/>
          <w:color w:val="auto"/>
          <w:sz w:val="24"/>
          <w:highlight w:val="none"/>
          <w:lang w:val="en-US" w:eastAsia="zh-CN"/>
        </w:rPr>
      </w:pPr>
      <w:r>
        <w:rPr>
          <w:rFonts w:hint="eastAsia" w:ascii="宋体" w:hAnsi="宋体"/>
          <w:color w:val="auto"/>
          <w:sz w:val="24"/>
          <w:highlight w:val="none"/>
          <w:lang w:val="en-US" w:eastAsia="zh-CN"/>
        </w:rPr>
        <w:t>2、</w:t>
      </w:r>
      <w:r>
        <w:rPr>
          <w:rFonts w:hint="default" w:ascii="宋体" w:hAnsi="宋体"/>
          <w:color w:val="auto"/>
          <w:sz w:val="24"/>
          <w:highlight w:val="none"/>
          <w:lang w:val="en-US" w:eastAsia="zh-CN"/>
        </w:rPr>
        <w:t>本次采购内容包含但不限于以上内容，以实际采购数量为准。</w:t>
      </w:r>
    </w:p>
    <w:p w14:paraId="6E66CDD3">
      <w:pPr>
        <w:widowControl/>
        <w:spacing w:line="480" w:lineRule="exact"/>
        <w:ind w:firstLine="480" w:firstLineChars="200"/>
        <w:jc w:val="lef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注：为保证配送的副食品新鲜，不腐烂变质，每天上午7时前将配送物资送达采购人指定地点。特殊情况下，接到采购需求计划后，于2小时之内将所需物资配送到位。</w:t>
      </w:r>
    </w:p>
    <w:p w14:paraId="5B1A7A67">
      <w:pPr>
        <w:widowControl/>
        <w:numPr>
          <w:ilvl w:val="0"/>
          <w:numId w:val="17"/>
        </w:numPr>
        <w:spacing w:line="480" w:lineRule="exact"/>
        <w:ind w:left="420" w:leftChars="200"/>
        <w:jc w:val="left"/>
        <w:rPr>
          <w:rFonts w:ascii="宋体" w:hAnsi="宋体"/>
          <w:color w:val="auto"/>
          <w:sz w:val="24"/>
          <w:highlight w:val="none"/>
        </w:rPr>
      </w:pPr>
      <w:r>
        <w:rPr>
          <w:rFonts w:hint="eastAsia" w:ascii="宋体" w:hAnsi="宋体"/>
          <w:b/>
          <w:bCs/>
          <w:color w:val="auto"/>
          <w:sz w:val="24"/>
          <w:highlight w:val="none"/>
        </w:rPr>
        <w:t>其他要求</w:t>
      </w:r>
    </w:p>
    <w:p w14:paraId="657FFC49">
      <w:pPr>
        <w:widowControl/>
        <w:spacing w:line="480" w:lineRule="exact"/>
        <w:ind w:firstLine="480" w:firstLineChars="200"/>
        <w:jc w:val="left"/>
        <w:rPr>
          <w:rFonts w:ascii="宋体" w:hAnsi="宋体"/>
          <w:color w:val="auto"/>
          <w:sz w:val="24"/>
          <w:highlight w:val="none"/>
        </w:rPr>
      </w:pPr>
      <w:r>
        <w:rPr>
          <w:rFonts w:hint="eastAsia" w:ascii="宋体" w:hAnsi="宋体"/>
          <w:color w:val="auto"/>
          <w:sz w:val="24"/>
          <w:highlight w:val="none"/>
        </w:rPr>
        <w:t>1、</w:t>
      </w:r>
      <w:r>
        <w:rPr>
          <w:rFonts w:hint="eastAsia" w:ascii="宋体" w:hAnsi="宋体" w:eastAsia="宋体" w:cs="宋体"/>
          <w:color w:val="auto"/>
          <w:sz w:val="24"/>
          <w:highlight w:val="none"/>
        </w:rPr>
        <w:t>具体人员构成如下：</w:t>
      </w:r>
    </w:p>
    <w:tbl>
      <w:tblPr>
        <w:tblStyle w:val="42"/>
        <w:tblW w:w="83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3"/>
        <w:gridCol w:w="2238"/>
        <w:gridCol w:w="1400"/>
        <w:gridCol w:w="1950"/>
        <w:gridCol w:w="1862"/>
      </w:tblGrid>
      <w:tr w14:paraId="7EF46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883" w:type="dxa"/>
            <w:vAlign w:val="center"/>
          </w:tcPr>
          <w:p w14:paraId="175138D2">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238" w:type="dxa"/>
            <w:vAlign w:val="center"/>
          </w:tcPr>
          <w:p w14:paraId="3D6E5509">
            <w:pPr>
              <w:jc w:val="center"/>
              <w:rPr>
                <w:rFonts w:ascii="宋体" w:hAnsi="宋体" w:eastAsia="宋体" w:cs="宋体"/>
                <w:color w:val="auto"/>
                <w:sz w:val="24"/>
                <w:highlight w:val="none"/>
              </w:rPr>
            </w:pPr>
            <w:r>
              <w:rPr>
                <w:rFonts w:hint="eastAsia" w:ascii="宋体" w:hAnsi="宋体" w:eastAsia="宋体" w:cs="宋体"/>
                <w:color w:val="auto"/>
                <w:sz w:val="24"/>
                <w:highlight w:val="none"/>
              </w:rPr>
              <w:t>人员类别</w:t>
            </w:r>
          </w:p>
        </w:tc>
        <w:tc>
          <w:tcPr>
            <w:tcW w:w="1400" w:type="dxa"/>
            <w:vAlign w:val="center"/>
          </w:tcPr>
          <w:p w14:paraId="3C8E2026">
            <w:pPr>
              <w:jc w:val="center"/>
              <w:rPr>
                <w:rFonts w:ascii="宋体" w:hAnsi="宋体" w:eastAsia="宋体" w:cs="宋体"/>
                <w:color w:val="auto"/>
                <w:sz w:val="24"/>
                <w:highlight w:val="none"/>
              </w:rPr>
            </w:pPr>
            <w:r>
              <w:rPr>
                <w:rFonts w:hint="eastAsia" w:ascii="宋体" w:hAnsi="宋体" w:eastAsia="宋体" w:cs="宋体"/>
                <w:color w:val="auto"/>
                <w:sz w:val="24"/>
                <w:highlight w:val="none"/>
              </w:rPr>
              <w:t>人数</w:t>
            </w:r>
          </w:p>
        </w:tc>
        <w:tc>
          <w:tcPr>
            <w:tcW w:w="1950" w:type="dxa"/>
            <w:vAlign w:val="center"/>
          </w:tcPr>
          <w:p w14:paraId="143F0051">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全年预计休假</w:t>
            </w:r>
          </w:p>
          <w:p w14:paraId="000A017A">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天数</w:t>
            </w:r>
          </w:p>
        </w:tc>
        <w:tc>
          <w:tcPr>
            <w:tcW w:w="1862" w:type="dxa"/>
            <w:vAlign w:val="center"/>
          </w:tcPr>
          <w:p w14:paraId="7488C1E4">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全年预计在位</w:t>
            </w:r>
          </w:p>
          <w:p w14:paraId="7687CEC2">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天数</w:t>
            </w:r>
          </w:p>
        </w:tc>
      </w:tr>
      <w:tr w14:paraId="0C1F0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83" w:type="dxa"/>
            <w:vAlign w:val="center"/>
          </w:tcPr>
          <w:p w14:paraId="0E88068A">
            <w:pPr>
              <w:jc w:val="center"/>
              <w:rPr>
                <w:rFonts w:ascii="宋体" w:hAnsi="宋体" w:eastAsia="宋体" w:cs="宋体"/>
                <w:color w:val="auto"/>
                <w:sz w:val="24"/>
                <w:highlight w:val="none"/>
              </w:rPr>
            </w:pPr>
            <w:r>
              <w:rPr>
                <w:rFonts w:hint="eastAsia" w:ascii="宋体" w:hAnsi="宋体" w:eastAsia="宋体" w:cs="宋体"/>
                <w:color w:val="auto"/>
                <w:sz w:val="24"/>
                <w:highlight w:val="none"/>
              </w:rPr>
              <w:t>01</w:t>
            </w:r>
          </w:p>
        </w:tc>
        <w:tc>
          <w:tcPr>
            <w:tcW w:w="2238" w:type="dxa"/>
            <w:vAlign w:val="center"/>
          </w:tcPr>
          <w:p w14:paraId="02915AF9">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指挥员</w:t>
            </w:r>
          </w:p>
        </w:tc>
        <w:tc>
          <w:tcPr>
            <w:tcW w:w="1400" w:type="dxa"/>
            <w:vAlign w:val="center"/>
          </w:tcPr>
          <w:p w14:paraId="022C4F94">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w:t>
            </w:r>
          </w:p>
        </w:tc>
        <w:tc>
          <w:tcPr>
            <w:tcW w:w="3812" w:type="dxa"/>
            <w:gridSpan w:val="2"/>
            <w:vMerge w:val="restart"/>
            <w:tcBorders>
              <w:bottom w:val="nil"/>
            </w:tcBorders>
            <w:vAlign w:val="center"/>
          </w:tcPr>
          <w:p w14:paraId="5F33D50D">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全年支队核拨国家队伙食费</w:t>
            </w:r>
          </w:p>
        </w:tc>
      </w:tr>
      <w:tr w14:paraId="55315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83" w:type="dxa"/>
            <w:vAlign w:val="center"/>
          </w:tcPr>
          <w:p w14:paraId="708D4F5B">
            <w:pPr>
              <w:jc w:val="center"/>
              <w:rPr>
                <w:rFonts w:ascii="宋体" w:hAnsi="宋体" w:eastAsia="宋体" w:cs="宋体"/>
                <w:color w:val="auto"/>
                <w:sz w:val="24"/>
                <w:highlight w:val="none"/>
              </w:rPr>
            </w:pPr>
            <w:r>
              <w:rPr>
                <w:rFonts w:hint="eastAsia" w:ascii="宋体" w:hAnsi="宋体" w:eastAsia="宋体" w:cs="宋体"/>
                <w:color w:val="auto"/>
                <w:sz w:val="24"/>
                <w:highlight w:val="none"/>
              </w:rPr>
              <w:t>02</w:t>
            </w:r>
          </w:p>
        </w:tc>
        <w:tc>
          <w:tcPr>
            <w:tcW w:w="2238" w:type="dxa"/>
            <w:vAlign w:val="center"/>
          </w:tcPr>
          <w:p w14:paraId="03A24AC8">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消防员</w:t>
            </w:r>
          </w:p>
        </w:tc>
        <w:tc>
          <w:tcPr>
            <w:tcW w:w="1400" w:type="dxa"/>
            <w:vAlign w:val="center"/>
          </w:tcPr>
          <w:p w14:paraId="28C0A89E">
            <w:pPr>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13</w:t>
            </w:r>
          </w:p>
        </w:tc>
        <w:tc>
          <w:tcPr>
            <w:tcW w:w="3812" w:type="dxa"/>
            <w:gridSpan w:val="2"/>
            <w:vMerge w:val="continue"/>
            <w:tcBorders>
              <w:top w:val="nil"/>
            </w:tcBorders>
            <w:vAlign w:val="center"/>
          </w:tcPr>
          <w:p w14:paraId="311077A8">
            <w:pPr>
              <w:jc w:val="center"/>
              <w:rPr>
                <w:rFonts w:ascii="宋体" w:hAnsi="宋体" w:eastAsia="宋体" w:cs="宋体"/>
                <w:color w:val="auto"/>
                <w:sz w:val="24"/>
                <w:highlight w:val="none"/>
              </w:rPr>
            </w:pPr>
          </w:p>
        </w:tc>
      </w:tr>
      <w:tr w14:paraId="274B0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83" w:type="dxa"/>
            <w:vAlign w:val="center"/>
          </w:tcPr>
          <w:p w14:paraId="57D19E66">
            <w:pPr>
              <w:jc w:val="center"/>
              <w:rPr>
                <w:rFonts w:ascii="宋体" w:hAnsi="宋体" w:eastAsia="宋体" w:cs="宋体"/>
                <w:color w:val="auto"/>
                <w:sz w:val="24"/>
                <w:highlight w:val="none"/>
              </w:rPr>
            </w:pPr>
            <w:r>
              <w:rPr>
                <w:rFonts w:hint="eastAsia" w:ascii="宋体" w:hAnsi="宋体" w:eastAsia="宋体" w:cs="宋体"/>
                <w:color w:val="auto"/>
                <w:sz w:val="24"/>
                <w:highlight w:val="none"/>
              </w:rPr>
              <w:t>03</w:t>
            </w:r>
          </w:p>
        </w:tc>
        <w:tc>
          <w:tcPr>
            <w:tcW w:w="2238" w:type="dxa"/>
            <w:vAlign w:val="center"/>
          </w:tcPr>
          <w:p w14:paraId="749A74B8">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政府专职消防员</w:t>
            </w:r>
          </w:p>
        </w:tc>
        <w:tc>
          <w:tcPr>
            <w:tcW w:w="1400" w:type="dxa"/>
            <w:vAlign w:val="center"/>
          </w:tcPr>
          <w:p w14:paraId="16F89191">
            <w:pPr>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34</w:t>
            </w:r>
          </w:p>
        </w:tc>
        <w:tc>
          <w:tcPr>
            <w:tcW w:w="1950" w:type="dxa"/>
            <w:vAlign w:val="center"/>
          </w:tcPr>
          <w:p w14:paraId="3232CE30">
            <w:pPr>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2856</w:t>
            </w:r>
          </w:p>
        </w:tc>
        <w:tc>
          <w:tcPr>
            <w:tcW w:w="1862" w:type="dxa"/>
            <w:vAlign w:val="center"/>
          </w:tcPr>
          <w:p w14:paraId="37E11CE4">
            <w:pPr>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9554</w:t>
            </w:r>
          </w:p>
        </w:tc>
      </w:tr>
      <w:tr w14:paraId="43CD0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883" w:type="dxa"/>
            <w:vAlign w:val="center"/>
          </w:tcPr>
          <w:p w14:paraId="78D0E153">
            <w:pPr>
              <w:jc w:val="center"/>
              <w:rPr>
                <w:rFonts w:ascii="宋体" w:hAnsi="宋体" w:eastAsia="宋体" w:cs="宋体"/>
                <w:color w:val="auto"/>
                <w:sz w:val="24"/>
                <w:highlight w:val="none"/>
              </w:rPr>
            </w:pPr>
            <w:r>
              <w:rPr>
                <w:rFonts w:hint="eastAsia" w:ascii="宋体" w:hAnsi="宋体" w:eastAsia="宋体" w:cs="宋体"/>
                <w:color w:val="auto"/>
                <w:sz w:val="24"/>
                <w:highlight w:val="none"/>
              </w:rPr>
              <w:t>04</w:t>
            </w:r>
          </w:p>
        </w:tc>
        <w:tc>
          <w:tcPr>
            <w:tcW w:w="2238" w:type="dxa"/>
            <w:vAlign w:val="center"/>
          </w:tcPr>
          <w:p w14:paraId="620321ED">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政府专职消防文员</w:t>
            </w:r>
          </w:p>
        </w:tc>
        <w:tc>
          <w:tcPr>
            <w:tcW w:w="1400" w:type="dxa"/>
            <w:vAlign w:val="center"/>
          </w:tcPr>
          <w:p w14:paraId="20E9B664">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1950" w:type="dxa"/>
            <w:vAlign w:val="center"/>
          </w:tcPr>
          <w:p w14:paraId="10CFBA25">
            <w:pPr>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192</w:t>
            </w:r>
          </w:p>
        </w:tc>
        <w:tc>
          <w:tcPr>
            <w:tcW w:w="1862" w:type="dxa"/>
            <w:vAlign w:val="center"/>
          </w:tcPr>
          <w:p w14:paraId="06AC1FC9">
            <w:pPr>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538</w:t>
            </w:r>
          </w:p>
        </w:tc>
      </w:tr>
    </w:tbl>
    <w:p w14:paraId="04532E4A">
      <w:pPr>
        <w:pStyle w:val="14"/>
        <w:numPr>
          <w:ilvl w:val="0"/>
          <w:numId w:val="18"/>
        </w:num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结算方式</w:t>
      </w:r>
    </w:p>
    <w:p w14:paraId="13529619">
      <w:pPr>
        <w:overflowPunct w:val="0"/>
        <w:adjustRightInd w:val="0"/>
        <w:snapToGrid w:val="0"/>
        <w:spacing w:line="360" w:lineRule="auto"/>
        <w:ind w:firstLine="468" w:firstLineChars="200"/>
        <w:jc w:val="left"/>
        <w:rPr>
          <w:rFonts w:hint="eastAsia" w:ascii="宋体" w:hAnsi="宋体" w:eastAsia="宋体" w:cs="宋体"/>
          <w:color w:val="auto"/>
          <w:spacing w:val="-3"/>
          <w:sz w:val="24"/>
          <w:highlight w:val="none"/>
        </w:rPr>
      </w:pPr>
    </w:p>
    <w:p w14:paraId="27E6DAF6">
      <w:pPr>
        <w:overflowPunct w:val="0"/>
        <w:adjustRightInd w:val="0"/>
        <w:snapToGrid w:val="0"/>
        <w:spacing w:line="360" w:lineRule="auto"/>
        <w:ind w:firstLine="468" w:firstLineChars="200"/>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①实行月结方式进行结算，经甲方验收，每批所供物资质量均达到相关质量标准，且认真履行服务承诺，乙方根据甲方确定的综合执行单价乘以当月实际供货量计算的实际结算费用开具发票，甲方在次月内支付上月费用。若因乙方未及时提供符合要求的发票和文件，导致甲方付款迟延的，甲方不承担逾期付款的违约责任。若乙方在此期间存在违约行为，甲方在扣除相应违约金后支付当月剩余费用。</w:t>
      </w:r>
    </w:p>
    <w:p w14:paraId="4A0058A4">
      <w:pPr>
        <w:overflowPunct w:val="0"/>
        <w:adjustRightInd w:val="0"/>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②综合执行单价计算办法</w:t>
      </w:r>
    </w:p>
    <w:p w14:paraId="02B01D16">
      <w:pPr>
        <w:overflowPunct w:val="0"/>
        <w:adjustRightInd w:val="0"/>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综合执行单价=（三门峡市发展和改革委员会同期公布的三门峡市重要农副产品价格表单价×70%+供应商报价×30%）×成交折扣</w:t>
      </w:r>
    </w:p>
    <w:p w14:paraId="10BC0B33">
      <w:pPr>
        <w:overflowPunct w:val="0"/>
        <w:adjustRightInd w:val="0"/>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注：1、依据三门峡市发展和改革委员会同期公布的三门峡市重要农副产品价格表，最终确定的综合执行单价最高不得高于三门峡市发展和改革委员会同期公布的三门峡市重要农副产品价格表单价的10%。</w:t>
      </w:r>
    </w:p>
    <w:p w14:paraId="65C37F36">
      <w:pPr>
        <w:numPr>
          <w:ilvl w:val="0"/>
          <w:numId w:val="19"/>
        </w:numPr>
        <w:overflowPunct w:val="0"/>
        <w:adjustRightInd w:val="0"/>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其中三门峡市发展和改革委员会同期公布的三门峡市重要农副产品每日价格表中存在未列明的重要农副产品，综合执行单价按照如下公式计算：</w:t>
      </w:r>
    </w:p>
    <w:p w14:paraId="1225A81C">
      <w:pPr>
        <w:overflowPunct w:val="0"/>
        <w:adjustRightInd w:val="0"/>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综合执行单价=（本地批发1市场调研单价×40%+本地批发2市场调研单价×30%+供应商报价×30%）×成交折扣</w:t>
      </w:r>
    </w:p>
    <w:p w14:paraId="07A73938">
      <w:pPr>
        <w:numPr>
          <w:ilvl w:val="0"/>
          <w:numId w:val="20"/>
        </w:numPr>
        <w:overflowPunct w:val="0"/>
        <w:adjustRightInd w:val="0"/>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（报价）货物执行标准</w:t>
      </w:r>
    </w:p>
    <w:p w14:paraId="7F8B2E0B">
      <w:pPr>
        <w:overflowPunct w:val="0"/>
        <w:adjustRightInd w:val="0"/>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食用禽蛋执行 GB 4789.1-2016 国家标准、蔬菜符合质量安全要求。</w:t>
      </w:r>
    </w:p>
    <w:p w14:paraId="392CFDEC">
      <w:pPr>
        <w:pStyle w:val="14"/>
        <w:spacing w:line="360" w:lineRule="auto"/>
        <w:ind w:left="420" w:leftChars="200"/>
        <w:rPr>
          <w:rFonts w:ascii="宋体" w:hAnsi="宋体" w:eastAsia="宋体" w:cs="宋体"/>
          <w:b/>
          <w:bCs/>
          <w:sz w:val="28"/>
          <w:szCs w:val="28"/>
        </w:rPr>
      </w:pPr>
    </w:p>
    <w:p w14:paraId="22C84BE0">
      <w:pPr>
        <w:pStyle w:val="14"/>
        <w:spacing w:line="360" w:lineRule="auto"/>
        <w:ind w:left="420" w:leftChars="200"/>
        <w:rPr>
          <w:rFonts w:ascii="宋体" w:hAnsi="宋体" w:eastAsia="宋体" w:cs="宋体"/>
          <w:b/>
          <w:bCs/>
          <w:sz w:val="28"/>
          <w:szCs w:val="28"/>
        </w:rPr>
      </w:pPr>
    </w:p>
    <w:p w14:paraId="05514335">
      <w:pPr>
        <w:pStyle w:val="14"/>
        <w:spacing w:line="360" w:lineRule="auto"/>
        <w:ind w:left="420" w:leftChars="200"/>
        <w:rPr>
          <w:rFonts w:ascii="宋体" w:hAnsi="宋体" w:eastAsia="宋体" w:cs="宋体"/>
          <w:b/>
          <w:bCs/>
          <w:sz w:val="28"/>
          <w:szCs w:val="28"/>
        </w:rPr>
      </w:pPr>
    </w:p>
    <w:p w14:paraId="76D2182C">
      <w:pPr>
        <w:pStyle w:val="14"/>
        <w:spacing w:line="360" w:lineRule="auto"/>
        <w:ind w:left="420" w:leftChars="200"/>
        <w:rPr>
          <w:rFonts w:ascii="宋体" w:hAnsi="宋体" w:eastAsia="宋体" w:cs="宋体"/>
          <w:b/>
          <w:bCs/>
          <w:sz w:val="28"/>
          <w:szCs w:val="28"/>
        </w:rPr>
      </w:pPr>
    </w:p>
    <w:p w14:paraId="5FB9CA32">
      <w:pPr>
        <w:pStyle w:val="14"/>
        <w:spacing w:line="360" w:lineRule="auto"/>
        <w:ind w:left="420" w:leftChars="200"/>
        <w:rPr>
          <w:rFonts w:ascii="宋体" w:hAnsi="宋体" w:eastAsia="宋体" w:cs="宋体"/>
          <w:b/>
          <w:bCs/>
          <w:sz w:val="28"/>
          <w:szCs w:val="28"/>
        </w:rPr>
      </w:pPr>
    </w:p>
    <w:p w14:paraId="5C921BC1">
      <w:pPr>
        <w:pStyle w:val="14"/>
        <w:spacing w:line="360" w:lineRule="auto"/>
        <w:ind w:left="420" w:leftChars="200"/>
        <w:rPr>
          <w:rFonts w:ascii="宋体" w:hAnsi="宋体" w:eastAsia="宋体" w:cs="宋体"/>
          <w:b/>
          <w:bCs/>
          <w:sz w:val="28"/>
          <w:szCs w:val="28"/>
        </w:rPr>
      </w:pPr>
    </w:p>
    <w:p w14:paraId="481F1D9C">
      <w:pPr>
        <w:pStyle w:val="14"/>
        <w:spacing w:line="360" w:lineRule="auto"/>
        <w:ind w:left="420" w:leftChars="200"/>
        <w:rPr>
          <w:rFonts w:ascii="宋体" w:hAnsi="宋体" w:eastAsia="宋体" w:cs="宋体"/>
          <w:b/>
          <w:bCs/>
          <w:sz w:val="28"/>
          <w:szCs w:val="28"/>
        </w:rPr>
      </w:pPr>
    </w:p>
    <w:p w14:paraId="424D947F">
      <w:pPr>
        <w:pStyle w:val="14"/>
        <w:spacing w:line="360" w:lineRule="auto"/>
        <w:ind w:left="420" w:leftChars="200"/>
        <w:rPr>
          <w:rFonts w:ascii="宋体" w:hAnsi="宋体" w:eastAsia="宋体" w:cs="宋体"/>
          <w:b/>
          <w:bCs/>
          <w:sz w:val="28"/>
          <w:szCs w:val="28"/>
        </w:rPr>
      </w:pPr>
    </w:p>
    <w:p w14:paraId="5ABBD454">
      <w:pPr>
        <w:pStyle w:val="14"/>
        <w:spacing w:line="360" w:lineRule="auto"/>
        <w:ind w:left="420" w:leftChars="200"/>
        <w:rPr>
          <w:rFonts w:ascii="宋体" w:hAnsi="宋体" w:eastAsia="宋体" w:cs="宋体"/>
          <w:b/>
          <w:bCs/>
          <w:sz w:val="28"/>
          <w:szCs w:val="28"/>
        </w:rPr>
      </w:pPr>
    </w:p>
    <w:p w14:paraId="541AF89B">
      <w:pPr>
        <w:pStyle w:val="14"/>
        <w:spacing w:line="360" w:lineRule="auto"/>
        <w:ind w:left="420" w:leftChars="200"/>
        <w:rPr>
          <w:rFonts w:ascii="宋体" w:hAnsi="宋体" w:eastAsia="宋体" w:cs="宋体"/>
          <w:b/>
          <w:bCs/>
          <w:sz w:val="28"/>
          <w:szCs w:val="28"/>
        </w:rPr>
      </w:pPr>
    </w:p>
    <w:p w14:paraId="2254E460">
      <w:pPr>
        <w:pStyle w:val="14"/>
        <w:spacing w:line="360" w:lineRule="auto"/>
        <w:ind w:left="420" w:leftChars="200"/>
        <w:rPr>
          <w:rFonts w:ascii="宋体" w:hAnsi="宋体" w:eastAsia="宋体" w:cs="宋体"/>
          <w:b/>
          <w:bCs/>
          <w:sz w:val="28"/>
          <w:szCs w:val="28"/>
        </w:rPr>
      </w:pPr>
    </w:p>
    <w:p w14:paraId="08680B7A">
      <w:pPr>
        <w:pStyle w:val="14"/>
        <w:numPr>
          <w:ilvl w:val="0"/>
          <w:numId w:val="16"/>
        </w:numPr>
        <w:spacing w:line="360" w:lineRule="auto"/>
        <w:jc w:val="center"/>
        <w:rPr>
          <w:rFonts w:ascii="宋体" w:hAnsi="宋体" w:cs="宋体"/>
          <w:b/>
          <w:bCs/>
          <w:sz w:val="28"/>
          <w:szCs w:val="28"/>
        </w:rPr>
      </w:pPr>
      <w:r>
        <w:rPr>
          <w:rFonts w:hint="eastAsia" w:ascii="宋体" w:hAnsi="宋体" w:cs="宋体"/>
          <w:b/>
          <w:bCs/>
          <w:sz w:val="28"/>
          <w:szCs w:val="28"/>
        </w:rPr>
        <w:t>合同条款及格式（范本）</w:t>
      </w:r>
    </w:p>
    <w:p w14:paraId="1F070317">
      <w:pPr>
        <w:spacing w:before="218" w:line="220" w:lineRule="auto"/>
        <w:ind w:left="39"/>
        <w:jc w:val="center"/>
        <w:rPr>
          <w:rFonts w:ascii="宋体" w:hAnsi="宋体" w:eastAsia="宋体" w:cs="宋体"/>
          <w:b/>
          <w:bCs/>
          <w:spacing w:val="-11"/>
          <w:sz w:val="24"/>
        </w:rPr>
      </w:pPr>
      <w:r>
        <w:rPr>
          <w:rFonts w:hint="eastAsia" w:ascii="宋体" w:hAnsi="宋体" w:eastAsia="宋体" w:cs="宋体"/>
          <w:b/>
          <w:bCs/>
          <w:sz w:val="36"/>
          <w:szCs w:val="36"/>
        </w:rPr>
        <w:t>义马市消防救援大队义马大队食堂主副食品采购项目合同书</w:t>
      </w:r>
    </w:p>
    <w:p w14:paraId="4EC001C9">
      <w:pPr>
        <w:snapToGrid w:val="0"/>
        <w:spacing w:before="218" w:line="360" w:lineRule="auto"/>
        <w:rPr>
          <w:rFonts w:ascii="宋体" w:hAnsi="宋体" w:eastAsia="宋体" w:cs="宋体"/>
          <w:sz w:val="24"/>
        </w:rPr>
      </w:pPr>
      <w:r>
        <w:rPr>
          <w:rFonts w:hint="eastAsia" w:ascii="宋体" w:hAnsi="宋体" w:eastAsia="宋体" w:cs="宋体"/>
          <w:b/>
          <w:bCs/>
          <w:spacing w:val="-11"/>
          <w:sz w:val="24"/>
        </w:rPr>
        <w:t>甲</w:t>
      </w:r>
      <w:r>
        <w:rPr>
          <w:rFonts w:hint="eastAsia" w:ascii="宋体" w:hAnsi="宋体" w:eastAsia="宋体" w:cs="宋体"/>
          <w:spacing w:val="8"/>
          <w:sz w:val="24"/>
        </w:rPr>
        <w:t xml:space="preserve">  </w:t>
      </w:r>
      <w:r>
        <w:rPr>
          <w:rFonts w:hint="eastAsia" w:ascii="宋体" w:hAnsi="宋体" w:eastAsia="宋体" w:cs="宋体"/>
          <w:b/>
          <w:bCs/>
          <w:spacing w:val="-11"/>
          <w:sz w:val="24"/>
        </w:rPr>
        <w:t>方（需方</w:t>
      </w:r>
      <w:r>
        <w:rPr>
          <w:rFonts w:hint="eastAsia" w:ascii="宋体" w:hAnsi="宋体" w:eastAsia="宋体" w:cs="宋体"/>
          <w:b/>
          <w:bCs/>
          <w:spacing w:val="-3"/>
          <w:sz w:val="24"/>
        </w:rPr>
        <w:t>）：</w:t>
      </w:r>
      <w:r>
        <w:rPr>
          <w:rFonts w:hint="eastAsia" w:ascii="宋体" w:hAnsi="宋体" w:eastAsia="宋体" w:cs="宋体"/>
          <w:b/>
          <w:bCs/>
          <w:spacing w:val="-2"/>
          <w:sz w:val="24"/>
          <w:u w:val="single"/>
        </w:rPr>
        <w:t xml:space="preserve">                           </w:t>
      </w:r>
      <w:r>
        <w:rPr>
          <w:rFonts w:hint="eastAsia" w:ascii="宋体" w:hAnsi="宋体" w:eastAsia="宋体" w:cs="宋体"/>
          <w:spacing w:val="-43"/>
          <w:sz w:val="24"/>
        </w:rPr>
        <w:t xml:space="preserve"> </w:t>
      </w:r>
      <w:r>
        <w:rPr>
          <w:rFonts w:hint="eastAsia" w:ascii="宋体" w:hAnsi="宋体" w:eastAsia="宋体" w:cs="宋体"/>
          <w:spacing w:val="-2"/>
          <w:sz w:val="24"/>
        </w:rPr>
        <w:t>(以下简称甲方)</w:t>
      </w:r>
    </w:p>
    <w:p w14:paraId="06DC4B70">
      <w:pPr>
        <w:pStyle w:val="8"/>
        <w:snapToGrid w:val="0"/>
        <w:spacing w:before="185" w:line="360" w:lineRule="auto"/>
        <w:rPr>
          <w:rFonts w:ascii="宋体" w:hAnsi="宋体" w:eastAsia="宋体" w:cs="宋体"/>
          <w:sz w:val="24"/>
        </w:rPr>
      </w:pPr>
      <w:r>
        <w:rPr>
          <w:rFonts w:hint="eastAsia" w:ascii="宋体" w:hAnsi="宋体" w:eastAsia="宋体" w:cs="宋体"/>
          <w:b/>
          <w:bCs/>
          <w:spacing w:val="-10"/>
          <w:sz w:val="24"/>
        </w:rPr>
        <w:t>乙</w:t>
      </w:r>
      <w:r>
        <w:rPr>
          <w:rFonts w:hint="eastAsia" w:ascii="宋体" w:hAnsi="宋体" w:eastAsia="宋体" w:cs="宋体"/>
          <w:spacing w:val="8"/>
          <w:sz w:val="24"/>
        </w:rPr>
        <w:t xml:space="preserve">  </w:t>
      </w:r>
      <w:r>
        <w:rPr>
          <w:rFonts w:hint="eastAsia" w:ascii="宋体" w:hAnsi="宋体" w:eastAsia="宋体" w:cs="宋体"/>
          <w:b/>
          <w:bCs/>
          <w:spacing w:val="-10"/>
          <w:sz w:val="24"/>
        </w:rPr>
        <w:t>方（供方）</w:t>
      </w:r>
      <w:r>
        <w:rPr>
          <w:rFonts w:hint="eastAsia" w:ascii="宋体" w:hAnsi="宋体" w:eastAsia="宋体" w:cs="宋体"/>
          <w:b/>
          <w:bCs/>
          <w:spacing w:val="-2"/>
          <w:sz w:val="24"/>
        </w:rPr>
        <w:t>：</w:t>
      </w:r>
      <w:r>
        <w:rPr>
          <w:rFonts w:hint="eastAsia" w:ascii="宋体" w:hAnsi="宋体" w:eastAsia="宋体" w:cs="宋体"/>
          <w:b/>
          <w:bCs/>
          <w:spacing w:val="5"/>
          <w:sz w:val="24"/>
          <w:u w:val="single"/>
        </w:rPr>
        <w:t xml:space="preserve">                        </w:t>
      </w:r>
      <w:r>
        <w:rPr>
          <w:rFonts w:hint="eastAsia" w:ascii="宋体" w:hAnsi="宋体" w:eastAsia="宋体" w:cs="宋体"/>
          <w:spacing w:val="5"/>
          <w:sz w:val="24"/>
        </w:rPr>
        <w:t>(以下简</w:t>
      </w:r>
      <w:r>
        <w:rPr>
          <w:rFonts w:hint="eastAsia" w:ascii="宋体" w:hAnsi="宋体" w:eastAsia="宋体" w:cs="宋体"/>
          <w:spacing w:val="4"/>
          <w:sz w:val="24"/>
        </w:rPr>
        <w:t>称乙方)</w:t>
      </w:r>
    </w:p>
    <w:p w14:paraId="626BB176">
      <w:pPr>
        <w:spacing w:before="78" w:line="359" w:lineRule="auto"/>
        <w:ind w:left="11" w:right="75" w:firstLine="478"/>
        <w:rPr>
          <w:rFonts w:ascii="宋体" w:hAnsi="宋体" w:eastAsia="宋体" w:cs="宋体"/>
          <w:b/>
          <w:bCs/>
          <w:spacing w:val="-3"/>
          <w:sz w:val="24"/>
        </w:rPr>
      </w:pPr>
      <w:r>
        <w:rPr>
          <w:rFonts w:ascii="宋体" w:hAnsi="宋体" w:eastAsia="宋体" w:cs="宋体"/>
          <w:sz w:val="24"/>
        </w:rPr>
        <w:t>根据《中华人民共和国政府采购法》《中华人民共和国</w:t>
      </w:r>
      <w:r>
        <w:rPr>
          <w:rFonts w:ascii="宋体" w:hAnsi="宋体" w:eastAsia="宋体" w:cs="宋体"/>
          <w:spacing w:val="-1"/>
          <w:sz w:val="24"/>
        </w:rPr>
        <w:t>民法典》</w:t>
      </w:r>
      <w:r>
        <w:rPr>
          <w:rFonts w:hint="eastAsia" w:ascii="宋体" w:hAnsi="宋体" w:cs="宋体"/>
          <w:spacing w:val="-1"/>
          <w:sz w:val="24"/>
        </w:rPr>
        <w:t>等</w:t>
      </w:r>
      <w:r>
        <w:rPr>
          <w:rFonts w:ascii="宋体" w:hAnsi="宋体" w:eastAsia="宋体" w:cs="宋体"/>
          <w:spacing w:val="-1"/>
          <w:sz w:val="24"/>
        </w:rPr>
        <w:t>与项目行业有关的法律法规，以及</w:t>
      </w:r>
      <w:r>
        <w:rPr>
          <w:rFonts w:ascii="宋体" w:hAnsi="宋体" w:eastAsia="宋体" w:cs="宋体"/>
          <w:spacing w:val="-1"/>
          <w:sz w:val="24"/>
          <w:u w:val="single"/>
        </w:rPr>
        <w:t xml:space="preserve">  </w:t>
      </w:r>
      <w:r>
        <w:rPr>
          <w:rFonts w:hint="eastAsia" w:ascii="宋体" w:hAnsi="宋体" w:cs="宋体"/>
          <w:spacing w:val="-1"/>
          <w:sz w:val="24"/>
          <w:u w:val="single"/>
        </w:rPr>
        <w:t xml:space="preserve">                       </w:t>
      </w:r>
      <w:r>
        <w:rPr>
          <w:rFonts w:ascii="宋体" w:hAnsi="宋体" w:eastAsia="宋体" w:cs="宋体"/>
          <w:spacing w:val="-1"/>
          <w:sz w:val="24"/>
          <w:u w:val="single"/>
        </w:rPr>
        <w:t xml:space="preserve">  </w:t>
      </w:r>
      <w:r>
        <w:rPr>
          <w:rFonts w:ascii="宋体" w:hAnsi="宋体" w:eastAsia="宋体" w:cs="宋体"/>
          <w:spacing w:val="-99"/>
          <w:sz w:val="24"/>
        </w:rPr>
        <w:t xml:space="preserve"> </w:t>
      </w:r>
      <w:r>
        <w:rPr>
          <w:rFonts w:ascii="宋体" w:hAnsi="宋体" w:eastAsia="宋体" w:cs="宋体"/>
          <w:spacing w:val="-1"/>
          <w:sz w:val="24"/>
        </w:rPr>
        <w:t>项目</w:t>
      </w:r>
      <w:r>
        <w:rPr>
          <w:rFonts w:hint="eastAsia" w:ascii="宋体" w:hAnsi="宋体" w:cs="宋体"/>
          <w:spacing w:val="-1"/>
          <w:sz w:val="24"/>
        </w:rPr>
        <w:t>（</w:t>
      </w:r>
      <w:r>
        <w:rPr>
          <w:rFonts w:ascii="宋体" w:hAnsi="宋体" w:eastAsia="宋体" w:cs="宋体"/>
          <w:sz w:val="24"/>
        </w:rPr>
        <w:t xml:space="preserve">项目编号： </w:t>
      </w: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cs="宋体"/>
          <w:sz w:val="24"/>
        </w:rPr>
        <w:t>）</w:t>
      </w:r>
      <w:r>
        <w:rPr>
          <w:rFonts w:ascii="宋体" w:hAnsi="宋体" w:eastAsia="宋体" w:cs="宋体"/>
          <w:sz w:val="24"/>
        </w:rPr>
        <w:t>的《</w:t>
      </w:r>
      <w:r>
        <w:rPr>
          <w:rFonts w:hint="eastAsia" w:ascii="宋体" w:hAnsi="宋体" w:eastAsia="宋体" w:cs="宋体"/>
          <w:sz w:val="24"/>
          <w:lang w:val="en-US" w:eastAsia="zh-CN"/>
        </w:rPr>
        <w:t>磋商</w:t>
      </w:r>
      <w:r>
        <w:rPr>
          <w:rFonts w:ascii="宋体" w:hAnsi="宋体" w:eastAsia="宋体" w:cs="宋体"/>
          <w:sz w:val="24"/>
        </w:rPr>
        <w:t>文件》，</w:t>
      </w:r>
      <w:r>
        <w:rPr>
          <w:rFonts w:hint="eastAsia" w:ascii="宋体" w:hAnsi="宋体" w:eastAsia="宋体" w:cs="宋体"/>
          <w:sz w:val="24"/>
          <w:lang w:val="en-US" w:eastAsia="zh-CN"/>
        </w:rPr>
        <w:t>供应商</w:t>
      </w:r>
      <w:r>
        <w:rPr>
          <w:rFonts w:ascii="宋体" w:hAnsi="宋体" w:eastAsia="宋体" w:cs="宋体"/>
          <w:sz w:val="24"/>
        </w:rPr>
        <w:t>的《响应文件》及《成交通知书》，</w:t>
      </w:r>
      <w:r>
        <w:rPr>
          <w:rFonts w:hint="eastAsia" w:ascii="宋体" w:hAnsi="宋体" w:eastAsia="宋体" w:cs="宋体"/>
          <w:sz w:val="24"/>
        </w:rPr>
        <w:t>遵循平等、自愿、 公平和诚实信用的原则，甲、乙双方就本采购项目协商一致，同意签订本合同</w:t>
      </w:r>
      <w:r>
        <w:rPr>
          <w:rFonts w:ascii="宋体" w:hAnsi="宋体" w:eastAsia="宋体" w:cs="宋体"/>
          <w:sz w:val="24"/>
        </w:rPr>
        <w:t>。详细技术说明及其他有关合同项目的特定信息由合同附件予以说明，合同附件及本项目的《</w:t>
      </w:r>
      <w:r>
        <w:rPr>
          <w:rFonts w:hint="eastAsia" w:ascii="宋体" w:hAnsi="宋体" w:eastAsia="宋体" w:cs="宋体"/>
          <w:sz w:val="24"/>
          <w:lang w:val="en-US" w:eastAsia="zh-CN"/>
        </w:rPr>
        <w:t>磋商</w:t>
      </w:r>
      <w:r>
        <w:rPr>
          <w:rFonts w:ascii="宋体" w:hAnsi="宋体" w:eastAsia="宋体" w:cs="宋体"/>
          <w:spacing w:val="-1"/>
          <w:sz w:val="24"/>
        </w:rPr>
        <w:t>文件》、《响应文件》、</w:t>
      </w:r>
      <w:r>
        <w:rPr>
          <w:rFonts w:hint="eastAsia" w:ascii="宋体" w:hAnsi="宋体" w:cs="宋体"/>
          <w:spacing w:val="-1"/>
          <w:sz w:val="24"/>
        </w:rPr>
        <w:t>《</w:t>
      </w:r>
      <w:r>
        <w:rPr>
          <w:rFonts w:hint="eastAsia" w:ascii="宋体" w:hAnsi="宋体" w:eastAsia="宋体" w:cs="宋体"/>
          <w:spacing w:val="-1"/>
          <w:sz w:val="24"/>
          <w:lang w:val="en-US" w:eastAsia="zh-CN"/>
        </w:rPr>
        <w:t>成交</w:t>
      </w:r>
      <w:r>
        <w:rPr>
          <w:rFonts w:ascii="宋体" w:hAnsi="宋体" w:eastAsia="宋体" w:cs="宋体"/>
          <w:spacing w:val="-1"/>
          <w:sz w:val="24"/>
        </w:rPr>
        <w:t>通知书》等均为本合同的组成部分。</w:t>
      </w:r>
    </w:p>
    <w:p w14:paraId="00C4DA21">
      <w:pPr>
        <w:snapToGrid w:val="0"/>
        <w:spacing w:before="109" w:line="360" w:lineRule="auto"/>
        <w:ind w:left="7" w:right="87" w:firstLine="470" w:firstLineChars="200"/>
        <w:rPr>
          <w:rFonts w:ascii="宋体" w:hAnsi="宋体" w:eastAsia="宋体" w:cs="宋体"/>
          <w:b/>
          <w:bCs/>
          <w:spacing w:val="-3"/>
          <w:sz w:val="24"/>
        </w:rPr>
      </w:pPr>
      <w:r>
        <w:rPr>
          <w:rFonts w:hint="eastAsia" w:ascii="宋体" w:hAnsi="宋体" w:eastAsia="宋体" w:cs="宋体"/>
          <w:b/>
          <w:bCs/>
          <w:spacing w:val="-3"/>
          <w:sz w:val="24"/>
        </w:rPr>
        <w:t>一、合同标的</w:t>
      </w:r>
    </w:p>
    <w:p w14:paraId="08545E34">
      <w:pPr>
        <w:snapToGrid w:val="0"/>
        <w:spacing w:before="109" w:line="360" w:lineRule="auto"/>
        <w:ind w:left="7" w:right="87" w:firstLine="480" w:firstLineChars="200"/>
        <w:rPr>
          <w:rFonts w:ascii="宋体" w:hAnsi="宋体" w:eastAsia="宋体" w:cs="宋体"/>
          <w:sz w:val="24"/>
        </w:rPr>
      </w:pPr>
      <w:r>
        <w:rPr>
          <w:rFonts w:hint="eastAsia" w:ascii="宋体" w:hAnsi="宋体" w:eastAsia="宋体" w:cs="宋体"/>
          <w:sz w:val="24"/>
        </w:rPr>
        <w:t>1.乙方负责在合同有效期内向甲方食堂供应配送食材。(具体配送范围包括但不限于： 蔬果、禽蛋、禽畜肉、水产品、饮品、米面粮油、调料干杂等食材（详见供货明细表，附后），甲方可根据实际需要选择货品。如甲方另有需求，乙方均可供货。</w:t>
      </w:r>
    </w:p>
    <w:p w14:paraId="410AFA56">
      <w:pPr>
        <w:snapToGrid w:val="0"/>
        <w:spacing w:before="109" w:line="360" w:lineRule="auto"/>
        <w:ind w:left="7" w:right="87" w:firstLine="480" w:firstLineChars="200"/>
        <w:rPr>
          <w:rFonts w:ascii="宋体" w:hAnsi="宋体" w:eastAsia="宋体" w:cs="宋体"/>
          <w:sz w:val="24"/>
        </w:rPr>
      </w:pPr>
      <w:r>
        <w:rPr>
          <w:rFonts w:hint="eastAsia" w:ascii="宋体" w:hAnsi="宋体" w:eastAsia="宋体" w:cs="宋体"/>
          <w:sz w:val="24"/>
        </w:rPr>
        <w:t>2.乙方所供货物必须符合下列要求：</w:t>
      </w:r>
    </w:p>
    <w:p w14:paraId="469DE76B">
      <w:pPr>
        <w:snapToGrid w:val="0"/>
        <w:spacing w:before="109" w:line="360" w:lineRule="auto"/>
        <w:ind w:left="7" w:right="87" w:firstLine="480" w:firstLineChars="200"/>
        <w:rPr>
          <w:rFonts w:ascii="宋体" w:hAnsi="宋体" w:eastAsia="宋体" w:cs="宋体"/>
          <w:sz w:val="24"/>
        </w:rPr>
      </w:pPr>
      <w:r>
        <w:rPr>
          <w:rFonts w:hint="eastAsia" w:ascii="宋体" w:hAnsi="宋体" w:eastAsia="宋体" w:cs="宋体"/>
          <w:sz w:val="24"/>
        </w:rPr>
        <w:t>（1）所供货物必须符合国家或行业主管部门执行的有关营养、卫生等质量标准、 符合响应文件中响应的技术指标要求。</w:t>
      </w:r>
    </w:p>
    <w:p w14:paraId="085048AD">
      <w:pPr>
        <w:snapToGrid w:val="0"/>
        <w:spacing w:before="109" w:line="360" w:lineRule="auto"/>
        <w:ind w:left="7" w:right="87" w:firstLine="468" w:firstLineChars="200"/>
        <w:rPr>
          <w:rFonts w:ascii="宋体" w:hAnsi="宋体" w:eastAsia="宋体" w:cs="宋体"/>
          <w:spacing w:val="-3"/>
          <w:sz w:val="24"/>
        </w:rPr>
      </w:pPr>
      <w:r>
        <w:rPr>
          <w:rFonts w:hint="eastAsia" w:ascii="宋体" w:hAnsi="宋体" w:eastAsia="宋体" w:cs="宋体"/>
          <w:spacing w:val="-3"/>
          <w:sz w:val="24"/>
        </w:rPr>
        <w:t>（2）未经甲方允许，不得提供未经检验或未取得相关部门允许批量生产的新产品或试制品。</w:t>
      </w:r>
    </w:p>
    <w:p w14:paraId="53B3FA32">
      <w:pPr>
        <w:snapToGrid w:val="0"/>
        <w:spacing w:before="109" w:line="360" w:lineRule="auto"/>
        <w:ind w:left="7" w:right="87" w:firstLine="468" w:firstLineChars="200"/>
        <w:rPr>
          <w:rFonts w:ascii="宋体" w:hAnsi="宋体" w:eastAsia="宋体" w:cs="宋体"/>
          <w:spacing w:val="-3"/>
          <w:sz w:val="24"/>
        </w:rPr>
      </w:pPr>
      <w:r>
        <w:rPr>
          <w:rFonts w:hint="eastAsia" w:ascii="宋体" w:hAnsi="宋体" w:eastAsia="宋体" w:cs="宋体"/>
          <w:spacing w:val="-3"/>
          <w:sz w:val="24"/>
        </w:rPr>
        <w:t>（3）乙方所供货物必须具有质量检验合格证、产品检验检疫证等。</w:t>
      </w:r>
    </w:p>
    <w:p w14:paraId="5BF5E044">
      <w:pPr>
        <w:snapToGrid w:val="0"/>
        <w:spacing w:before="109" w:line="360" w:lineRule="auto"/>
        <w:ind w:left="7" w:right="87" w:firstLine="468" w:firstLineChars="200"/>
        <w:rPr>
          <w:rFonts w:ascii="宋体" w:hAnsi="宋体" w:eastAsia="宋体" w:cs="宋体"/>
          <w:spacing w:val="-3"/>
          <w:sz w:val="24"/>
        </w:rPr>
      </w:pPr>
      <w:r>
        <w:rPr>
          <w:rFonts w:hint="eastAsia" w:ascii="宋体" w:hAnsi="宋体" w:eastAsia="宋体" w:cs="宋体"/>
          <w:spacing w:val="-3"/>
          <w:sz w:val="24"/>
        </w:rPr>
        <w:t>（4）所供货物必须严格按照响应文件中所报货物生产厂家、品牌一致的货物。</w:t>
      </w:r>
    </w:p>
    <w:p w14:paraId="4C60C547">
      <w:pPr>
        <w:snapToGrid w:val="0"/>
        <w:spacing w:before="109" w:line="360" w:lineRule="auto"/>
        <w:ind w:left="7" w:right="87" w:firstLine="470" w:firstLineChars="200"/>
        <w:rPr>
          <w:rFonts w:ascii="宋体" w:hAnsi="宋体" w:eastAsia="宋体" w:cs="宋体"/>
          <w:b/>
          <w:bCs/>
          <w:spacing w:val="-3"/>
          <w:sz w:val="24"/>
        </w:rPr>
      </w:pPr>
      <w:r>
        <w:rPr>
          <w:rFonts w:hint="eastAsia" w:ascii="宋体" w:hAnsi="宋体" w:eastAsia="宋体" w:cs="宋体"/>
          <w:b/>
          <w:bCs/>
          <w:spacing w:val="-3"/>
          <w:sz w:val="24"/>
        </w:rPr>
        <w:t>二、供货期限</w:t>
      </w:r>
    </w:p>
    <w:p w14:paraId="1522CB31">
      <w:pPr>
        <w:snapToGrid w:val="0"/>
        <w:spacing w:before="109" w:line="360" w:lineRule="auto"/>
        <w:ind w:left="7" w:right="87" w:firstLine="468" w:firstLineChars="200"/>
        <w:rPr>
          <w:rFonts w:ascii="宋体" w:hAnsi="宋体" w:eastAsia="宋体" w:cs="宋体"/>
          <w:spacing w:val="-3"/>
          <w:sz w:val="24"/>
        </w:rPr>
      </w:pPr>
      <w:r>
        <w:rPr>
          <w:rFonts w:hint="eastAsia" w:ascii="宋体" w:hAnsi="宋体" w:eastAsia="宋体" w:cs="宋体"/>
          <w:spacing w:val="-3"/>
          <w:sz w:val="24"/>
        </w:rPr>
        <w:t>自</w:t>
      </w:r>
      <w:r>
        <w:rPr>
          <w:rFonts w:hint="eastAsia" w:ascii="宋体" w:hAnsi="宋体" w:eastAsia="宋体" w:cs="宋体"/>
          <w:spacing w:val="-3"/>
          <w:sz w:val="24"/>
          <w:u w:val="single"/>
        </w:rPr>
        <w:t xml:space="preserve">      </w:t>
      </w:r>
      <w:r>
        <w:rPr>
          <w:rFonts w:hint="eastAsia" w:ascii="宋体" w:hAnsi="宋体" w:eastAsia="宋体" w:cs="宋体"/>
          <w:spacing w:val="-3"/>
          <w:sz w:val="24"/>
        </w:rPr>
        <w:t>年</w:t>
      </w:r>
      <w:r>
        <w:rPr>
          <w:rFonts w:hint="eastAsia" w:ascii="宋体" w:hAnsi="宋体" w:eastAsia="宋体" w:cs="宋体"/>
          <w:spacing w:val="-3"/>
          <w:sz w:val="24"/>
          <w:u w:val="single"/>
        </w:rPr>
        <w:t xml:space="preserve">   </w:t>
      </w:r>
      <w:r>
        <w:rPr>
          <w:rFonts w:hint="eastAsia" w:ascii="宋体" w:hAnsi="宋体" w:eastAsia="宋体" w:cs="宋体"/>
          <w:spacing w:val="-3"/>
          <w:sz w:val="24"/>
        </w:rPr>
        <w:t>月</w:t>
      </w:r>
      <w:r>
        <w:rPr>
          <w:rFonts w:hint="eastAsia" w:ascii="宋体" w:hAnsi="宋体" w:eastAsia="宋体" w:cs="宋体"/>
          <w:spacing w:val="-3"/>
          <w:sz w:val="24"/>
          <w:u w:val="single"/>
        </w:rPr>
        <w:t xml:space="preserve">  </w:t>
      </w:r>
      <w:r>
        <w:rPr>
          <w:rFonts w:hint="eastAsia" w:ascii="宋体" w:hAnsi="宋体" w:eastAsia="宋体" w:cs="宋体"/>
          <w:spacing w:val="-3"/>
          <w:sz w:val="24"/>
        </w:rPr>
        <w:t>日起至</w:t>
      </w:r>
      <w:r>
        <w:rPr>
          <w:rFonts w:hint="eastAsia" w:ascii="宋体" w:hAnsi="宋体" w:eastAsia="宋体" w:cs="宋体"/>
          <w:spacing w:val="-3"/>
          <w:sz w:val="24"/>
          <w:u w:val="single"/>
        </w:rPr>
        <w:t xml:space="preserve">  </w:t>
      </w:r>
      <w:r>
        <w:rPr>
          <w:rFonts w:hint="eastAsia" w:ascii="宋体" w:hAnsi="宋体" w:cs="宋体"/>
          <w:spacing w:val="-3"/>
          <w:sz w:val="24"/>
          <w:u w:val="single"/>
        </w:rPr>
        <w:t xml:space="preserve">  </w:t>
      </w:r>
      <w:r>
        <w:rPr>
          <w:rFonts w:hint="eastAsia" w:ascii="宋体" w:hAnsi="宋体" w:eastAsia="宋体" w:cs="宋体"/>
          <w:spacing w:val="-3"/>
          <w:sz w:val="24"/>
          <w:u w:val="single"/>
        </w:rPr>
        <w:t xml:space="preserve">  </w:t>
      </w:r>
      <w:r>
        <w:rPr>
          <w:rFonts w:hint="eastAsia" w:ascii="宋体" w:hAnsi="宋体" w:eastAsia="宋体" w:cs="宋体"/>
          <w:spacing w:val="-3"/>
          <w:sz w:val="24"/>
        </w:rPr>
        <w:t>年</w:t>
      </w:r>
      <w:r>
        <w:rPr>
          <w:rFonts w:hint="eastAsia" w:ascii="宋体" w:hAnsi="宋体" w:eastAsia="宋体" w:cs="宋体"/>
          <w:spacing w:val="-3"/>
          <w:sz w:val="24"/>
          <w:u w:val="single"/>
        </w:rPr>
        <w:t xml:space="preserve">   </w:t>
      </w:r>
      <w:r>
        <w:rPr>
          <w:rFonts w:hint="eastAsia" w:ascii="宋体" w:hAnsi="宋体" w:eastAsia="宋体" w:cs="宋体"/>
          <w:spacing w:val="-3"/>
          <w:sz w:val="24"/>
        </w:rPr>
        <w:t>月</w:t>
      </w:r>
      <w:r>
        <w:rPr>
          <w:rFonts w:hint="eastAsia" w:ascii="宋体" w:hAnsi="宋体" w:eastAsia="宋体" w:cs="宋体"/>
          <w:spacing w:val="-3"/>
          <w:sz w:val="24"/>
          <w:u w:val="single"/>
        </w:rPr>
        <w:t xml:space="preserve">   </w:t>
      </w:r>
      <w:r>
        <w:rPr>
          <w:rFonts w:hint="eastAsia" w:ascii="宋体" w:hAnsi="宋体" w:eastAsia="宋体" w:cs="宋体"/>
          <w:spacing w:val="-3"/>
          <w:sz w:val="24"/>
        </w:rPr>
        <w:t>日止。</w:t>
      </w:r>
    </w:p>
    <w:p w14:paraId="282F2E42">
      <w:pPr>
        <w:snapToGrid w:val="0"/>
        <w:spacing w:before="109" w:line="360" w:lineRule="auto"/>
        <w:ind w:left="7" w:right="87" w:firstLine="470" w:firstLineChars="200"/>
        <w:rPr>
          <w:rFonts w:ascii="宋体" w:hAnsi="宋体" w:eastAsia="宋体" w:cs="宋体"/>
          <w:b/>
          <w:bCs/>
          <w:spacing w:val="-3"/>
          <w:sz w:val="24"/>
        </w:rPr>
      </w:pPr>
      <w:r>
        <w:rPr>
          <w:rFonts w:hint="eastAsia" w:ascii="宋体" w:hAnsi="宋体" w:eastAsia="宋体" w:cs="宋体"/>
          <w:b/>
          <w:bCs/>
          <w:spacing w:val="-3"/>
          <w:sz w:val="24"/>
        </w:rPr>
        <w:t>三、成交折扣</w:t>
      </w:r>
    </w:p>
    <w:p w14:paraId="00F366F4">
      <w:pPr>
        <w:snapToGrid w:val="0"/>
        <w:spacing w:before="109" w:line="360" w:lineRule="auto"/>
        <w:ind w:left="7" w:right="87" w:firstLine="468" w:firstLineChars="200"/>
        <w:rPr>
          <w:rFonts w:ascii="宋体" w:hAnsi="宋体" w:eastAsia="宋体" w:cs="宋体"/>
          <w:spacing w:val="-3"/>
          <w:sz w:val="24"/>
        </w:rPr>
      </w:pPr>
      <w:r>
        <w:rPr>
          <w:rFonts w:hint="eastAsia" w:ascii="宋体" w:hAnsi="宋体" w:eastAsia="宋体" w:cs="宋体"/>
          <w:spacing w:val="-3"/>
          <w:sz w:val="24"/>
        </w:rPr>
        <w:t>1.成交折扣：</w:t>
      </w:r>
    </w:p>
    <w:p w14:paraId="755633D7">
      <w:pPr>
        <w:snapToGrid w:val="0"/>
        <w:spacing w:before="109" w:line="360" w:lineRule="auto"/>
        <w:ind w:left="7" w:right="87" w:firstLine="468" w:firstLineChars="200"/>
        <w:rPr>
          <w:rFonts w:ascii="宋体" w:hAnsi="宋体" w:eastAsia="宋体" w:cs="宋体"/>
          <w:spacing w:val="-3"/>
          <w:sz w:val="24"/>
        </w:rPr>
      </w:pPr>
      <w:r>
        <w:rPr>
          <w:rFonts w:hint="eastAsia" w:ascii="宋体" w:hAnsi="宋体" w:eastAsia="宋体" w:cs="宋体"/>
          <w:spacing w:val="-3"/>
          <w:sz w:val="24"/>
        </w:rPr>
        <w:t>成交折扣：应支付金额的</w:t>
      </w:r>
      <w:r>
        <w:rPr>
          <w:rFonts w:hint="eastAsia" w:ascii="宋体" w:hAnsi="宋体" w:eastAsia="宋体" w:cs="宋体"/>
          <w:spacing w:val="-3"/>
          <w:sz w:val="24"/>
          <w:u w:val="single"/>
        </w:rPr>
        <w:t xml:space="preserve">    %</w:t>
      </w:r>
    </w:p>
    <w:p w14:paraId="5C6CC63B">
      <w:pPr>
        <w:snapToGrid w:val="0"/>
        <w:spacing w:before="109" w:line="360" w:lineRule="auto"/>
        <w:ind w:left="7" w:right="87" w:firstLine="468" w:firstLineChars="200"/>
        <w:rPr>
          <w:rFonts w:ascii="宋体" w:hAnsi="宋体" w:eastAsia="宋体" w:cs="宋体"/>
          <w:spacing w:val="-3"/>
          <w:sz w:val="24"/>
        </w:rPr>
      </w:pPr>
      <w:r>
        <w:rPr>
          <w:rFonts w:hint="eastAsia" w:ascii="宋体" w:hAnsi="宋体" w:eastAsia="宋体" w:cs="宋体"/>
          <w:spacing w:val="-3"/>
          <w:sz w:val="24"/>
        </w:rPr>
        <w:t>根据成交折扣计算出的实际支付金额包含所供货物价格、运送到甲方指定地点所发生的运费、装卸费、调换等环节所发生的费用及其他相关费用和所需缴纳的一切相关税费。该成交金额为合同执行最高限价，实际支付金额不得超过该合同金额。成交折扣在整个合同执行过程中，不因国家政策变化而变动。</w:t>
      </w:r>
    </w:p>
    <w:p w14:paraId="4AEABA16">
      <w:pPr>
        <w:snapToGrid w:val="0"/>
        <w:spacing w:before="109" w:line="360" w:lineRule="auto"/>
        <w:ind w:left="7" w:right="87" w:firstLine="470" w:firstLineChars="200"/>
        <w:rPr>
          <w:rFonts w:ascii="宋体" w:hAnsi="宋体" w:eastAsia="宋体" w:cs="宋体"/>
          <w:b/>
          <w:bCs/>
          <w:spacing w:val="-3"/>
          <w:sz w:val="24"/>
        </w:rPr>
      </w:pPr>
      <w:r>
        <w:rPr>
          <w:rFonts w:hint="eastAsia" w:ascii="宋体" w:hAnsi="宋体" w:eastAsia="宋体" w:cs="宋体"/>
          <w:b/>
          <w:bCs/>
          <w:spacing w:val="-3"/>
          <w:sz w:val="24"/>
        </w:rPr>
        <w:t>四、执行单价的确定</w:t>
      </w:r>
    </w:p>
    <w:p w14:paraId="228E2893">
      <w:pPr>
        <w:snapToGrid w:val="0"/>
        <w:spacing w:before="109" w:line="360" w:lineRule="auto"/>
        <w:ind w:left="7" w:right="87" w:firstLine="468" w:firstLineChars="200"/>
        <w:rPr>
          <w:rFonts w:ascii="宋体" w:hAnsi="宋体" w:eastAsia="宋体" w:cs="宋体"/>
          <w:spacing w:val="-3"/>
          <w:sz w:val="24"/>
        </w:rPr>
      </w:pPr>
      <w:r>
        <w:rPr>
          <w:rFonts w:hint="eastAsia" w:ascii="宋体" w:hAnsi="宋体" w:eastAsia="宋体" w:cs="宋体"/>
          <w:spacing w:val="-3"/>
          <w:sz w:val="24"/>
        </w:rPr>
        <w:t>（1）甲方组建市场调研组，每</w:t>
      </w:r>
      <w:r>
        <w:rPr>
          <w:rFonts w:hint="eastAsia" w:ascii="宋体" w:hAnsi="宋体" w:eastAsia="宋体" w:cs="宋体"/>
          <w:spacing w:val="-3"/>
          <w:sz w:val="24"/>
          <w:u w:val="single"/>
        </w:rPr>
        <w:t xml:space="preserve">       </w:t>
      </w:r>
      <w:r>
        <w:rPr>
          <w:rFonts w:hint="eastAsia" w:ascii="宋体" w:hAnsi="宋体" w:eastAsia="宋体" w:cs="宋体"/>
          <w:spacing w:val="-3"/>
          <w:sz w:val="24"/>
        </w:rPr>
        <w:t>日为一个期限，确定一次执行单价，对所有所需货物进行市场询价。询价范围：本地批零市场（含超市）</w:t>
      </w:r>
    </w:p>
    <w:p w14:paraId="4CA7D326">
      <w:pPr>
        <w:snapToGrid w:val="0"/>
        <w:spacing w:before="109" w:line="360" w:lineRule="auto"/>
        <w:ind w:left="7" w:right="87" w:firstLine="470" w:firstLineChars="200"/>
        <w:rPr>
          <w:rFonts w:ascii="宋体" w:hAnsi="宋体" w:eastAsia="宋体" w:cs="宋体"/>
          <w:b/>
          <w:bCs/>
          <w:spacing w:val="-3"/>
          <w:sz w:val="24"/>
        </w:rPr>
      </w:pPr>
      <w:r>
        <w:rPr>
          <w:rFonts w:hint="eastAsia" w:ascii="宋体" w:hAnsi="宋体" w:eastAsia="宋体" w:cs="宋体"/>
          <w:b/>
          <w:bCs/>
          <w:spacing w:val="-3"/>
          <w:sz w:val="24"/>
        </w:rPr>
        <w:t>（2）综合执行单价=（三门峡市发展和改革委员会同期公布的三门峡市重要农副产品每日价格表单价×70%+供应商报价×30%）×成交折扣</w:t>
      </w:r>
    </w:p>
    <w:p w14:paraId="1DC3D979">
      <w:pPr>
        <w:snapToGrid w:val="0"/>
        <w:spacing w:before="109" w:line="360" w:lineRule="auto"/>
        <w:ind w:left="7" w:right="87" w:firstLine="468" w:firstLineChars="200"/>
        <w:rPr>
          <w:rFonts w:ascii="宋体" w:hAnsi="宋体" w:eastAsia="宋体" w:cs="宋体"/>
          <w:color w:val="000000"/>
          <w:spacing w:val="-3"/>
          <w:sz w:val="24"/>
        </w:rPr>
      </w:pPr>
      <w:r>
        <w:rPr>
          <w:rFonts w:hint="eastAsia" w:ascii="宋体" w:hAnsi="宋体" w:eastAsia="宋体" w:cs="宋体"/>
          <w:color w:val="000000"/>
          <w:spacing w:val="-3"/>
          <w:sz w:val="24"/>
        </w:rPr>
        <w:t>注：1、依据三门峡市发展和改革委员会同期公布的三门峡市重要农副产品价格表，最终确定的综合执行单价最高不得高于三门峡市发展和改革委员会同期公布的三门峡市重要农副产品价格表单价的10%。</w:t>
      </w:r>
    </w:p>
    <w:p w14:paraId="548DE4B7">
      <w:pPr>
        <w:snapToGrid w:val="0"/>
        <w:spacing w:before="109" w:line="360" w:lineRule="auto"/>
        <w:ind w:left="7" w:right="87" w:firstLine="468" w:firstLineChars="200"/>
        <w:rPr>
          <w:rFonts w:ascii="宋体" w:hAnsi="宋体" w:eastAsia="宋体" w:cs="宋体"/>
          <w:color w:val="000000"/>
          <w:spacing w:val="-3"/>
          <w:sz w:val="24"/>
        </w:rPr>
      </w:pPr>
      <w:r>
        <w:rPr>
          <w:rFonts w:hint="eastAsia" w:ascii="宋体" w:hAnsi="宋体" w:eastAsia="宋体" w:cs="宋体"/>
          <w:color w:val="000000"/>
          <w:spacing w:val="-3"/>
          <w:sz w:val="24"/>
        </w:rPr>
        <w:t>2、其中三门峡市发展和改革委员会同期公布的三门峡市重要农副产品每日价格表中存在未列明的重要农副产品，综合执行单价按照如下公式计算：</w:t>
      </w:r>
    </w:p>
    <w:p w14:paraId="29EE135D">
      <w:pPr>
        <w:snapToGrid w:val="0"/>
        <w:spacing w:before="109" w:line="360" w:lineRule="auto"/>
        <w:ind w:left="7" w:right="87" w:firstLine="468" w:firstLineChars="200"/>
        <w:rPr>
          <w:rFonts w:ascii="宋体" w:hAnsi="宋体" w:eastAsia="宋体" w:cs="宋体"/>
          <w:color w:val="000000"/>
          <w:spacing w:val="-3"/>
          <w:sz w:val="24"/>
        </w:rPr>
      </w:pPr>
      <w:r>
        <w:rPr>
          <w:rFonts w:hint="eastAsia" w:ascii="宋体" w:hAnsi="宋体" w:eastAsia="宋体" w:cs="宋体"/>
          <w:color w:val="000000"/>
          <w:spacing w:val="-3"/>
          <w:sz w:val="24"/>
        </w:rPr>
        <w:t>综合执行单价=（本地批发1市场调研单价×40%+本地批发2市场调研单价×30%+供应商报价×30%）×成交折扣</w:t>
      </w:r>
    </w:p>
    <w:p w14:paraId="28CD21B3">
      <w:pPr>
        <w:snapToGrid w:val="0"/>
        <w:spacing w:before="109" w:line="360" w:lineRule="auto"/>
        <w:ind w:left="7" w:right="87" w:firstLine="468" w:firstLineChars="200"/>
        <w:rPr>
          <w:rFonts w:ascii="宋体" w:hAnsi="宋体" w:eastAsia="宋体" w:cs="宋体"/>
          <w:color w:val="000000"/>
          <w:spacing w:val="-3"/>
          <w:sz w:val="24"/>
        </w:rPr>
      </w:pPr>
      <w:r>
        <w:rPr>
          <w:rFonts w:hint="eastAsia" w:ascii="宋体" w:hAnsi="宋体" w:eastAsia="宋体" w:cs="宋体"/>
          <w:color w:val="000000"/>
          <w:spacing w:val="-3"/>
          <w:sz w:val="24"/>
        </w:rPr>
        <w:t>（3）如遇货物价格上涨幅度较大，乙方需要调整货物供应价格，必须向甲方提交书面申请和相关证明材料。甲方对市场进行询价后，根据询价结果对申请进行审批。如确需调整价格，调整后价格由双方签字确认。</w:t>
      </w:r>
    </w:p>
    <w:p w14:paraId="64867D97">
      <w:pPr>
        <w:snapToGrid w:val="0"/>
        <w:spacing w:before="109" w:line="360" w:lineRule="auto"/>
        <w:ind w:left="7" w:right="87" w:firstLine="468" w:firstLineChars="200"/>
        <w:rPr>
          <w:rFonts w:ascii="宋体" w:hAnsi="宋体" w:eastAsia="宋体" w:cs="宋体"/>
          <w:spacing w:val="-3"/>
          <w:sz w:val="24"/>
        </w:rPr>
      </w:pPr>
      <w:r>
        <w:rPr>
          <w:rFonts w:hint="eastAsia" w:ascii="宋体" w:hAnsi="宋体" w:eastAsia="宋体" w:cs="宋体"/>
          <w:spacing w:val="-3"/>
          <w:sz w:val="24"/>
        </w:rPr>
        <w:t>（4）如市场价格下浮低于执行价格，乙方必须立即调整货物供应价格，如甲方询价结果明显低于供应价格，甲方有权对乙方进行处罚，同时按照市场下浮价格进行结算，并有权选择解除合同，要求乙方承担</w:t>
      </w:r>
      <w:r>
        <w:rPr>
          <w:rFonts w:hint="eastAsia" w:ascii="宋体" w:hAnsi="宋体" w:eastAsia="宋体" w:cs="宋体"/>
          <w:spacing w:val="-3"/>
          <w:sz w:val="24"/>
          <w:u w:val="single"/>
        </w:rPr>
        <w:t xml:space="preserve">             </w:t>
      </w:r>
      <w:r>
        <w:rPr>
          <w:rFonts w:hint="eastAsia" w:ascii="宋体" w:hAnsi="宋体" w:eastAsia="宋体" w:cs="宋体"/>
          <w:spacing w:val="-3"/>
          <w:sz w:val="24"/>
        </w:rPr>
        <w:t>元（大写：       ）的违约金，赔偿甲方损失。</w:t>
      </w:r>
    </w:p>
    <w:p w14:paraId="42B8C8F8">
      <w:pPr>
        <w:snapToGrid w:val="0"/>
        <w:spacing w:before="109" w:line="360" w:lineRule="auto"/>
        <w:ind w:left="7" w:right="87" w:firstLine="468" w:firstLineChars="200"/>
        <w:rPr>
          <w:rFonts w:ascii="宋体" w:hAnsi="宋体" w:eastAsia="宋体" w:cs="宋体"/>
          <w:spacing w:val="-3"/>
          <w:sz w:val="24"/>
        </w:rPr>
      </w:pPr>
      <w:r>
        <w:rPr>
          <w:rFonts w:hint="eastAsia" w:ascii="宋体" w:hAnsi="宋体" w:eastAsia="宋体" w:cs="宋体"/>
          <w:spacing w:val="-3"/>
          <w:sz w:val="24"/>
        </w:rPr>
        <w:t>（5）如遇国家政策变化发生价格调整，按相关规定执行。</w:t>
      </w:r>
    </w:p>
    <w:p w14:paraId="2C129E31">
      <w:pPr>
        <w:snapToGrid w:val="0"/>
        <w:spacing w:before="109" w:line="360" w:lineRule="auto"/>
        <w:ind w:left="7" w:right="87" w:firstLine="468" w:firstLineChars="200"/>
        <w:rPr>
          <w:rFonts w:ascii="宋体" w:hAnsi="宋体" w:eastAsia="宋体" w:cs="宋体"/>
          <w:color w:val="000000"/>
          <w:spacing w:val="-3"/>
          <w:sz w:val="24"/>
        </w:rPr>
      </w:pPr>
      <w:r>
        <w:rPr>
          <w:rFonts w:hint="eastAsia" w:ascii="宋体" w:hAnsi="宋体" w:eastAsia="宋体" w:cs="宋体"/>
          <w:spacing w:val="-3"/>
          <w:sz w:val="24"/>
        </w:rPr>
        <w:t>（6）确定的综合执行单价，包括货物价格、将货物运送至甲方指定地点所发生的运</w:t>
      </w:r>
      <w:r>
        <w:rPr>
          <w:rFonts w:hint="eastAsia" w:ascii="宋体" w:hAnsi="宋体" w:eastAsia="宋体" w:cs="宋体"/>
          <w:color w:val="000000"/>
          <w:spacing w:val="-3"/>
          <w:sz w:val="24"/>
        </w:rPr>
        <w:t>费、装卸费、货物调换费及所需缴纳的相关税费等费用。</w:t>
      </w:r>
    </w:p>
    <w:p w14:paraId="594FEE07">
      <w:pPr>
        <w:snapToGrid w:val="0"/>
        <w:spacing w:before="109" w:line="360" w:lineRule="auto"/>
        <w:ind w:left="7" w:right="87" w:firstLine="470" w:firstLineChars="200"/>
        <w:rPr>
          <w:rFonts w:ascii="宋体" w:hAnsi="宋体" w:eastAsia="宋体" w:cs="宋体"/>
          <w:b/>
          <w:bCs/>
          <w:color w:val="000000"/>
          <w:spacing w:val="-3"/>
          <w:sz w:val="24"/>
        </w:rPr>
      </w:pPr>
      <w:r>
        <w:rPr>
          <w:rFonts w:hint="eastAsia" w:ascii="宋体" w:hAnsi="宋体" w:eastAsia="宋体" w:cs="宋体"/>
          <w:b/>
          <w:bCs/>
          <w:color w:val="000000"/>
          <w:spacing w:val="-3"/>
          <w:sz w:val="24"/>
        </w:rPr>
        <w:t>五、款项支付</w:t>
      </w:r>
    </w:p>
    <w:p w14:paraId="45A87117">
      <w:pPr>
        <w:snapToGrid w:val="0"/>
        <w:spacing w:before="109" w:line="360" w:lineRule="auto"/>
        <w:ind w:left="7" w:right="87" w:firstLine="468" w:firstLineChars="200"/>
        <w:rPr>
          <w:rFonts w:ascii="宋体" w:hAnsi="宋体" w:eastAsia="宋体" w:cs="宋体"/>
          <w:color w:val="000000"/>
          <w:spacing w:val="-3"/>
          <w:sz w:val="24"/>
        </w:rPr>
      </w:pPr>
      <w:r>
        <w:rPr>
          <w:rFonts w:hint="eastAsia" w:ascii="宋体" w:hAnsi="宋体" w:eastAsia="宋体" w:cs="宋体"/>
          <w:color w:val="000000"/>
          <w:spacing w:val="-3"/>
          <w:sz w:val="24"/>
        </w:rPr>
        <w:t>实行月结方式进行结算，经甲方验收，每批所供物资质量均达到相关质量标准，且认真履行服务承诺，乙方根据甲方确定的综合执行单价乘以当月实际供货量计算的实际结算费用开具发票，甲方在次月内支付上月费用。若因乙方未及时提供符合要求的发票和文件，导致甲方付款迟延的，甲方不承担逾期付款的违约责任。若乙方在此期间存在违约行为，甲方在扣除相应违约金后支付当月剩余费用。</w:t>
      </w:r>
    </w:p>
    <w:p w14:paraId="658A6E97">
      <w:pPr>
        <w:snapToGrid w:val="0"/>
        <w:spacing w:before="109" w:line="360" w:lineRule="auto"/>
        <w:ind w:left="7" w:right="87" w:firstLine="470" w:firstLineChars="200"/>
        <w:rPr>
          <w:rFonts w:ascii="宋体" w:hAnsi="宋体" w:eastAsia="宋体" w:cs="宋体"/>
          <w:color w:val="FF0000"/>
          <w:spacing w:val="-3"/>
          <w:sz w:val="24"/>
        </w:rPr>
      </w:pPr>
      <w:r>
        <w:rPr>
          <w:rFonts w:hint="eastAsia" w:ascii="宋体" w:hAnsi="宋体" w:eastAsia="宋体" w:cs="宋体"/>
          <w:b/>
          <w:bCs/>
          <w:color w:val="000000"/>
          <w:spacing w:val="-3"/>
          <w:sz w:val="24"/>
        </w:rPr>
        <w:t>六、验收</w:t>
      </w:r>
    </w:p>
    <w:p w14:paraId="10DDDD1A">
      <w:pPr>
        <w:snapToGrid w:val="0"/>
        <w:spacing w:before="109" w:line="360" w:lineRule="auto"/>
        <w:ind w:left="7" w:right="87" w:firstLine="468" w:firstLineChars="200"/>
        <w:rPr>
          <w:rFonts w:ascii="宋体" w:hAnsi="宋体" w:eastAsia="宋体" w:cs="宋体"/>
          <w:color w:val="000000"/>
          <w:spacing w:val="-3"/>
          <w:sz w:val="24"/>
        </w:rPr>
      </w:pPr>
      <w:r>
        <w:rPr>
          <w:rFonts w:hint="eastAsia" w:ascii="宋体" w:hAnsi="宋体" w:eastAsia="宋体" w:cs="宋体"/>
          <w:color w:val="000000"/>
          <w:spacing w:val="-3"/>
          <w:sz w:val="24"/>
        </w:rPr>
        <w:t>1．初验：甲方对所供货物进行初验，初验包括但不限于对所供货物的品牌、数量、包装、生产日期、质量检测合格报告、许可证等证明文件进行验收，并做相应记录。经验收，所供货物品牌、规格、数量、生产厂家等与当批次所供货物清单一致，证明材料齐全的，即为初验合格。</w:t>
      </w:r>
    </w:p>
    <w:p w14:paraId="05034372">
      <w:pPr>
        <w:snapToGrid w:val="0"/>
        <w:spacing w:before="109" w:line="360" w:lineRule="auto"/>
        <w:ind w:left="7" w:right="87" w:firstLine="468" w:firstLineChars="200"/>
        <w:rPr>
          <w:rFonts w:ascii="宋体" w:hAnsi="宋体" w:eastAsia="宋体" w:cs="宋体"/>
          <w:color w:val="000000"/>
          <w:spacing w:val="-3"/>
          <w:sz w:val="24"/>
        </w:rPr>
      </w:pPr>
      <w:r>
        <w:rPr>
          <w:rFonts w:hint="eastAsia" w:ascii="宋体" w:hAnsi="宋体" w:eastAsia="宋体" w:cs="宋体"/>
          <w:color w:val="000000"/>
          <w:spacing w:val="-3"/>
          <w:sz w:val="24"/>
        </w:rPr>
        <w:t>2．技术验收：对所供货物初验合格后，对所供货物通过称量、观色、闻味、品尝等方式进行验收，根据国家相关标准进行验收，并对所供货物各项指标均达到国家质量标准并做相应记录。若全部符合响应文件中的技术指标要求，即为验收合格。</w:t>
      </w:r>
    </w:p>
    <w:p w14:paraId="71A72CBD">
      <w:pPr>
        <w:snapToGrid w:val="0"/>
        <w:spacing w:before="109" w:line="360" w:lineRule="auto"/>
        <w:ind w:left="7" w:right="87" w:firstLine="468" w:firstLineChars="200"/>
        <w:rPr>
          <w:rFonts w:ascii="宋体" w:hAnsi="宋体" w:eastAsia="宋体" w:cs="宋体"/>
          <w:color w:val="000000"/>
          <w:spacing w:val="-3"/>
          <w:sz w:val="24"/>
        </w:rPr>
      </w:pPr>
      <w:r>
        <w:rPr>
          <w:rFonts w:hint="eastAsia" w:ascii="宋体" w:hAnsi="宋体" w:eastAsia="宋体" w:cs="宋体"/>
          <w:color w:val="000000"/>
          <w:spacing w:val="-3"/>
          <w:sz w:val="24"/>
        </w:rPr>
        <w:t>3．抽检：甲方随机抽取所供货物，进行质检，若货物质检报告和乙方提供的货物质检报告一致，即为验收合格。</w:t>
      </w:r>
    </w:p>
    <w:p w14:paraId="11AE1289">
      <w:pPr>
        <w:snapToGrid w:val="0"/>
        <w:spacing w:before="109" w:line="360" w:lineRule="auto"/>
        <w:ind w:left="7" w:right="87" w:firstLine="468" w:firstLineChars="200"/>
        <w:rPr>
          <w:rFonts w:ascii="宋体" w:hAnsi="宋体" w:eastAsia="宋体" w:cs="宋体"/>
          <w:color w:val="000000"/>
          <w:spacing w:val="-3"/>
          <w:sz w:val="24"/>
        </w:rPr>
      </w:pPr>
      <w:r>
        <w:rPr>
          <w:rFonts w:hint="eastAsia" w:ascii="宋体" w:hAnsi="宋体" w:eastAsia="宋体" w:cs="宋体"/>
          <w:color w:val="000000"/>
          <w:spacing w:val="-3"/>
          <w:sz w:val="24"/>
        </w:rPr>
        <w:t>4.验收结果：若验收结果完全符合乙方响应文件中技术指标或相关执行标准，经验收组成员签字后，验收结束，并将验收结果通知乙方。否则，以书面形式通知乙方在规定时间内进行整改。</w:t>
      </w:r>
    </w:p>
    <w:p w14:paraId="3F7E3498">
      <w:pPr>
        <w:snapToGrid w:val="0"/>
        <w:spacing w:before="109" w:line="360" w:lineRule="auto"/>
        <w:ind w:left="7" w:right="87" w:firstLine="468" w:firstLineChars="200"/>
        <w:rPr>
          <w:rFonts w:ascii="宋体" w:hAnsi="宋体" w:eastAsia="宋体" w:cs="宋体"/>
          <w:color w:val="000000"/>
          <w:spacing w:val="-3"/>
          <w:sz w:val="24"/>
        </w:rPr>
      </w:pPr>
      <w:r>
        <w:rPr>
          <w:rFonts w:hint="eastAsia" w:ascii="宋体" w:hAnsi="宋体" w:eastAsia="宋体" w:cs="宋体"/>
          <w:color w:val="000000"/>
          <w:spacing w:val="-3"/>
          <w:sz w:val="24"/>
        </w:rPr>
        <w:t>5.甲方验收合格的结果仅表明货物在外观、数量、型号、规格上完好无缺失的证明及乙方履行其交货义务的必要证据，验收合格报告的签署不使甲方丧失因质量问题而向乙方索赔或求偿的权利，同时不免除乙方对于货物质量缺陷或瑕疵负有的责任。</w:t>
      </w:r>
    </w:p>
    <w:p w14:paraId="14C799F2">
      <w:pPr>
        <w:snapToGrid w:val="0"/>
        <w:spacing w:before="109" w:line="360" w:lineRule="auto"/>
        <w:ind w:left="7" w:right="87" w:firstLine="470" w:firstLineChars="200"/>
        <w:rPr>
          <w:rFonts w:ascii="宋体" w:hAnsi="宋体" w:eastAsia="宋体" w:cs="宋体"/>
          <w:b/>
          <w:bCs/>
          <w:color w:val="000000"/>
          <w:spacing w:val="-3"/>
          <w:sz w:val="24"/>
        </w:rPr>
      </w:pPr>
      <w:r>
        <w:rPr>
          <w:rFonts w:hint="eastAsia" w:ascii="宋体" w:hAnsi="宋体" w:eastAsia="宋体" w:cs="宋体"/>
          <w:b/>
          <w:bCs/>
          <w:color w:val="000000"/>
          <w:spacing w:val="-3"/>
          <w:sz w:val="24"/>
        </w:rPr>
        <w:t>七、甲方的责任与义务</w:t>
      </w:r>
    </w:p>
    <w:p w14:paraId="40BB8752">
      <w:pPr>
        <w:snapToGrid w:val="0"/>
        <w:spacing w:before="109" w:line="360" w:lineRule="auto"/>
        <w:ind w:left="7" w:right="87" w:firstLine="468" w:firstLineChars="200"/>
        <w:rPr>
          <w:rFonts w:ascii="宋体" w:hAnsi="宋体" w:eastAsia="宋体" w:cs="宋体"/>
          <w:color w:val="000000"/>
          <w:spacing w:val="-3"/>
          <w:sz w:val="24"/>
        </w:rPr>
      </w:pPr>
      <w:r>
        <w:rPr>
          <w:rFonts w:hint="eastAsia" w:ascii="宋体" w:hAnsi="宋体" w:eastAsia="宋体" w:cs="宋体"/>
          <w:color w:val="000000"/>
          <w:spacing w:val="-3"/>
          <w:sz w:val="24"/>
        </w:rPr>
        <w:t>1. 甲方根据实际需求，将供货计划提前至少1天通知乙方，供货计划包括货物品种、数量、配送地点、送达时间等信息。</w:t>
      </w:r>
    </w:p>
    <w:p w14:paraId="7289E4B6">
      <w:pPr>
        <w:snapToGrid w:val="0"/>
        <w:spacing w:before="109" w:line="360" w:lineRule="auto"/>
        <w:ind w:left="7" w:right="87" w:firstLine="468" w:firstLineChars="200"/>
        <w:rPr>
          <w:rFonts w:ascii="宋体" w:hAnsi="宋体" w:eastAsia="宋体" w:cs="宋体"/>
          <w:color w:val="000000"/>
          <w:spacing w:val="-3"/>
          <w:sz w:val="24"/>
        </w:rPr>
      </w:pPr>
      <w:r>
        <w:rPr>
          <w:rFonts w:hint="eastAsia" w:ascii="宋体" w:hAnsi="宋体" w:eastAsia="宋体" w:cs="宋体"/>
          <w:color w:val="000000"/>
          <w:spacing w:val="-3"/>
          <w:sz w:val="24"/>
        </w:rPr>
        <w:t>2．负责对所送达的货物进行称量，根据采购需求、乙方响应文件承诺和国家相关质量标准进行验收，按类摆放入库，并按照相关储存要求进行储存。</w:t>
      </w:r>
    </w:p>
    <w:p w14:paraId="199944FA">
      <w:pPr>
        <w:snapToGrid w:val="0"/>
        <w:spacing w:before="109" w:line="360" w:lineRule="auto"/>
        <w:ind w:left="7" w:right="87" w:firstLine="468" w:firstLineChars="200"/>
        <w:rPr>
          <w:rFonts w:ascii="宋体" w:hAnsi="宋体" w:eastAsia="宋体" w:cs="宋体"/>
          <w:color w:val="000000"/>
          <w:spacing w:val="-3"/>
          <w:sz w:val="24"/>
        </w:rPr>
      </w:pPr>
      <w:r>
        <w:rPr>
          <w:rFonts w:hint="eastAsia" w:ascii="宋体" w:hAnsi="宋体" w:eastAsia="宋体" w:cs="宋体"/>
          <w:color w:val="000000"/>
          <w:spacing w:val="-3"/>
          <w:sz w:val="24"/>
        </w:rPr>
        <w:t>3．负责对各类货物现行价格进行市场询价、并核定综合单价。</w:t>
      </w:r>
    </w:p>
    <w:p w14:paraId="589F2C01">
      <w:pPr>
        <w:snapToGrid w:val="0"/>
        <w:spacing w:before="109" w:line="360" w:lineRule="auto"/>
        <w:ind w:left="7" w:right="87" w:firstLine="468" w:firstLineChars="200"/>
        <w:rPr>
          <w:rFonts w:ascii="宋体" w:hAnsi="宋体" w:eastAsia="宋体" w:cs="宋体"/>
          <w:color w:val="000000"/>
          <w:spacing w:val="-3"/>
          <w:sz w:val="24"/>
        </w:rPr>
      </w:pPr>
      <w:r>
        <w:rPr>
          <w:rFonts w:hint="eastAsia" w:ascii="宋体" w:hAnsi="宋体" w:eastAsia="宋体" w:cs="宋体"/>
          <w:color w:val="000000"/>
          <w:spacing w:val="-3"/>
          <w:sz w:val="24"/>
        </w:rPr>
        <w:t>4．负责对每批查验货物的相关验收证明文件存档。</w:t>
      </w:r>
    </w:p>
    <w:p w14:paraId="6EE26AD4">
      <w:pPr>
        <w:snapToGrid w:val="0"/>
        <w:spacing w:before="109" w:line="360" w:lineRule="auto"/>
        <w:ind w:left="7" w:right="87" w:firstLine="468" w:firstLineChars="200"/>
        <w:rPr>
          <w:rFonts w:ascii="宋体" w:hAnsi="宋体" w:eastAsia="宋体" w:cs="宋体"/>
          <w:color w:val="000000"/>
          <w:spacing w:val="-3"/>
          <w:sz w:val="24"/>
        </w:rPr>
      </w:pPr>
      <w:r>
        <w:rPr>
          <w:rFonts w:hint="eastAsia" w:ascii="宋体" w:hAnsi="宋体" w:eastAsia="宋体" w:cs="宋体"/>
          <w:color w:val="000000"/>
          <w:spacing w:val="-3"/>
          <w:sz w:val="24"/>
        </w:rPr>
        <w:t>5．甲方对乙方所供货物保质期不符合乙方响应文件承诺的或质量不符合乙方响应文件或相关承诺中技术指标的货物有权拒收，并要求乙方在指定的时间内重新提供合格货物，由此造成的损失由乙方承担。</w:t>
      </w:r>
    </w:p>
    <w:p w14:paraId="1D1AF3C5">
      <w:pPr>
        <w:snapToGrid w:val="0"/>
        <w:spacing w:before="109" w:line="360" w:lineRule="auto"/>
        <w:ind w:left="7" w:right="87" w:firstLine="468" w:firstLineChars="200"/>
        <w:rPr>
          <w:rFonts w:ascii="宋体" w:hAnsi="宋体" w:eastAsia="宋体" w:cs="宋体"/>
          <w:color w:val="000000"/>
          <w:spacing w:val="-3"/>
          <w:sz w:val="24"/>
        </w:rPr>
      </w:pPr>
      <w:r>
        <w:rPr>
          <w:rFonts w:hint="eastAsia" w:ascii="宋体" w:hAnsi="宋体" w:eastAsia="宋体" w:cs="宋体"/>
          <w:color w:val="000000"/>
          <w:spacing w:val="-3"/>
          <w:sz w:val="24"/>
        </w:rPr>
        <w:t>6．负责按合同约定的方式支付货款。</w:t>
      </w:r>
    </w:p>
    <w:p w14:paraId="56D71DC9">
      <w:pPr>
        <w:snapToGrid w:val="0"/>
        <w:spacing w:before="109" w:line="360" w:lineRule="auto"/>
        <w:ind w:left="7" w:right="87" w:firstLine="468" w:firstLineChars="200"/>
        <w:rPr>
          <w:rFonts w:ascii="宋体" w:hAnsi="宋体" w:eastAsia="宋体" w:cs="宋体"/>
          <w:color w:val="000000"/>
          <w:spacing w:val="-3"/>
          <w:sz w:val="24"/>
        </w:rPr>
      </w:pPr>
      <w:r>
        <w:rPr>
          <w:rFonts w:hint="eastAsia" w:ascii="宋体" w:hAnsi="宋体" w:eastAsia="宋体" w:cs="宋体"/>
          <w:color w:val="000000"/>
          <w:spacing w:val="-3"/>
          <w:sz w:val="24"/>
        </w:rPr>
        <w:t>7．负责对所供货物进行分发。</w:t>
      </w:r>
    </w:p>
    <w:p w14:paraId="1831164D">
      <w:pPr>
        <w:snapToGrid w:val="0"/>
        <w:spacing w:before="109" w:line="360" w:lineRule="auto"/>
        <w:ind w:left="7" w:right="87" w:firstLine="468" w:firstLineChars="200"/>
        <w:rPr>
          <w:rFonts w:ascii="宋体" w:hAnsi="宋体" w:eastAsia="宋体" w:cs="宋体"/>
          <w:color w:val="000000"/>
          <w:spacing w:val="-3"/>
          <w:sz w:val="24"/>
        </w:rPr>
      </w:pPr>
      <w:r>
        <w:rPr>
          <w:rFonts w:hint="eastAsia" w:ascii="宋体" w:hAnsi="宋体" w:eastAsia="宋体" w:cs="宋体"/>
          <w:color w:val="000000"/>
          <w:spacing w:val="-3"/>
          <w:sz w:val="24"/>
        </w:rPr>
        <w:t>8．因乙方供应货物的质量问题或乙方工作中的其它问题，而导致甲方出现食品安全的任何问题或者造成甲方工作人员受到职能部门处罚、被负面报道、引发群体性事件的，甲方有权立即解除合同，要求乙方承担</w:t>
      </w:r>
      <w:r>
        <w:rPr>
          <w:rFonts w:hint="eastAsia" w:ascii="宋体" w:hAnsi="宋体" w:eastAsia="宋体" w:cs="宋体"/>
          <w:color w:val="000000"/>
          <w:spacing w:val="-3"/>
          <w:sz w:val="24"/>
          <w:u w:val="single"/>
        </w:rPr>
        <w:t xml:space="preserve">      </w:t>
      </w:r>
      <w:r>
        <w:rPr>
          <w:rFonts w:hint="eastAsia" w:ascii="宋体" w:hAnsi="宋体" w:eastAsia="宋体" w:cs="宋体"/>
          <w:color w:val="000000"/>
          <w:spacing w:val="-3"/>
          <w:sz w:val="24"/>
        </w:rPr>
        <w:t>元（大写：）的违约金，同时赔偿甲方、甲方人员、受害人因此遭受的全部损失（包括但不限于直接经济损失、可得利益损失、律师费、诉讼费、鉴定费等合理费用）。</w:t>
      </w:r>
    </w:p>
    <w:p w14:paraId="64301C4E">
      <w:pPr>
        <w:snapToGrid w:val="0"/>
        <w:spacing w:before="109" w:line="360" w:lineRule="auto"/>
        <w:ind w:left="7" w:right="87" w:firstLine="468" w:firstLineChars="200"/>
        <w:rPr>
          <w:rFonts w:ascii="宋体" w:hAnsi="宋体" w:eastAsia="宋体" w:cs="宋体"/>
          <w:color w:val="000000"/>
          <w:spacing w:val="-3"/>
          <w:sz w:val="24"/>
        </w:rPr>
      </w:pPr>
      <w:r>
        <w:rPr>
          <w:rFonts w:hint="eastAsia" w:ascii="宋体" w:hAnsi="宋体" w:eastAsia="宋体" w:cs="宋体"/>
          <w:color w:val="000000"/>
          <w:spacing w:val="-3"/>
          <w:sz w:val="24"/>
        </w:rPr>
        <w:t>9.对综合执行单价负有解释权和执行权。</w:t>
      </w:r>
    </w:p>
    <w:p w14:paraId="06FDAFCC">
      <w:pPr>
        <w:snapToGrid w:val="0"/>
        <w:spacing w:before="109" w:line="360" w:lineRule="auto"/>
        <w:ind w:left="7" w:right="87" w:firstLine="470" w:firstLineChars="200"/>
        <w:rPr>
          <w:rFonts w:ascii="宋体" w:hAnsi="宋体" w:eastAsia="宋体" w:cs="宋体"/>
          <w:b/>
          <w:bCs/>
          <w:color w:val="000000"/>
          <w:spacing w:val="-3"/>
          <w:sz w:val="24"/>
        </w:rPr>
      </w:pPr>
      <w:r>
        <w:rPr>
          <w:rFonts w:hint="eastAsia" w:ascii="宋体" w:hAnsi="宋体" w:eastAsia="宋体" w:cs="宋体"/>
          <w:b/>
          <w:bCs/>
          <w:color w:val="000000"/>
          <w:spacing w:val="-3"/>
          <w:sz w:val="24"/>
        </w:rPr>
        <w:t>八、乙方的权利与义务</w:t>
      </w:r>
    </w:p>
    <w:p w14:paraId="277A7C7E">
      <w:pPr>
        <w:snapToGrid w:val="0"/>
        <w:spacing w:before="109" w:line="360" w:lineRule="auto"/>
        <w:ind w:left="7" w:right="87" w:firstLine="468" w:firstLineChars="200"/>
        <w:rPr>
          <w:rFonts w:ascii="宋体" w:hAnsi="宋体" w:eastAsia="宋体" w:cs="宋体"/>
          <w:color w:val="000000"/>
          <w:spacing w:val="-3"/>
          <w:sz w:val="24"/>
        </w:rPr>
      </w:pPr>
      <w:r>
        <w:rPr>
          <w:rFonts w:hint="eastAsia" w:ascii="宋体" w:hAnsi="宋体" w:eastAsia="宋体" w:cs="宋体"/>
          <w:color w:val="000000"/>
          <w:spacing w:val="-3"/>
          <w:sz w:val="24"/>
        </w:rPr>
        <w:t>1．乙方在接到甲方通知后应及时组织货源，并在指定时间内按甲方要求免费送到指定位置。</w:t>
      </w:r>
    </w:p>
    <w:p w14:paraId="39ADEED6">
      <w:pPr>
        <w:snapToGrid w:val="0"/>
        <w:spacing w:before="109" w:line="360" w:lineRule="auto"/>
        <w:ind w:left="7" w:right="87" w:firstLine="468" w:firstLineChars="200"/>
        <w:rPr>
          <w:rFonts w:ascii="宋体" w:hAnsi="宋体" w:eastAsia="宋体" w:cs="宋体"/>
          <w:color w:val="000000"/>
          <w:spacing w:val="-3"/>
          <w:sz w:val="24"/>
        </w:rPr>
      </w:pPr>
      <w:r>
        <w:rPr>
          <w:rFonts w:hint="eastAsia" w:ascii="宋体" w:hAnsi="宋体" w:eastAsia="宋体" w:cs="宋体"/>
          <w:color w:val="000000"/>
          <w:spacing w:val="-3"/>
          <w:sz w:val="24"/>
        </w:rPr>
        <w:t>2．乙方保证所供货物完全符合《中华人民共和国动物防疫法》、国家食品安全卫生标准和相关质量标准，并按要求提供每批次货物质量检验合格证明文件。</w:t>
      </w:r>
    </w:p>
    <w:p w14:paraId="20F56C9C">
      <w:pPr>
        <w:snapToGrid w:val="0"/>
        <w:spacing w:before="109" w:line="360" w:lineRule="auto"/>
        <w:ind w:left="7" w:right="87" w:firstLine="468" w:firstLineChars="200"/>
        <w:rPr>
          <w:rFonts w:ascii="宋体" w:hAnsi="宋体" w:eastAsia="宋体" w:cs="宋体"/>
          <w:color w:val="000000"/>
          <w:spacing w:val="-3"/>
          <w:sz w:val="24"/>
        </w:rPr>
      </w:pPr>
      <w:r>
        <w:rPr>
          <w:rFonts w:hint="eastAsia" w:ascii="宋体" w:hAnsi="宋体" w:eastAsia="宋体" w:cs="宋体"/>
          <w:color w:val="000000"/>
          <w:spacing w:val="-3"/>
          <w:sz w:val="24"/>
        </w:rPr>
        <w:t>3. 保证所供货物新鲜、不腐烂、不变质。</w:t>
      </w:r>
    </w:p>
    <w:p w14:paraId="1C2D3C4A">
      <w:pPr>
        <w:snapToGrid w:val="0"/>
        <w:spacing w:before="109" w:line="360" w:lineRule="auto"/>
        <w:ind w:left="7" w:right="87" w:firstLine="468" w:firstLineChars="200"/>
        <w:rPr>
          <w:rFonts w:ascii="宋体" w:hAnsi="宋体" w:eastAsia="宋体" w:cs="宋体"/>
          <w:color w:val="000000"/>
          <w:spacing w:val="-3"/>
          <w:sz w:val="24"/>
        </w:rPr>
      </w:pPr>
      <w:r>
        <w:rPr>
          <w:rFonts w:hint="eastAsia" w:ascii="宋体" w:hAnsi="宋体" w:eastAsia="宋体" w:cs="宋体"/>
          <w:color w:val="000000"/>
          <w:spacing w:val="-3"/>
          <w:sz w:val="24"/>
        </w:rPr>
        <w:t>4. 乙方保证使用国家规定的保障运输货物安全的运输工具，包装符合国家食品包装要求，保证运输过程中货物之间不发生交叉污染、不变质。在运送过程中所发生的一切责任事故，均由乙方承担。</w:t>
      </w:r>
    </w:p>
    <w:p w14:paraId="419D439A">
      <w:pPr>
        <w:snapToGrid w:val="0"/>
        <w:spacing w:before="109" w:line="360" w:lineRule="auto"/>
        <w:ind w:left="7" w:right="87" w:firstLine="468" w:firstLineChars="200"/>
        <w:rPr>
          <w:rFonts w:ascii="宋体" w:hAnsi="宋体" w:eastAsia="宋体" w:cs="宋体"/>
          <w:color w:val="000000"/>
          <w:spacing w:val="-3"/>
          <w:sz w:val="24"/>
        </w:rPr>
      </w:pPr>
      <w:r>
        <w:rPr>
          <w:rFonts w:hint="eastAsia" w:ascii="宋体" w:hAnsi="宋体" w:eastAsia="宋体" w:cs="宋体"/>
          <w:color w:val="000000"/>
          <w:spacing w:val="-3"/>
          <w:sz w:val="24"/>
        </w:rPr>
        <w:t>5．乙方保证所供食品原材料保质期不低于原保质期的</w:t>
      </w:r>
      <w:r>
        <w:rPr>
          <w:rFonts w:hint="eastAsia" w:ascii="宋体" w:hAnsi="宋体" w:eastAsia="宋体" w:cs="宋体"/>
          <w:color w:val="000000"/>
          <w:spacing w:val="-3"/>
          <w:sz w:val="24"/>
          <w:u w:val="single"/>
        </w:rPr>
        <w:t xml:space="preserve">         </w:t>
      </w:r>
      <w:r>
        <w:rPr>
          <w:rFonts w:hint="eastAsia" w:ascii="宋体" w:hAnsi="宋体" w:eastAsia="宋体" w:cs="宋体"/>
          <w:color w:val="000000"/>
          <w:spacing w:val="-3"/>
          <w:sz w:val="24"/>
        </w:rPr>
        <w:t>。</w:t>
      </w:r>
    </w:p>
    <w:p w14:paraId="04B96BBA">
      <w:pPr>
        <w:snapToGrid w:val="0"/>
        <w:spacing w:before="109" w:line="360" w:lineRule="auto"/>
        <w:ind w:left="7" w:right="87" w:firstLine="468" w:firstLineChars="200"/>
        <w:rPr>
          <w:rFonts w:ascii="宋体" w:hAnsi="宋体" w:eastAsia="宋体" w:cs="宋体"/>
          <w:color w:val="000000"/>
          <w:spacing w:val="-3"/>
          <w:sz w:val="24"/>
        </w:rPr>
      </w:pPr>
      <w:r>
        <w:rPr>
          <w:rFonts w:hint="eastAsia" w:ascii="宋体" w:hAnsi="宋体" w:eastAsia="宋体" w:cs="宋体"/>
          <w:color w:val="000000"/>
          <w:spacing w:val="-3"/>
          <w:sz w:val="24"/>
        </w:rPr>
        <w:t>6. 乙方如遇货源紧张或无法提供甲方所需货物时，应在供货期</w:t>
      </w:r>
      <w:r>
        <w:rPr>
          <w:rFonts w:hint="eastAsia" w:ascii="宋体" w:hAnsi="宋体" w:eastAsia="宋体" w:cs="宋体"/>
          <w:color w:val="000000"/>
          <w:spacing w:val="-3"/>
          <w:sz w:val="24"/>
          <w:u w:val="single"/>
        </w:rPr>
        <w:t xml:space="preserve">     </w:t>
      </w:r>
      <w:r>
        <w:rPr>
          <w:rFonts w:hint="eastAsia" w:ascii="宋体" w:hAnsi="宋体" w:eastAsia="宋体" w:cs="宋体"/>
          <w:color w:val="000000"/>
          <w:spacing w:val="-3"/>
          <w:sz w:val="24"/>
        </w:rPr>
        <w:t>小时前通知甲方，以便甲方提前备货，避免因不能供货造成的损失。</w:t>
      </w:r>
    </w:p>
    <w:p w14:paraId="495792F2">
      <w:pPr>
        <w:snapToGrid w:val="0"/>
        <w:spacing w:before="109" w:line="360" w:lineRule="auto"/>
        <w:ind w:left="7" w:right="87" w:firstLine="468" w:firstLineChars="200"/>
        <w:rPr>
          <w:rFonts w:ascii="宋体" w:hAnsi="宋体" w:eastAsia="宋体" w:cs="宋体"/>
          <w:color w:val="000000"/>
          <w:spacing w:val="-3"/>
          <w:sz w:val="24"/>
        </w:rPr>
      </w:pPr>
      <w:r>
        <w:rPr>
          <w:rFonts w:hint="eastAsia" w:ascii="宋体" w:hAnsi="宋体" w:eastAsia="宋体" w:cs="宋体"/>
          <w:color w:val="000000"/>
          <w:spacing w:val="-3"/>
          <w:sz w:val="24"/>
        </w:rPr>
        <w:t>7．乙方按甲方要求，除对现行价格按期进行申报外，有权对综合执行单价提出异议。</w:t>
      </w:r>
    </w:p>
    <w:p w14:paraId="275D702C">
      <w:pPr>
        <w:snapToGrid w:val="0"/>
        <w:spacing w:before="109" w:line="360" w:lineRule="auto"/>
        <w:ind w:left="7" w:right="87" w:firstLine="468" w:firstLineChars="200"/>
        <w:rPr>
          <w:rFonts w:ascii="宋体" w:hAnsi="宋体" w:eastAsia="宋体" w:cs="宋体"/>
          <w:color w:val="000000"/>
          <w:spacing w:val="-3"/>
          <w:sz w:val="24"/>
        </w:rPr>
      </w:pPr>
      <w:r>
        <w:rPr>
          <w:rFonts w:hint="eastAsia" w:ascii="宋体" w:hAnsi="宋体" w:eastAsia="宋体" w:cs="宋体"/>
          <w:color w:val="000000"/>
          <w:spacing w:val="-3"/>
          <w:sz w:val="24"/>
        </w:rPr>
        <w:t>8．因乙方供应货物的质量问题或乙方工作中的其它问题，而导致甲方出现食品安全的任何问题，或者造成甲方工作人员受到职能部门处罚、被负面报道、引发群体性事件的，乙方承担由此造成的一切经济损失与法律责任。</w:t>
      </w:r>
    </w:p>
    <w:p w14:paraId="57031847">
      <w:pPr>
        <w:snapToGrid w:val="0"/>
        <w:spacing w:before="109" w:line="360" w:lineRule="auto"/>
        <w:ind w:left="7" w:right="87" w:firstLine="468" w:firstLineChars="200"/>
        <w:rPr>
          <w:rFonts w:ascii="宋体" w:hAnsi="宋体" w:eastAsia="宋体" w:cs="宋体"/>
          <w:color w:val="000000"/>
          <w:spacing w:val="-3"/>
          <w:sz w:val="24"/>
        </w:rPr>
      </w:pPr>
      <w:r>
        <w:rPr>
          <w:rFonts w:hint="eastAsia" w:ascii="宋体" w:hAnsi="宋体" w:eastAsia="宋体" w:cs="宋体"/>
          <w:color w:val="000000"/>
          <w:spacing w:val="-3"/>
          <w:sz w:val="24"/>
        </w:rPr>
        <w:t>9．所供货物存在不符合响应文件技术指标要求或不能按合同规定时间供货或出现“三无”产品等任何问题，按本合同相关约定承担相应的违约责任。</w:t>
      </w:r>
    </w:p>
    <w:p w14:paraId="40759139">
      <w:pPr>
        <w:snapToGrid w:val="0"/>
        <w:spacing w:before="109" w:line="360" w:lineRule="auto"/>
        <w:ind w:left="7" w:right="87" w:firstLine="468" w:firstLineChars="200"/>
        <w:rPr>
          <w:rFonts w:ascii="宋体" w:hAnsi="宋体" w:eastAsia="宋体" w:cs="宋体"/>
          <w:color w:val="000000"/>
          <w:spacing w:val="-3"/>
          <w:sz w:val="24"/>
        </w:rPr>
      </w:pPr>
      <w:r>
        <w:rPr>
          <w:rFonts w:hint="eastAsia" w:ascii="宋体" w:hAnsi="宋体" w:eastAsia="宋体" w:cs="宋体"/>
          <w:color w:val="000000"/>
          <w:spacing w:val="-3"/>
          <w:sz w:val="24"/>
        </w:rPr>
        <w:t>10．配合甲方完成所供货物的验收。</w:t>
      </w:r>
    </w:p>
    <w:p w14:paraId="79DCB7C4">
      <w:pPr>
        <w:snapToGrid w:val="0"/>
        <w:spacing w:before="109" w:line="360" w:lineRule="auto"/>
        <w:ind w:left="7" w:right="87" w:firstLine="468" w:firstLineChars="200"/>
        <w:rPr>
          <w:rFonts w:ascii="宋体" w:hAnsi="宋体" w:eastAsia="宋体" w:cs="宋体"/>
          <w:color w:val="000000"/>
          <w:spacing w:val="-3"/>
          <w:sz w:val="24"/>
        </w:rPr>
      </w:pPr>
      <w:r>
        <w:rPr>
          <w:rFonts w:hint="eastAsia" w:ascii="宋体" w:hAnsi="宋体" w:eastAsia="宋体" w:cs="宋体"/>
          <w:color w:val="000000"/>
          <w:spacing w:val="-3"/>
          <w:sz w:val="24"/>
        </w:rPr>
        <w:t>11．乙方人员（包括受乙方委托提供送货、安装、调试等服务的人员）应提供安全、专业的服务，如在送货、安装、调试过程中造成乙方及乙方服务人员自身、甲方及甲方人员或者任何第三方的人身或财产损害，应由乙方自行承担责任。乙方及乙方人员不得以甲方人员的指示作为减轻或不承担责任的理由；如甲方人员的指示存在安全风险，则乙方及乙方人员应拒绝执行并说明理由。</w:t>
      </w:r>
    </w:p>
    <w:p w14:paraId="759D48CB">
      <w:pPr>
        <w:snapToGrid w:val="0"/>
        <w:spacing w:before="109" w:line="360" w:lineRule="auto"/>
        <w:ind w:left="7" w:right="87" w:firstLine="470" w:firstLineChars="200"/>
        <w:rPr>
          <w:rFonts w:ascii="宋体" w:hAnsi="宋体" w:eastAsia="宋体" w:cs="宋体"/>
          <w:b/>
          <w:bCs/>
          <w:color w:val="000000"/>
          <w:spacing w:val="-3"/>
          <w:sz w:val="24"/>
        </w:rPr>
      </w:pPr>
      <w:r>
        <w:rPr>
          <w:rFonts w:hint="eastAsia" w:ascii="宋体" w:hAnsi="宋体" w:eastAsia="宋体" w:cs="宋体"/>
          <w:b/>
          <w:bCs/>
          <w:color w:val="000000"/>
          <w:spacing w:val="-3"/>
          <w:sz w:val="24"/>
        </w:rPr>
        <w:t>九、甲方违约责任</w:t>
      </w:r>
    </w:p>
    <w:p w14:paraId="1B01BBDE">
      <w:pPr>
        <w:snapToGrid w:val="0"/>
        <w:spacing w:before="109" w:line="360" w:lineRule="auto"/>
        <w:ind w:left="7" w:right="87" w:firstLine="468" w:firstLineChars="200"/>
        <w:rPr>
          <w:rFonts w:ascii="宋体" w:hAnsi="宋体" w:eastAsia="宋体" w:cs="宋体"/>
          <w:color w:val="000000"/>
          <w:spacing w:val="-3"/>
          <w:sz w:val="24"/>
        </w:rPr>
      </w:pPr>
      <w:r>
        <w:rPr>
          <w:rFonts w:hint="eastAsia" w:ascii="宋体" w:hAnsi="宋体" w:eastAsia="宋体" w:cs="宋体"/>
          <w:color w:val="000000"/>
          <w:spacing w:val="-3"/>
          <w:sz w:val="24"/>
        </w:rPr>
        <w:t>1. 甲方无正当理由拒收合同内货物的，甲方向乙方偿付当次货物金额5%的违约金。</w:t>
      </w:r>
    </w:p>
    <w:p w14:paraId="0A2AE6D9">
      <w:pPr>
        <w:snapToGrid w:val="0"/>
        <w:spacing w:before="109" w:line="360" w:lineRule="auto"/>
        <w:ind w:left="7" w:right="87" w:firstLine="468" w:firstLineChars="200"/>
        <w:rPr>
          <w:rFonts w:ascii="宋体" w:hAnsi="宋体" w:eastAsia="宋体" w:cs="宋体"/>
          <w:color w:val="000000"/>
          <w:spacing w:val="-3"/>
          <w:sz w:val="24"/>
        </w:rPr>
      </w:pPr>
      <w:r>
        <w:rPr>
          <w:rFonts w:hint="eastAsia" w:ascii="宋体" w:hAnsi="宋体" w:eastAsia="宋体" w:cs="宋体"/>
          <w:color w:val="000000"/>
          <w:spacing w:val="-3"/>
          <w:sz w:val="24"/>
        </w:rPr>
        <w:t>2. 因甲方变更到货地点，未及时通知乙方，给乙方造成经济损失的，所增加费用由甲方承担。</w:t>
      </w:r>
    </w:p>
    <w:p w14:paraId="03E3231F">
      <w:pPr>
        <w:snapToGrid w:val="0"/>
        <w:spacing w:before="109" w:line="360" w:lineRule="auto"/>
        <w:ind w:left="7" w:right="87" w:firstLine="468" w:firstLineChars="200"/>
        <w:rPr>
          <w:rFonts w:ascii="宋体" w:hAnsi="宋体" w:eastAsia="宋体" w:cs="宋体"/>
          <w:color w:val="000000"/>
          <w:spacing w:val="-3"/>
          <w:sz w:val="24"/>
        </w:rPr>
      </w:pPr>
      <w:r>
        <w:rPr>
          <w:rFonts w:hint="eastAsia" w:ascii="宋体" w:hAnsi="宋体" w:eastAsia="宋体" w:cs="宋体"/>
          <w:color w:val="000000"/>
          <w:spacing w:val="-3"/>
          <w:sz w:val="24"/>
        </w:rPr>
        <w:t>3．甲方未按合同约定的期限支付乙方货款，应以未付款项为基数，按照全国银行同业拆借中心公布的贷款市场报价利率向乙方支付违约金。因财政拨付程序或甲方结算内部程序导致的延期付款除外。</w:t>
      </w:r>
    </w:p>
    <w:p w14:paraId="37AD681A">
      <w:pPr>
        <w:snapToGrid w:val="0"/>
        <w:spacing w:before="109" w:line="360" w:lineRule="auto"/>
        <w:ind w:left="7" w:right="87" w:firstLine="470" w:firstLineChars="200"/>
        <w:rPr>
          <w:rFonts w:ascii="宋体" w:hAnsi="宋体" w:eastAsia="宋体" w:cs="宋体"/>
          <w:b/>
          <w:bCs/>
          <w:color w:val="000000"/>
          <w:spacing w:val="-3"/>
          <w:sz w:val="24"/>
        </w:rPr>
      </w:pPr>
      <w:r>
        <w:rPr>
          <w:rFonts w:hint="eastAsia" w:ascii="宋体" w:hAnsi="宋体" w:eastAsia="宋体" w:cs="宋体"/>
          <w:b/>
          <w:bCs/>
          <w:color w:val="000000"/>
          <w:spacing w:val="-3"/>
          <w:sz w:val="24"/>
        </w:rPr>
        <w:t>十、乙方违约责任</w:t>
      </w:r>
    </w:p>
    <w:p w14:paraId="17848ABE">
      <w:pPr>
        <w:snapToGrid w:val="0"/>
        <w:spacing w:before="109" w:line="360" w:lineRule="auto"/>
        <w:ind w:left="7" w:right="87" w:firstLine="468" w:firstLineChars="200"/>
        <w:rPr>
          <w:rFonts w:ascii="宋体" w:hAnsi="宋体" w:eastAsia="宋体" w:cs="宋体"/>
          <w:color w:val="000000"/>
          <w:spacing w:val="-3"/>
          <w:sz w:val="24"/>
        </w:rPr>
      </w:pPr>
      <w:r>
        <w:rPr>
          <w:rFonts w:hint="eastAsia" w:ascii="宋体" w:hAnsi="宋体" w:eastAsia="宋体" w:cs="宋体"/>
          <w:color w:val="000000"/>
          <w:spacing w:val="-3"/>
          <w:sz w:val="24"/>
        </w:rPr>
        <w:t>1. 乙方无正当理由解除、终止或者明确表示、以自己的行为表示拒不履行本合同的，乙方承担未履行订单金额5%的违约金，同时赔偿因此给甲方造成的所有经济损失。</w:t>
      </w:r>
    </w:p>
    <w:p w14:paraId="4314B527">
      <w:pPr>
        <w:snapToGrid w:val="0"/>
        <w:spacing w:before="109" w:line="360" w:lineRule="auto"/>
        <w:ind w:left="7" w:right="87" w:firstLine="468" w:firstLineChars="200"/>
        <w:rPr>
          <w:rFonts w:ascii="宋体" w:hAnsi="宋体" w:eastAsia="宋体" w:cs="宋体"/>
          <w:b/>
          <w:bCs/>
          <w:color w:val="000000"/>
          <w:spacing w:val="-3"/>
          <w:sz w:val="24"/>
        </w:rPr>
      </w:pPr>
      <w:r>
        <w:rPr>
          <w:rFonts w:hint="eastAsia" w:ascii="宋体" w:hAnsi="宋体" w:eastAsia="宋体" w:cs="宋体"/>
          <w:color w:val="000000"/>
          <w:spacing w:val="-3"/>
          <w:sz w:val="24"/>
        </w:rPr>
        <w:t>2. 乙方所提供货物与甲方要求、响应文件或国家相关质量标准不符时，甲方有权拒收，乙方承担相关检测费用。</w:t>
      </w:r>
      <w:r>
        <w:rPr>
          <w:rFonts w:hint="eastAsia" w:ascii="宋体" w:hAnsi="宋体" w:eastAsia="宋体" w:cs="宋体"/>
          <w:b/>
          <w:bCs/>
          <w:color w:val="000000"/>
          <w:spacing w:val="-3"/>
          <w:sz w:val="24"/>
        </w:rPr>
        <w:t>拒收后，乙方在规定时间内，交付合格物质，未能在甲方规定的期限内交付合格货物，每逾 1 日，乙方承担该计划订单金额 20% 的违约金，逾期超过 10 次，甲方扣除乙方 100% 的履约保证金，并有权解除合同。对解除合同的，乙方须承担</w:t>
      </w:r>
      <w:r>
        <w:rPr>
          <w:rFonts w:hint="eastAsia" w:ascii="宋体" w:hAnsi="宋体" w:eastAsia="宋体" w:cs="宋体"/>
          <w:b/>
          <w:bCs/>
          <w:color w:val="000000"/>
          <w:spacing w:val="-3"/>
          <w:sz w:val="24"/>
          <w:u w:val="single"/>
        </w:rPr>
        <w:t xml:space="preserve">           </w:t>
      </w:r>
      <w:r>
        <w:rPr>
          <w:rFonts w:hint="eastAsia" w:ascii="宋体" w:hAnsi="宋体" w:eastAsia="宋体" w:cs="宋体"/>
          <w:b/>
          <w:bCs/>
          <w:color w:val="000000"/>
          <w:spacing w:val="-3"/>
          <w:sz w:val="24"/>
        </w:rPr>
        <w:t>元（大写：          ）的违约金，并赔偿甲方全部损失。</w:t>
      </w:r>
    </w:p>
    <w:p w14:paraId="0367D1AC">
      <w:pPr>
        <w:snapToGrid w:val="0"/>
        <w:spacing w:before="109" w:line="360" w:lineRule="auto"/>
        <w:ind w:left="7" w:right="87" w:firstLine="468" w:firstLineChars="200"/>
        <w:rPr>
          <w:rFonts w:ascii="宋体" w:hAnsi="宋体" w:eastAsia="宋体" w:cs="宋体"/>
          <w:color w:val="000000"/>
          <w:spacing w:val="-3"/>
          <w:sz w:val="24"/>
        </w:rPr>
      </w:pPr>
      <w:r>
        <w:rPr>
          <w:rFonts w:hint="eastAsia" w:ascii="宋体" w:hAnsi="宋体" w:eastAsia="宋体" w:cs="宋体"/>
          <w:color w:val="000000"/>
          <w:spacing w:val="-3"/>
          <w:sz w:val="24"/>
        </w:rPr>
        <w:t>3.乙方保证按甲方要求的品种、规格、数量、时间和地点按质按量配送。在供货过程中，若乙方以各种理由进行推诿，或因乙方自身原因导致供货不及时的，每发生一次，应承担当批次货物总额</w:t>
      </w:r>
      <w:r>
        <w:rPr>
          <w:rFonts w:hint="eastAsia" w:ascii="宋体" w:hAnsi="宋体" w:eastAsia="宋体" w:cs="宋体"/>
          <w:color w:val="000000"/>
          <w:spacing w:val="-3"/>
          <w:sz w:val="24"/>
          <w:u w:val="single"/>
        </w:rPr>
        <w:t xml:space="preserve">      </w:t>
      </w:r>
      <w:r>
        <w:rPr>
          <w:rFonts w:hint="eastAsia" w:ascii="宋体" w:hAnsi="宋体" w:eastAsia="宋体" w:cs="宋体"/>
          <w:color w:val="000000"/>
          <w:spacing w:val="-3"/>
          <w:sz w:val="24"/>
        </w:rPr>
        <w:t>%的违约金，累计逾期供货超过</w:t>
      </w:r>
      <w:r>
        <w:rPr>
          <w:rFonts w:hint="eastAsia" w:ascii="宋体" w:hAnsi="宋体" w:eastAsia="宋体" w:cs="宋体"/>
          <w:color w:val="000000"/>
          <w:spacing w:val="-3"/>
          <w:sz w:val="24"/>
          <w:u w:val="single"/>
        </w:rPr>
        <w:t xml:space="preserve">     </w:t>
      </w:r>
      <w:r>
        <w:rPr>
          <w:rFonts w:hint="eastAsia" w:ascii="宋体" w:hAnsi="宋体" w:eastAsia="宋体" w:cs="宋体"/>
          <w:color w:val="000000"/>
          <w:spacing w:val="-3"/>
          <w:sz w:val="24"/>
        </w:rPr>
        <w:t>次的，甲方有权解除、终止本合同，并要求乙方承担</w:t>
      </w:r>
      <w:r>
        <w:rPr>
          <w:rFonts w:hint="eastAsia" w:ascii="宋体" w:hAnsi="宋体" w:eastAsia="宋体" w:cs="宋体"/>
          <w:color w:val="000000"/>
          <w:spacing w:val="-3"/>
          <w:sz w:val="24"/>
          <w:u w:val="single"/>
        </w:rPr>
        <w:t xml:space="preserve">          </w:t>
      </w:r>
      <w:r>
        <w:rPr>
          <w:rFonts w:hint="eastAsia" w:ascii="宋体" w:hAnsi="宋体" w:eastAsia="宋体" w:cs="宋体"/>
          <w:color w:val="000000"/>
          <w:spacing w:val="-3"/>
          <w:sz w:val="24"/>
        </w:rPr>
        <w:t>元（大写：     ）的违约金，并赔偿甲方损失。</w:t>
      </w:r>
    </w:p>
    <w:p w14:paraId="039DB68E">
      <w:pPr>
        <w:snapToGrid w:val="0"/>
        <w:spacing w:before="109" w:line="360" w:lineRule="auto"/>
        <w:ind w:left="7" w:right="87" w:firstLine="468" w:firstLineChars="200"/>
        <w:rPr>
          <w:rFonts w:ascii="宋体" w:hAnsi="宋体" w:eastAsia="宋体" w:cs="宋体"/>
          <w:color w:val="000000"/>
          <w:spacing w:val="-3"/>
          <w:sz w:val="24"/>
        </w:rPr>
      </w:pPr>
      <w:r>
        <w:rPr>
          <w:rFonts w:hint="eastAsia" w:ascii="宋体" w:hAnsi="宋体" w:eastAsia="宋体" w:cs="宋体"/>
          <w:color w:val="000000"/>
          <w:spacing w:val="-3"/>
          <w:sz w:val="24"/>
        </w:rPr>
        <w:t>4．如乙方拒绝接受甲方订单；无法完成甲方合理订单；无故放弃对执行单价的确认，均视为单方解除合同，同时应按本条第 1 款承担相应的违约责任。</w:t>
      </w:r>
    </w:p>
    <w:p w14:paraId="3618086A">
      <w:pPr>
        <w:snapToGrid w:val="0"/>
        <w:spacing w:before="109" w:line="360" w:lineRule="auto"/>
        <w:ind w:left="7" w:right="87" w:firstLine="468" w:firstLineChars="200"/>
        <w:rPr>
          <w:rFonts w:ascii="宋体" w:hAnsi="宋体" w:eastAsia="宋体" w:cs="宋体"/>
          <w:color w:val="000000"/>
          <w:spacing w:val="-3"/>
          <w:sz w:val="24"/>
        </w:rPr>
      </w:pPr>
      <w:r>
        <w:rPr>
          <w:rFonts w:hint="eastAsia" w:ascii="宋体" w:hAnsi="宋体" w:eastAsia="宋体" w:cs="宋体"/>
          <w:color w:val="000000"/>
          <w:spacing w:val="-3"/>
          <w:sz w:val="24"/>
        </w:rPr>
        <w:t>5．乙方因企业重大变动、国家政策因素等原因无法履行合同的，应提前 15 天向甲方提出解除合同申请，甲方确认属实的，不予追究违约责任。</w:t>
      </w:r>
    </w:p>
    <w:p w14:paraId="488C5A2B">
      <w:pPr>
        <w:snapToGrid w:val="0"/>
        <w:spacing w:before="109" w:line="360" w:lineRule="auto"/>
        <w:ind w:left="7" w:right="87" w:firstLine="468" w:firstLineChars="200"/>
        <w:rPr>
          <w:rFonts w:ascii="宋体" w:hAnsi="宋体" w:eastAsia="宋体" w:cs="宋体"/>
          <w:color w:val="000000"/>
          <w:spacing w:val="-3"/>
          <w:sz w:val="24"/>
        </w:rPr>
      </w:pPr>
      <w:r>
        <w:rPr>
          <w:rFonts w:hint="eastAsia" w:ascii="宋体" w:hAnsi="宋体" w:eastAsia="宋体" w:cs="宋体"/>
          <w:color w:val="000000"/>
          <w:spacing w:val="-3"/>
          <w:sz w:val="24"/>
        </w:rPr>
        <w:t>6．乙方因食品安全问题被相关单位处罚或造成任何食品安全事故（无论是否涉及甲方所采购的货物），本合同立即解除，同时承担给甲方造成的所有损失。</w:t>
      </w:r>
    </w:p>
    <w:p w14:paraId="08A0B86B">
      <w:pPr>
        <w:snapToGrid w:val="0"/>
        <w:spacing w:before="109" w:line="360" w:lineRule="auto"/>
        <w:ind w:left="7" w:right="87" w:firstLine="468" w:firstLineChars="200"/>
        <w:rPr>
          <w:rFonts w:ascii="宋体" w:hAnsi="宋体" w:eastAsia="宋体" w:cs="宋体"/>
          <w:color w:val="000000"/>
          <w:spacing w:val="-3"/>
          <w:sz w:val="24"/>
        </w:rPr>
      </w:pPr>
      <w:r>
        <w:rPr>
          <w:rFonts w:hint="eastAsia" w:ascii="宋体" w:hAnsi="宋体" w:eastAsia="宋体" w:cs="宋体"/>
          <w:color w:val="000000"/>
          <w:spacing w:val="-3"/>
          <w:sz w:val="24"/>
        </w:rPr>
        <w:t>7．乙方将本合同约定的义务全部或者部分转让给第三方的，甲方有权解除或者终止本合同，并要求乙方赔偿甲方损失（本合同或者双方另有约定的，与本条同时适用）。同时，乙方应当对其转让的第三方给甲方造成的损失承担连带责任。</w:t>
      </w:r>
    </w:p>
    <w:p w14:paraId="72EE840C">
      <w:pPr>
        <w:snapToGrid w:val="0"/>
        <w:spacing w:before="109" w:line="360" w:lineRule="auto"/>
        <w:ind w:left="7" w:right="87" w:firstLine="468" w:firstLineChars="200"/>
        <w:rPr>
          <w:rFonts w:ascii="宋体" w:hAnsi="宋体" w:eastAsia="宋体" w:cs="宋体"/>
          <w:color w:val="000000"/>
          <w:spacing w:val="-3"/>
          <w:sz w:val="24"/>
        </w:rPr>
      </w:pPr>
      <w:r>
        <w:rPr>
          <w:rFonts w:hint="eastAsia" w:ascii="宋体" w:hAnsi="宋体" w:eastAsia="宋体" w:cs="宋体"/>
          <w:color w:val="000000"/>
          <w:spacing w:val="-3"/>
          <w:sz w:val="24"/>
        </w:rPr>
        <w:t>8．因乙方的违约行为给甲方造成的损失包括但不限于直接经济损失、可得利益损失、律师费、诉讼费、鉴定费等合理费用。</w:t>
      </w:r>
    </w:p>
    <w:p w14:paraId="1A98AB05">
      <w:pPr>
        <w:snapToGrid w:val="0"/>
        <w:spacing w:before="109" w:line="360" w:lineRule="auto"/>
        <w:ind w:left="7" w:right="87" w:firstLine="470" w:firstLineChars="200"/>
        <w:rPr>
          <w:rFonts w:ascii="宋体" w:hAnsi="宋体" w:eastAsia="宋体" w:cs="宋体"/>
          <w:b/>
          <w:bCs/>
          <w:color w:val="000000"/>
          <w:spacing w:val="-3"/>
          <w:sz w:val="24"/>
        </w:rPr>
      </w:pPr>
      <w:r>
        <w:rPr>
          <w:rFonts w:hint="eastAsia" w:ascii="宋体" w:hAnsi="宋体" w:eastAsia="宋体" w:cs="宋体"/>
          <w:b/>
          <w:bCs/>
          <w:color w:val="000000"/>
          <w:spacing w:val="-3"/>
          <w:sz w:val="24"/>
        </w:rPr>
        <w:t>十一、不可抗力</w:t>
      </w:r>
    </w:p>
    <w:p w14:paraId="39E950EB">
      <w:pPr>
        <w:snapToGrid w:val="0"/>
        <w:spacing w:before="109" w:line="360" w:lineRule="auto"/>
        <w:ind w:left="7" w:right="87" w:firstLine="468" w:firstLineChars="200"/>
        <w:rPr>
          <w:rFonts w:ascii="宋体" w:hAnsi="宋体" w:eastAsia="宋体" w:cs="宋体"/>
          <w:color w:val="000000"/>
          <w:spacing w:val="-3"/>
          <w:sz w:val="24"/>
        </w:rPr>
      </w:pPr>
      <w:r>
        <w:rPr>
          <w:rFonts w:hint="eastAsia" w:ascii="宋体" w:hAnsi="宋体" w:eastAsia="宋体" w:cs="宋体"/>
          <w:color w:val="000000"/>
          <w:spacing w:val="-3"/>
          <w:sz w:val="24"/>
        </w:rPr>
        <w:t>甲乙双方的任何一方由于不可抗力的原因不能履行合同时，应及时以书面形式向对方通报不能履行或不能完全履行合同的理由；在取得有关主管机关证明后，允许延期履行、部分履行或者不履行合同，并根据情况可部分或全部免予承担违约责任。迟延履行后发生不可抗力的，不能免除违约责任。</w:t>
      </w:r>
    </w:p>
    <w:p w14:paraId="10894904">
      <w:pPr>
        <w:snapToGrid w:val="0"/>
        <w:spacing w:before="109" w:line="360" w:lineRule="auto"/>
        <w:ind w:left="7" w:right="87" w:firstLine="470" w:firstLineChars="200"/>
        <w:rPr>
          <w:rFonts w:ascii="宋体" w:hAnsi="宋体" w:eastAsia="宋体" w:cs="宋体"/>
          <w:b/>
          <w:bCs/>
          <w:color w:val="000000"/>
          <w:spacing w:val="-3"/>
          <w:sz w:val="24"/>
        </w:rPr>
      </w:pPr>
      <w:r>
        <w:rPr>
          <w:rFonts w:hint="eastAsia" w:ascii="宋体" w:hAnsi="宋体" w:eastAsia="宋体" w:cs="宋体"/>
          <w:b/>
          <w:bCs/>
          <w:color w:val="000000"/>
          <w:spacing w:val="-3"/>
          <w:sz w:val="24"/>
        </w:rPr>
        <w:t>十二、合同生效及其他</w:t>
      </w:r>
    </w:p>
    <w:p w14:paraId="02BE5213">
      <w:pPr>
        <w:snapToGrid w:val="0"/>
        <w:spacing w:before="109" w:line="360" w:lineRule="auto"/>
        <w:ind w:left="7" w:right="87" w:firstLine="468" w:firstLineChars="200"/>
        <w:rPr>
          <w:rFonts w:ascii="宋体" w:hAnsi="宋体" w:eastAsia="宋体" w:cs="宋体"/>
          <w:color w:val="000000"/>
          <w:spacing w:val="-3"/>
          <w:sz w:val="24"/>
        </w:rPr>
      </w:pPr>
      <w:r>
        <w:rPr>
          <w:rFonts w:hint="eastAsia" w:ascii="宋体" w:hAnsi="宋体" w:eastAsia="宋体" w:cs="宋体"/>
          <w:color w:val="000000"/>
          <w:spacing w:val="-3"/>
          <w:sz w:val="24"/>
        </w:rPr>
        <w:t>1. 本合同自甲乙双方法定代表人（或授权代表）签字（或盖章）并加盖公章之日起生效。</w:t>
      </w:r>
    </w:p>
    <w:p w14:paraId="5BBD78AE">
      <w:pPr>
        <w:snapToGrid w:val="0"/>
        <w:spacing w:before="109" w:line="360" w:lineRule="auto"/>
        <w:ind w:left="7" w:right="87" w:firstLine="468" w:firstLineChars="200"/>
        <w:rPr>
          <w:rFonts w:ascii="宋体" w:hAnsi="宋体" w:eastAsia="宋体" w:cs="宋体"/>
          <w:color w:val="000000"/>
          <w:spacing w:val="-3"/>
          <w:sz w:val="24"/>
        </w:rPr>
      </w:pPr>
      <w:r>
        <w:rPr>
          <w:rFonts w:hint="eastAsia" w:ascii="宋体" w:hAnsi="宋体" w:eastAsia="宋体" w:cs="宋体"/>
          <w:color w:val="000000"/>
          <w:spacing w:val="-3"/>
          <w:sz w:val="24"/>
        </w:rPr>
        <w:t>2. 本合同一式</w:t>
      </w:r>
      <w:r>
        <w:rPr>
          <w:rFonts w:hint="eastAsia" w:ascii="宋体" w:hAnsi="宋体" w:eastAsia="宋体" w:cs="宋体"/>
          <w:color w:val="000000"/>
          <w:spacing w:val="-3"/>
          <w:sz w:val="24"/>
          <w:u w:val="single"/>
        </w:rPr>
        <w:t xml:space="preserve"> 伍 </w:t>
      </w:r>
      <w:r>
        <w:rPr>
          <w:rFonts w:hint="eastAsia" w:ascii="宋体" w:hAnsi="宋体" w:eastAsia="宋体" w:cs="宋体"/>
          <w:color w:val="000000"/>
          <w:spacing w:val="-3"/>
          <w:sz w:val="24"/>
        </w:rPr>
        <w:t>份，甲方持</w:t>
      </w:r>
      <w:r>
        <w:rPr>
          <w:rFonts w:hint="eastAsia" w:ascii="宋体" w:hAnsi="宋体" w:eastAsia="宋体" w:cs="宋体"/>
          <w:color w:val="000000"/>
          <w:spacing w:val="-3"/>
          <w:sz w:val="24"/>
          <w:u w:val="single"/>
        </w:rPr>
        <w:t xml:space="preserve"> 叁 </w:t>
      </w:r>
      <w:r>
        <w:rPr>
          <w:rFonts w:hint="eastAsia" w:ascii="宋体" w:hAnsi="宋体" w:eastAsia="宋体" w:cs="宋体"/>
          <w:color w:val="000000"/>
          <w:spacing w:val="-3"/>
          <w:sz w:val="24"/>
        </w:rPr>
        <w:t>份，乙方持</w:t>
      </w:r>
      <w:r>
        <w:rPr>
          <w:rFonts w:hint="eastAsia" w:ascii="宋体" w:hAnsi="宋体" w:eastAsia="宋体" w:cs="宋体"/>
          <w:color w:val="000000"/>
          <w:spacing w:val="-3"/>
          <w:sz w:val="24"/>
          <w:u w:val="single"/>
        </w:rPr>
        <w:t xml:space="preserve"> 壹 </w:t>
      </w:r>
      <w:r>
        <w:rPr>
          <w:rFonts w:hint="eastAsia" w:ascii="宋体" w:hAnsi="宋体" w:eastAsia="宋体" w:cs="宋体"/>
          <w:color w:val="000000"/>
          <w:spacing w:val="-3"/>
          <w:sz w:val="24"/>
        </w:rPr>
        <w:t>份，招标代理公司备案</w:t>
      </w:r>
      <w:r>
        <w:rPr>
          <w:rFonts w:hint="eastAsia" w:ascii="宋体" w:hAnsi="宋体" w:eastAsia="宋体" w:cs="宋体"/>
          <w:color w:val="000000"/>
          <w:spacing w:val="-3"/>
          <w:sz w:val="24"/>
          <w:u w:val="single"/>
        </w:rPr>
        <w:t xml:space="preserve"> 壹 </w:t>
      </w:r>
      <w:r>
        <w:rPr>
          <w:rFonts w:hint="eastAsia" w:ascii="宋体" w:hAnsi="宋体" w:eastAsia="宋体" w:cs="宋体"/>
          <w:color w:val="000000"/>
          <w:spacing w:val="-3"/>
          <w:sz w:val="24"/>
        </w:rPr>
        <w:t>份。</w:t>
      </w:r>
    </w:p>
    <w:p w14:paraId="292EBB79">
      <w:pPr>
        <w:snapToGrid w:val="0"/>
        <w:spacing w:before="109" w:line="360" w:lineRule="auto"/>
        <w:ind w:left="7" w:right="87" w:firstLine="468" w:firstLineChars="200"/>
        <w:rPr>
          <w:rFonts w:ascii="宋体" w:hAnsi="宋体" w:eastAsia="宋体" w:cs="宋体"/>
          <w:color w:val="000000"/>
          <w:spacing w:val="-3"/>
          <w:sz w:val="24"/>
        </w:rPr>
      </w:pPr>
      <w:r>
        <w:rPr>
          <w:rFonts w:hint="eastAsia" w:ascii="宋体" w:hAnsi="宋体" w:eastAsia="宋体" w:cs="宋体"/>
          <w:color w:val="000000"/>
          <w:spacing w:val="-3"/>
          <w:sz w:val="24"/>
        </w:rPr>
        <w:t>3. 凡执行本合同所发生的或与本合同有关的一切争议，依照《中华人民共和国民法典》，在不违背本合同和</w:t>
      </w:r>
      <w:r>
        <w:rPr>
          <w:rFonts w:hint="eastAsia" w:ascii="宋体" w:hAnsi="宋体" w:eastAsia="宋体" w:cs="宋体"/>
          <w:color w:val="000000"/>
          <w:spacing w:val="-3"/>
          <w:sz w:val="24"/>
          <w:lang w:val="en-US" w:eastAsia="zh-CN"/>
        </w:rPr>
        <w:t>磋商</w:t>
      </w:r>
      <w:r>
        <w:rPr>
          <w:rFonts w:hint="eastAsia" w:ascii="宋体" w:hAnsi="宋体" w:eastAsia="宋体" w:cs="宋体"/>
          <w:color w:val="000000"/>
          <w:spacing w:val="-3"/>
          <w:sz w:val="24"/>
        </w:rPr>
        <w:t>文件的前提下，双方友好协商解决；协商结果以“纪要 ”形式作为合同附件，与合同具有同等效力。否则，双方均有权向向甲方所在地人民法院提请诉讼。</w:t>
      </w:r>
    </w:p>
    <w:p w14:paraId="5AA34332">
      <w:pPr>
        <w:snapToGrid w:val="0"/>
        <w:spacing w:before="109" w:line="360" w:lineRule="auto"/>
        <w:ind w:left="7" w:right="87" w:firstLine="468" w:firstLineChars="200"/>
        <w:rPr>
          <w:rFonts w:ascii="宋体" w:hAnsi="宋体" w:eastAsia="宋体" w:cs="宋体"/>
          <w:color w:val="000000"/>
          <w:spacing w:val="-3"/>
          <w:sz w:val="24"/>
        </w:rPr>
      </w:pPr>
      <w:r>
        <w:rPr>
          <w:rFonts w:hint="eastAsia" w:ascii="宋体" w:hAnsi="宋体" w:eastAsia="宋体" w:cs="宋体"/>
          <w:color w:val="000000"/>
          <w:spacing w:val="-3"/>
          <w:sz w:val="24"/>
        </w:rPr>
        <w:t>4. 本合同不得转包或分包给他人，否则甲方有权拒付本次成交货物的货款，同时没收乙方合同质保金并取消今后的投标资格。</w:t>
      </w:r>
    </w:p>
    <w:p w14:paraId="290769D1">
      <w:pPr>
        <w:snapToGrid w:val="0"/>
        <w:spacing w:before="109" w:line="360" w:lineRule="auto"/>
        <w:ind w:left="7" w:right="87" w:firstLine="470" w:firstLineChars="200"/>
        <w:rPr>
          <w:rFonts w:ascii="宋体" w:hAnsi="宋体" w:eastAsia="宋体" w:cs="宋体"/>
          <w:b/>
          <w:bCs/>
          <w:color w:val="000000"/>
          <w:spacing w:val="-3"/>
          <w:sz w:val="24"/>
        </w:rPr>
      </w:pPr>
      <w:r>
        <w:rPr>
          <w:rFonts w:hint="eastAsia" w:ascii="宋体" w:hAnsi="宋体" w:eastAsia="宋体" w:cs="宋体"/>
          <w:b/>
          <w:bCs/>
          <w:color w:val="000000"/>
          <w:spacing w:val="-3"/>
          <w:sz w:val="24"/>
        </w:rPr>
        <w:t>5</w:t>
      </w:r>
      <w:r>
        <w:rPr>
          <w:rFonts w:hint="eastAsia" w:ascii="宋体" w:hAnsi="宋体" w:eastAsia="宋体" w:cs="宋体"/>
          <w:color w:val="000000"/>
          <w:spacing w:val="-3"/>
          <w:sz w:val="24"/>
        </w:rPr>
        <w:t xml:space="preserve">. </w:t>
      </w:r>
      <w:r>
        <w:rPr>
          <w:rFonts w:hint="eastAsia" w:ascii="宋体" w:hAnsi="宋体" w:eastAsia="宋体" w:cs="宋体"/>
          <w:b/>
          <w:bCs/>
          <w:color w:val="000000"/>
          <w:spacing w:val="-3"/>
          <w:sz w:val="24"/>
        </w:rPr>
        <w:t>合同履行期限：本合同履行期限以供货期限或合同金额为限，即供货期限到期而应支付金额未达到合同金额或应支付金额达到合同金额而供货期未到期，合同均终止。</w:t>
      </w:r>
    </w:p>
    <w:p w14:paraId="3D655624">
      <w:pPr>
        <w:snapToGrid w:val="0"/>
        <w:spacing w:before="109" w:line="360" w:lineRule="auto"/>
        <w:ind w:left="7" w:right="87" w:firstLine="468" w:firstLineChars="200"/>
        <w:rPr>
          <w:rFonts w:ascii="宋体" w:hAnsi="宋体" w:eastAsia="宋体" w:cs="宋体"/>
          <w:spacing w:val="-3"/>
          <w:sz w:val="24"/>
        </w:rPr>
      </w:pPr>
      <w:r>
        <w:rPr>
          <w:rFonts w:hint="eastAsia" w:ascii="宋体" w:hAnsi="宋体" w:eastAsia="宋体" w:cs="宋体"/>
          <w:spacing w:val="-3"/>
          <w:sz w:val="24"/>
        </w:rPr>
        <w:t>6. 甲方对履行合同的任何宽限仅表示其同意继续履行本合同，但不表示甲方放弃追究乙方违约责任的权利。除非甲方以书面形式明确声明做出放弃，否则，甲方不应被视为放弃根据本合同中的任何条款所享受的权利或利益。</w:t>
      </w:r>
    </w:p>
    <w:p w14:paraId="5194AE6D">
      <w:pPr>
        <w:snapToGrid w:val="0"/>
        <w:spacing w:before="109" w:line="360" w:lineRule="auto"/>
        <w:ind w:left="7" w:right="87" w:firstLine="470" w:firstLineChars="200"/>
        <w:rPr>
          <w:rFonts w:ascii="宋体" w:hAnsi="宋体" w:eastAsia="宋体" w:cs="宋体"/>
          <w:b/>
          <w:bCs/>
          <w:spacing w:val="-3"/>
          <w:sz w:val="24"/>
        </w:rPr>
      </w:pPr>
      <w:r>
        <w:rPr>
          <w:rFonts w:hint="eastAsia" w:ascii="宋体" w:hAnsi="宋体" w:eastAsia="宋体" w:cs="宋体"/>
          <w:b/>
          <w:bCs/>
          <w:spacing w:val="-3"/>
          <w:sz w:val="24"/>
        </w:rPr>
        <w:t>十三、争议解决</w:t>
      </w:r>
    </w:p>
    <w:p w14:paraId="1A64C19C">
      <w:pPr>
        <w:snapToGrid w:val="0"/>
        <w:spacing w:before="109" w:line="360" w:lineRule="auto"/>
        <w:ind w:left="7" w:right="87" w:firstLine="468" w:firstLineChars="200"/>
        <w:rPr>
          <w:rFonts w:ascii="宋体" w:hAnsi="宋体" w:eastAsia="宋体" w:cs="宋体"/>
          <w:spacing w:val="-3"/>
          <w:sz w:val="24"/>
        </w:rPr>
      </w:pPr>
      <w:r>
        <w:rPr>
          <w:rFonts w:hint="eastAsia" w:ascii="宋体" w:hAnsi="宋体" w:eastAsia="宋体" w:cs="宋体"/>
          <w:spacing w:val="-3"/>
          <w:sz w:val="24"/>
        </w:rPr>
        <w:t>1、因产品的质量问题发生争议，由食品药品监督部门或其指定的鉴定机构进行鉴定。鉴定费由乙方承担；</w:t>
      </w:r>
    </w:p>
    <w:p w14:paraId="369BA88E">
      <w:pPr>
        <w:snapToGrid w:val="0"/>
        <w:spacing w:before="109" w:line="360" w:lineRule="auto"/>
        <w:ind w:left="7" w:right="87" w:firstLine="468" w:firstLineChars="200"/>
        <w:rPr>
          <w:rFonts w:ascii="宋体" w:hAnsi="宋体" w:eastAsia="宋体" w:cs="宋体"/>
          <w:spacing w:val="-3"/>
          <w:sz w:val="24"/>
        </w:rPr>
      </w:pPr>
      <w:r>
        <w:rPr>
          <w:rFonts w:hint="eastAsia" w:ascii="宋体" w:hAnsi="宋体" w:eastAsia="宋体" w:cs="宋体"/>
          <w:spacing w:val="-3"/>
          <w:sz w:val="24"/>
        </w:rPr>
        <w:t>2、合同履行期间，若双方发生争议，双方应通过友好协商解决，经协商不能达成协议时，双方均有权向甲方所在地人民法院提起诉讼；</w:t>
      </w:r>
    </w:p>
    <w:p w14:paraId="0DDC4D2C">
      <w:pPr>
        <w:snapToGrid w:val="0"/>
        <w:spacing w:before="109" w:line="360" w:lineRule="auto"/>
        <w:ind w:left="7" w:right="87" w:firstLine="468" w:firstLineChars="200"/>
        <w:rPr>
          <w:rFonts w:ascii="宋体" w:hAnsi="宋体" w:eastAsia="宋体" w:cs="宋体"/>
        </w:rPr>
      </w:pPr>
      <w:r>
        <w:rPr>
          <w:rFonts w:hint="eastAsia" w:ascii="宋体" w:hAnsi="宋体" w:eastAsia="宋体" w:cs="宋体"/>
          <w:spacing w:val="-3"/>
          <w:sz w:val="24"/>
        </w:rPr>
        <w:t>3、在诉讼期间，除正在进行诉讼部分外，合同其他部分继续执行。</w:t>
      </w:r>
    </w:p>
    <w:p w14:paraId="146439F4">
      <w:pPr>
        <w:snapToGrid w:val="0"/>
        <w:spacing w:before="109" w:line="360" w:lineRule="auto"/>
        <w:ind w:left="7" w:right="87" w:firstLine="470" w:firstLineChars="200"/>
        <w:rPr>
          <w:rFonts w:ascii="宋体" w:hAnsi="宋体" w:eastAsia="宋体" w:cs="宋体"/>
          <w:b/>
          <w:bCs/>
          <w:spacing w:val="-3"/>
          <w:sz w:val="24"/>
        </w:rPr>
      </w:pPr>
      <w:r>
        <w:rPr>
          <w:rFonts w:hint="eastAsia" w:ascii="宋体" w:hAnsi="宋体" w:eastAsia="宋体" w:cs="宋体"/>
          <w:b/>
          <w:bCs/>
          <w:spacing w:val="-3"/>
          <w:sz w:val="24"/>
        </w:rPr>
        <w:t>下列文件为本合同不可分割部分</w:t>
      </w:r>
    </w:p>
    <w:p w14:paraId="636DC606">
      <w:pPr>
        <w:snapToGrid w:val="0"/>
        <w:spacing w:before="109" w:line="360" w:lineRule="auto"/>
        <w:ind w:left="420" w:leftChars="200" w:right="87"/>
        <w:rPr>
          <w:rFonts w:ascii="宋体" w:hAnsi="宋体" w:eastAsia="宋体" w:cs="宋体"/>
          <w:spacing w:val="-3"/>
          <w:sz w:val="24"/>
        </w:rPr>
      </w:pPr>
      <w:r>
        <w:rPr>
          <w:rFonts w:hint="eastAsia" w:ascii="宋体" w:hAnsi="宋体" w:cs="宋体"/>
          <w:spacing w:val="-1"/>
          <w:sz w:val="24"/>
        </w:rPr>
        <w:t>1.</w:t>
      </w:r>
      <w:r>
        <w:rPr>
          <w:rFonts w:ascii="宋体" w:hAnsi="宋体" w:eastAsia="宋体" w:cs="宋体"/>
          <w:spacing w:val="-1"/>
          <w:sz w:val="24"/>
        </w:rPr>
        <w:t>《</w:t>
      </w:r>
      <w:r>
        <w:rPr>
          <w:rFonts w:hint="eastAsia" w:ascii="宋体" w:hAnsi="宋体" w:eastAsia="宋体" w:cs="宋体"/>
          <w:spacing w:val="-1"/>
          <w:sz w:val="24"/>
          <w:lang w:val="en-US" w:eastAsia="zh-CN"/>
        </w:rPr>
        <w:t>磋商</w:t>
      </w:r>
      <w:r>
        <w:rPr>
          <w:rFonts w:ascii="宋体" w:hAnsi="宋体" w:eastAsia="宋体" w:cs="宋体"/>
          <w:spacing w:val="-1"/>
          <w:sz w:val="24"/>
        </w:rPr>
        <w:t>文件》</w:t>
      </w:r>
      <w:r>
        <w:rPr>
          <w:rFonts w:hint="eastAsia" w:ascii="宋体" w:hAnsi="宋体" w:eastAsia="宋体" w:cs="宋体"/>
          <w:spacing w:val="-3"/>
          <w:sz w:val="24"/>
        </w:rPr>
        <w:t xml:space="preserve"> 2.乙方响应文件 3.</w:t>
      </w:r>
      <w:r>
        <w:rPr>
          <w:rFonts w:ascii="宋体" w:hAnsi="宋体" w:eastAsia="宋体" w:cs="宋体"/>
          <w:spacing w:val="-1"/>
          <w:sz w:val="24"/>
        </w:rPr>
        <w:t>《</w:t>
      </w:r>
      <w:r>
        <w:rPr>
          <w:rFonts w:hint="eastAsia" w:ascii="宋体" w:hAnsi="宋体" w:eastAsia="宋体" w:cs="宋体"/>
          <w:spacing w:val="-1"/>
          <w:sz w:val="24"/>
          <w:lang w:val="en-US" w:eastAsia="zh-CN"/>
        </w:rPr>
        <w:t>成交</w:t>
      </w:r>
      <w:r>
        <w:rPr>
          <w:rFonts w:ascii="宋体" w:hAnsi="宋体" w:eastAsia="宋体" w:cs="宋体"/>
          <w:spacing w:val="-1"/>
          <w:sz w:val="24"/>
        </w:rPr>
        <w:t>通知书》</w:t>
      </w:r>
      <w:r>
        <w:rPr>
          <w:rFonts w:hint="eastAsia" w:ascii="宋体" w:hAnsi="宋体" w:cs="宋体"/>
          <w:spacing w:val="-1"/>
          <w:sz w:val="24"/>
        </w:rPr>
        <w:t xml:space="preserve"> </w:t>
      </w:r>
      <w:r>
        <w:rPr>
          <w:rFonts w:hint="eastAsia" w:ascii="宋体" w:hAnsi="宋体" w:eastAsia="宋体" w:cs="宋体"/>
          <w:spacing w:val="-3"/>
          <w:sz w:val="24"/>
        </w:rPr>
        <w:t>4.合同附件  5.其他</w:t>
      </w:r>
    </w:p>
    <w:p w14:paraId="5156BAB6">
      <w:pPr>
        <w:snapToGrid w:val="0"/>
        <w:spacing w:before="109" w:line="360" w:lineRule="auto"/>
        <w:ind w:right="87"/>
        <w:rPr>
          <w:rFonts w:ascii="宋体" w:hAnsi="宋体" w:eastAsia="宋体" w:cs="宋体"/>
          <w:spacing w:val="-3"/>
          <w:sz w:val="24"/>
        </w:rPr>
      </w:pPr>
    </w:p>
    <w:p w14:paraId="67786BDF">
      <w:pPr>
        <w:snapToGrid w:val="0"/>
        <w:spacing w:before="109" w:line="360" w:lineRule="auto"/>
        <w:ind w:left="7" w:right="87" w:firstLine="468" w:firstLineChars="200"/>
        <w:rPr>
          <w:rFonts w:ascii="宋体" w:hAnsi="宋体" w:eastAsia="宋体" w:cs="宋体"/>
          <w:spacing w:val="-3"/>
          <w:sz w:val="24"/>
        </w:rPr>
      </w:pPr>
      <w:r>
        <w:rPr>
          <w:rFonts w:hint="eastAsia" w:ascii="宋体" w:hAnsi="宋体" w:eastAsia="宋体" w:cs="宋体"/>
          <w:spacing w:val="-3"/>
          <w:sz w:val="24"/>
        </w:rPr>
        <w:t>甲方（章）：                           乙方（签章）：</w:t>
      </w:r>
    </w:p>
    <w:p w14:paraId="491F9312">
      <w:pPr>
        <w:snapToGrid w:val="0"/>
        <w:spacing w:before="109" w:line="360" w:lineRule="auto"/>
        <w:ind w:left="7" w:right="87" w:firstLine="468" w:firstLineChars="200"/>
        <w:rPr>
          <w:rFonts w:ascii="宋体" w:hAnsi="宋体" w:eastAsia="宋体" w:cs="宋体"/>
          <w:spacing w:val="-3"/>
          <w:sz w:val="24"/>
        </w:rPr>
      </w:pPr>
      <w:r>
        <w:rPr>
          <w:rFonts w:hint="eastAsia" w:ascii="宋体" w:hAnsi="宋体" w:eastAsia="宋体" w:cs="宋体"/>
          <w:spacing w:val="-3"/>
          <w:sz w:val="24"/>
        </w:rPr>
        <w:t>单位地址：                             单位地址：</w:t>
      </w:r>
    </w:p>
    <w:p w14:paraId="233286C9">
      <w:pPr>
        <w:snapToGrid w:val="0"/>
        <w:spacing w:before="109" w:line="360" w:lineRule="auto"/>
        <w:ind w:left="7" w:right="87" w:firstLine="468" w:firstLineChars="200"/>
        <w:rPr>
          <w:rFonts w:ascii="宋体" w:hAnsi="宋体" w:eastAsia="宋体" w:cs="宋体"/>
          <w:spacing w:val="-3"/>
          <w:sz w:val="24"/>
        </w:rPr>
      </w:pPr>
      <w:r>
        <w:rPr>
          <w:rFonts w:hint="eastAsia" w:ascii="宋体" w:hAnsi="宋体" w:eastAsia="宋体" w:cs="宋体"/>
          <w:spacing w:val="-3"/>
          <w:sz w:val="24"/>
        </w:rPr>
        <w:t>法人或授权委托人签字：                 法人或授权委托人签字：</w:t>
      </w:r>
    </w:p>
    <w:p w14:paraId="5B369F68">
      <w:pPr>
        <w:snapToGrid w:val="0"/>
        <w:spacing w:before="109" w:line="360" w:lineRule="auto"/>
        <w:ind w:left="7" w:right="87" w:firstLine="468" w:firstLineChars="200"/>
        <w:rPr>
          <w:rFonts w:ascii="宋体" w:hAnsi="宋体" w:eastAsia="宋体" w:cs="宋体"/>
          <w:spacing w:val="-3"/>
          <w:sz w:val="24"/>
        </w:rPr>
      </w:pPr>
      <w:r>
        <w:rPr>
          <w:rFonts w:hint="eastAsia" w:ascii="宋体" w:hAnsi="宋体" w:eastAsia="宋体" w:cs="宋体"/>
          <w:spacing w:val="-3"/>
          <w:sz w:val="24"/>
        </w:rPr>
        <w:t>联系电话：                             联系电话：</w:t>
      </w:r>
    </w:p>
    <w:p w14:paraId="31A27F65">
      <w:pPr>
        <w:snapToGrid w:val="0"/>
        <w:spacing w:before="109" w:line="360" w:lineRule="auto"/>
        <w:ind w:left="7" w:right="87" w:firstLine="468" w:firstLineChars="200"/>
        <w:rPr>
          <w:rFonts w:ascii="宋体" w:hAnsi="宋体" w:eastAsia="宋体" w:cs="宋体"/>
          <w:spacing w:val="-3"/>
          <w:sz w:val="24"/>
        </w:rPr>
      </w:pPr>
      <w:r>
        <w:rPr>
          <w:rFonts w:hint="eastAsia" w:ascii="宋体" w:hAnsi="宋体" w:eastAsia="宋体" w:cs="宋体"/>
          <w:spacing w:val="-3"/>
          <w:sz w:val="24"/>
        </w:rPr>
        <w:t>签订时间：       年   月   日</w:t>
      </w:r>
    </w:p>
    <w:p w14:paraId="3FC52FC6">
      <w:pPr>
        <w:snapToGrid w:val="0"/>
        <w:spacing w:before="109" w:line="360" w:lineRule="auto"/>
        <w:ind w:left="7" w:right="87" w:firstLine="468" w:firstLineChars="200"/>
        <w:rPr>
          <w:rFonts w:ascii="Times New Roman" w:hAnsi="Times New Roman" w:eastAsia="方正仿宋_GBK" w:cs="Times New Roman"/>
          <w:b/>
          <w:bCs/>
          <w:color w:val="FF0000"/>
          <w:sz w:val="28"/>
          <w:szCs w:val="28"/>
        </w:rPr>
      </w:pPr>
      <w:r>
        <w:rPr>
          <w:rFonts w:hint="eastAsia" w:ascii="宋体" w:hAnsi="宋体" w:eastAsia="宋体" w:cs="宋体"/>
          <w:spacing w:val="-3"/>
          <w:sz w:val="24"/>
        </w:rPr>
        <w:t>签约地点：</w:t>
      </w:r>
    </w:p>
    <w:p w14:paraId="7CFC86A1">
      <w:pPr>
        <w:pStyle w:val="14"/>
        <w:spacing w:line="360" w:lineRule="auto"/>
        <w:rPr>
          <w:rFonts w:ascii="宋体" w:hAnsi="宋体" w:eastAsia="宋体" w:cs="宋体"/>
          <w:b/>
          <w:bCs/>
          <w:sz w:val="28"/>
          <w:szCs w:val="28"/>
        </w:rPr>
      </w:pPr>
    </w:p>
    <w:p w14:paraId="535EEB69">
      <w:pPr>
        <w:pStyle w:val="14"/>
        <w:spacing w:line="360" w:lineRule="auto"/>
        <w:rPr>
          <w:rFonts w:ascii="宋体" w:hAnsi="宋体" w:eastAsia="宋体" w:cs="宋体"/>
          <w:b/>
          <w:bCs/>
          <w:sz w:val="28"/>
          <w:szCs w:val="28"/>
        </w:rPr>
      </w:pPr>
    </w:p>
    <w:p w14:paraId="0458FA14">
      <w:pPr>
        <w:pStyle w:val="14"/>
        <w:spacing w:line="360" w:lineRule="auto"/>
        <w:jc w:val="center"/>
        <w:rPr>
          <w:rFonts w:ascii="宋体" w:hAnsi="宋体" w:eastAsia="宋体" w:cs="宋体"/>
          <w:b/>
          <w:bCs/>
          <w:sz w:val="28"/>
          <w:szCs w:val="28"/>
        </w:rPr>
      </w:pPr>
      <w:r>
        <w:rPr>
          <w:rFonts w:hint="eastAsia" w:ascii="宋体" w:hAnsi="宋体" w:eastAsia="宋体" w:cs="宋体"/>
          <w:b/>
          <w:bCs/>
          <w:sz w:val="28"/>
          <w:szCs w:val="28"/>
        </w:rPr>
        <w:t>第六章 响应文件格式</w:t>
      </w:r>
    </w:p>
    <w:p w14:paraId="10FEB9FB">
      <w:pPr>
        <w:spacing w:line="360" w:lineRule="auto"/>
        <w:ind w:firstLine="1269" w:firstLineChars="395"/>
        <w:jc w:val="center"/>
        <w:rPr>
          <w:rFonts w:ascii="宋体" w:hAnsi="宋体" w:cs="宋体"/>
          <w:b/>
          <w:sz w:val="32"/>
          <w:szCs w:val="32"/>
          <w:u w:val="single"/>
        </w:rPr>
      </w:pPr>
    </w:p>
    <w:p w14:paraId="0E707747">
      <w:pPr>
        <w:spacing w:line="360" w:lineRule="auto"/>
        <w:jc w:val="center"/>
        <w:rPr>
          <w:rFonts w:ascii="宋体" w:hAnsi="宋体"/>
          <w:b/>
          <w:sz w:val="32"/>
          <w:szCs w:val="32"/>
        </w:rPr>
      </w:pPr>
      <w:r>
        <w:rPr>
          <w:rFonts w:hint="eastAsia" w:ascii="宋体" w:hAnsi="宋体" w:cs="宋体"/>
          <w:b/>
          <w:sz w:val="32"/>
          <w:szCs w:val="32"/>
        </w:rPr>
        <w:t>项目名称：</w:t>
      </w:r>
    </w:p>
    <w:p w14:paraId="36678436">
      <w:pPr>
        <w:spacing w:line="360" w:lineRule="auto"/>
        <w:ind w:firstLine="1269" w:firstLineChars="395"/>
        <w:jc w:val="center"/>
        <w:rPr>
          <w:rFonts w:ascii="宋体" w:hAnsi="宋体"/>
          <w:b/>
          <w:sz w:val="32"/>
          <w:szCs w:val="32"/>
        </w:rPr>
      </w:pPr>
    </w:p>
    <w:p w14:paraId="04FA8102">
      <w:pPr>
        <w:spacing w:line="360" w:lineRule="auto"/>
        <w:ind w:firstLine="1590" w:firstLineChars="495"/>
        <w:jc w:val="center"/>
        <w:rPr>
          <w:rFonts w:ascii="宋体" w:hAnsi="宋体" w:cs="宋体"/>
          <w:b/>
          <w:sz w:val="32"/>
          <w:szCs w:val="32"/>
        </w:rPr>
      </w:pPr>
      <w:bookmarkStart w:id="163" w:name="_Toc453139657"/>
      <w:bookmarkEnd w:id="163"/>
    </w:p>
    <w:p w14:paraId="7F8F0589">
      <w:pPr>
        <w:spacing w:line="360" w:lineRule="auto"/>
        <w:jc w:val="center"/>
        <w:rPr>
          <w:rFonts w:ascii="宋体" w:hAnsi="宋体"/>
          <w:b/>
          <w:sz w:val="32"/>
          <w:szCs w:val="32"/>
        </w:rPr>
      </w:pPr>
      <w:r>
        <w:rPr>
          <w:rFonts w:hint="eastAsia" w:ascii="宋体" w:hAnsi="宋体" w:cs="宋体"/>
          <w:b/>
          <w:sz w:val="32"/>
          <w:szCs w:val="32"/>
        </w:rPr>
        <w:t>竞争性磋商响应文件</w:t>
      </w:r>
    </w:p>
    <w:p w14:paraId="34832E01">
      <w:pPr>
        <w:spacing w:line="360" w:lineRule="auto"/>
        <w:ind w:firstLine="1430" w:firstLineChars="445"/>
        <w:jc w:val="center"/>
        <w:rPr>
          <w:rFonts w:ascii="宋体" w:hAnsi="宋体"/>
          <w:b/>
          <w:sz w:val="32"/>
          <w:szCs w:val="32"/>
        </w:rPr>
      </w:pPr>
    </w:p>
    <w:p w14:paraId="546D8D33">
      <w:pPr>
        <w:spacing w:line="360" w:lineRule="auto"/>
        <w:ind w:firstLine="3672" w:firstLineChars="1143"/>
        <w:jc w:val="both"/>
        <w:rPr>
          <w:rFonts w:hint="eastAsia" w:ascii="宋体" w:hAnsi="宋体" w:eastAsiaTheme="minorEastAsia"/>
          <w:b/>
          <w:sz w:val="32"/>
          <w:szCs w:val="32"/>
          <w:lang w:val="en-US" w:eastAsia="zh-CN"/>
        </w:rPr>
      </w:pPr>
      <w:r>
        <w:rPr>
          <w:rFonts w:hint="eastAsia" w:ascii="宋体" w:hAnsi="宋体"/>
          <w:b/>
          <w:sz w:val="32"/>
          <w:szCs w:val="32"/>
          <w:lang w:val="en-US" w:eastAsia="zh-CN"/>
        </w:rPr>
        <w:t>采购编号：</w:t>
      </w:r>
    </w:p>
    <w:p w14:paraId="46A85E29">
      <w:pPr>
        <w:spacing w:line="360" w:lineRule="auto"/>
        <w:jc w:val="center"/>
        <w:rPr>
          <w:rFonts w:ascii="宋体" w:hAnsi="宋体"/>
          <w:b/>
          <w:sz w:val="32"/>
          <w:szCs w:val="32"/>
        </w:rPr>
      </w:pPr>
      <w:r>
        <w:rPr>
          <w:rFonts w:hint="eastAsia" w:ascii="宋体" w:hAnsi="宋体" w:cs="宋体"/>
          <w:b/>
          <w:sz w:val="32"/>
          <w:szCs w:val="32"/>
        </w:rPr>
        <w:t>项目编号：</w:t>
      </w:r>
    </w:p>
    <w:p w14:paraId="37D5D3ED">
      <w:pPr>
        <w:spacing w:line="360" w:lineRule="auto"/>
        <w:jc w:val="left"/>
        <w:rPr>
          <w:rFonts w:ascii="宋体" w:hAnsi="宋体"/>
          <w:sz w:val="32"/>
          <w:szCs w:val="32"/>
        </w:rPr>
      </w:pPr>
    </w:p>
    <w:p w14:paraId="35A43C3E">
      <w:pPr>
        <w:spacing w:line="360" w:lineRule="auto"/>
        <w:jc w:val="left"/>
        <w:rPr>
          <w:rFonts w:ascii="宋体" w:hAnsi="宋体"/>
          <w:sz w:val="32"/>
          <w:szCs w:val="32"/>
        </w:rPr>
      </w:pPr>
    </w:p>
    <w:p w14:paraId="3707E089">
      <w:pPr>
        <w:spacing w:line="360" w:lineRule="auto"/>
        <w:jc w:val="left"/>
        <w:rPr>
          <w:rFonts w:ascii="宋体" w:hAnsi="宋体"/>
          <w:sz w:val="32"/>
          <w:szCs w:val="32"/>
        </w:rPr>
      </w:pPr>
    </w:p>
    <w:p w14:paraId="0347C58E">
      <w:pPr>
        <w:spacing w:line="360" w:lineRule="auto"/>
        <w:jc w:val="left"/>
        <w:rPr>
          <w:rFonts w:ascii="宋体" w:hAnsi="宋体"/>
          <w:sz w:val="32"/>
          <w:szCs w:val="32"/>
        </w:rPr>
      </w:pPr>
    </w:p>
    <w:p w14:paraId="29C15C37">
      <w:pPr>
        <w:tabs>
          <w:tab w:val="left" w:pos="0"/>
        </w:tabs>
        <w:autoSpaceDE w:val="0"/>
        <w:autoSpaceDN w:val="0"/>
        <w:adjustRightInd w:val="0"/>
        <w:spacing w:line="360" w:lineRule="auto"/>
        <w:ind w:right="-212" w:firstLine="448" w:firstLineChars="140"/>
        <w:jc w:val="left"/>
        <w:rPr>
          <w:rFonts w:ascii="宋体" w:hAnsi="宋体" w:cs="宋体"/>
          <w:color w:val="000000"/>
          <w:kern w:val="0"/>
          <w:sz w:val="32"/>
          <w:szCs w:val="32"/>
        </w:rPr>
      </w:pPr>
    </w:p>
    <w:p w14:paraId="7F21BC12">
      <w:pPr>
        <w:tabs>
          <w:tab w:val="left" w:pos="0"/>
        </w:tabs>
        <w:autoSpaceDE w:val="0"/>
        <w:autoSpaceDN w:val="0"/>
        <w:adjustRightInd w:val="0"/>
        <w:spacing w:line="360" w:lineRule="auto"/>
        <w:ind w:right="-212" w:firstLine="448" w:firstLineChars="140"/>
        <w:jc w:val="left"/>
        <w:rPr>
          <w:rFonts w:ascii="宋体" w:hAnsi="宋体" w:cs="宋体"/>
          <w:color w:val="000000"/>
          <w:kern w:val="0"/>
          <w:sz w:val="32"/>
          <w:szCs w:val="32"/>
        </w:rPr>
      </w:pPr>
    </w:p>
    <w:p w14:paraId="3A3DF5F0">
      <w:pPr>
        <w:tabs>
          <w:tab w:val="left" w:pos="0"/>
        </w:tabs>
        <w:autoSpaceDE w:val="0"/>
        <w:autoSpaceDN w:val="0"/>
        <w:adjustRightInd w:val="0"/>
        <w:spacing w:line="360" w:lineRule="auto"/>
        <w:ind w:right="-212" w:firstLine="448" w:firstLineChars="140"/>
        <w:jc w:val="left"/>
        <w:rPr>
          <w:rFonts w:ascii="宋体" w:hAnsi="宋体" w:cs="宋体"/>
          <w:color w:val="000000"/>
          <w:kern w:val="0"/>
          <w:sz w:val="32"/>
          <w:szCs w:val="32"/>
        </w:rPr>
      </w:pPr>
    </w:p>
    <w:p w14:paraId="6345575D">
      <w:pPr>
        <w:spacing w:line="360" w:lineRule="auto"/>
        <w:ind w:firstLine="1590" w:firstLineChars="495"/>
        <w:jc w:val="left"/>
        <w:rPr>
          <w:rFonts w:ascii="宋体" w:hAnsi="宋体" w:eastAsia="宋体" w:cs="宋体"/>
          <w:b/>
          <w:sz w:val="32"/>
          <w:szCs w:val="32"/>
        </w:rPr>
      </w:pPr>
    </w:p>
    <w:p w14:paraId="52D3D4C7">
      <w:pPr>
        <w:spacing w:line="360" w:lineRule="auto"/>
        <w:jc w:val="left"/>
        <w:rPr>
          <w:rFonts w:ascii="宋体" w:hAnsi="宋体" w:eastAsia="宋体" w:cs="宋体"/>
          <w:b/>
          <w:sz w:val="28"/>
          <w:szCs w:val="28"/>
        </w:rPr>
      </w:pPr>
      <w:r>
        <w:rPr>
          <w:rFonts w:hint="eastAsia" w:ascii="宋体" w:hAnsi="宋体" w:eastAsia="宋体" w:cs="宋体"/>
          <w:b/>
          <w:sz w:val="28"/>
          <w:szCs w:val="28"/>
        </w:rPr>
        <w:t>供应商：（盖章）</w:t>
      </w:r>
      <w:r>
        <w:rPr>
          <w:rFonts w:hint="eastAsia" w:ascii="宋体" w:hAnsi="宋体" w:cs="宋体"/>
          <w:b/>
          <w:bCs/>
          <w:kern w:val="1"/>
          <w:sz w:val="28"/>
          <w:szCs w:val="28"/>
          <w:u w:val="single"/>
        </w:rPr>
        <w:t xml:space="preserve">                    </w:t>
      </w:r>
    </w:p>
    <w:p w14:paraId="75027B68">
      <w:pPr>
        <w:spacing w:line="360" w:lineRule="auto"/>
        <w:jc w:val="left"/>
        <w:rPr>
          <w:rFonts w:ascii="宋体" w:hAnsi="宋体" w:eastAsia="宋体" w:cs="宋体"/>
          <w:b/>
          <w:sz w:val="28"/>
          <w:szCs w:val="28"/>
        </w:rPr>
      </w:pPr>
      <w:r>
        <w:rPr>
          <w:rFonts w:hint="eastAsia" w:ascii="宋体" w:hAnsi="宋体" w:eastAsia="宋体" w:cs="宋体"/>
          <w:b/>
          <w:sz w:val="28"/>
          <w:szCs w:val="28"/>
        </w:rPr>
        <w:t>法定代表人或其委托代理人：（签字或盖章）</w:t>
      </w:r>
      <w:r>
        <w:rPr>
          <w:rFonts w:hint="eastAsia" w:ascii="宋体" w:hAnsi="宋体" w:cs="宋体"/>
          <w:b/>
          <w:bCs/>
          <w:kern w:val="1"/>
          <w:sz w:val="28"/>
          <w:szCs w:val="28"/>
          <w:u w:val="single"/>
        </w:rPr>
        <w:t xml:space="preserve">                    </w:t>
      </w:r>
    </w:p>
    <w:p w14:paraId="09FEB495">
      <w:pPr>
        <w:spacing w:line="360" w:lineRule="auto"/>
        <w:jc w:val="left"/>
        <w:rPr>
          <w:rFonts w:hint="eastAsia" w:ascii="宋体" w:hAnsi="宋体" w:eastAsia="宋体" w:cs="宋体"/>
          <w:b/>
          <w:sz w:val="28"/>
          <w:szCs w:val="28"/>
        </w:rPr>
      </w:pPr>
      <w:r>
        <w:rPr>
          <w:rFonts w:hint="eastAsia" w:ascii="宋体" w:hAnsi="宋体" w:eastAsia="宋体" w:cs="宋体"/>
          <w:b/>
          <w:sz w:val="28"/>
          <w:szCs w:val="28"/>
        </w:rPr>
        <w:t>日期：</w:t>
      </w:r>
      <w:r>
        <w:rPr>
          <w:rFonts w:hint="eastAsia" w:ascii="宋体" w:hAnsi="宋体" w:cs="宋体"/>
          <w:b/>
          <w:bCs/>
          <w:kern w:val="1"/>
          <w:sz w:val="28"/>
          <w:szCs w:val="28"/>
          <w:u w:val="single"/>
        </w:rPr>
        <w:t xml:space="preserve">      </w:t>
      </w:r>
      <w:r>
        <w:rPr>
          <w:rFonts w:hint="eastAsia" w:ascii="宋体" w:hAnsi="宋体" w:eastAsia="宋体" w:cs="宋体"/>
          <w:b/>
          <w:sz w:val="28"/>
          <w:szCs w:val="28"/>
        </w:rPr>
        <w:t>年</w:t>
      </w:r>
      <w:r>
        <w:rPr>
          <w:rFonts w:hint="eastAsia" w:ascii="宋体" w:hAnsi="宋体" w:cs="宋体"/>
          <w:b/>
          <w:bCs/>
          <w:kern w:val="1"/>
          <w:sz w:val="28"/>
          <w:szCs w:val="28"/>
          <w:u w:val="single"/>
        </w:rPr>
        <w:t xml:space="preserve">     </w:t>
      </w:r>
      <w:r>
        <w:rPr>
          <w:rFonts w:hint="eastAsia" w:ascii="宋体" w:hAnsi="宋体" w:eastAsia="宋体" w:cs="宋体"/>
          <w:b/>
          <w:sz w:val="28"/>
          <w:szCs w:val="28"/>
        </w:rPr>
        <w:t>月</w:t>
      </w:r>
      <w:r>
        <w:rPr>
          <w:rFonts w:hint="eastAsia" w:ascii="宋体" w:hAnsi="宋体" w:cs="宋体"/>
          <w:b/>
          <w:bCs/>
          <w:kern w:val="1"/>
          <w:sz w:val="28"/>
          <w:szCs w:val="28"/>
          <w:u w:val="single"/>
        </w:rPr>
        <w:t xml:space="preserve">      </w:t>
      </w:r>
      <w:r>
        <w:rPr>
          <w:rFonts w:hint="eastAsia" w:ascii="宋体" w:hAnsi="宋体" w:eastAsia="宋体" w:cs="宋体"/>
          <w:b/>
          <w:sz w:val="28"/>
          <w:szCs w:val="28"/>
        </w:rPr>
        <w:t>日</w:t>
      </w:r>
    </w:p>
    <w:p w14:paraId="0EB99620">
      <w:pPr>
        <w:pStyle w:val="2"/>
      </w:pPr>
    </w:p>
    <w:p w14:paraId="1396B5D4">
      <w:pPr>
        <w:ind w:firstLine="2650" w:firstLineChars="1100"/>
        <w:jc w:val="center"/>
        <w:rPr>
          <w:rFonts w:ascii="宋体" w:hAnsi="宋体" w:cs="宋体"/>
          <w:b/>
          <w:sz w:val="24"/>
        </w:rPr>
      </w:pPr>
    </w:p>
    <w:p w14:paraId="4F5FE05E">
      <w:pPr>
        <w:ind w:firstLine="2650" w:firstLineChars="1100"/>
        <w:jc w:val="center"/>
        <w:rPr>
          <w:rFonts w:ascii="宋体" w:hAnsi="宋体" w:cs="宋体"/>
          <w:b/>
          <w:sz w:val="24"/>
        </w:rPr>
      </w:pPr>
    </w:p>
    <w:p w14:paraId="11842FA9">
      <w:pPr>
        <w:jc w:val="center"/>
        <w:rPr>
          <w:rFonts w:ascii="宋体" w:hAnsi="宋体" w:cs="宋体"/>
          <w:b/>
          <w:sz w:val="28"/>
          <w:szCs w:val="28"/>
        </w:rPr>
      </w:pPr>
      <w:r>
        <w:rPr>
          <w:rFonts w:hint="eastAsia" w:ascii="宋体" w:hAnsi="宋体" w:cs="宋体"/>
          <w:b/>
          <w:sz w:val="28"/>
          <w:szCs w:val="28"/>
        </w:rPr>
        <w:t>目录</w:t>
      </w:r>
    </w:p>
    <w:p w14:paraId="47EAC6A9">
      <w:pPr>
        <w:jc w:val="center"/>
        <w:rPr>
          <w:rFonts w:ascii="宋体" w:hAnsi="宋体" w:cs="宋体"/>
          <w:b/>
          <w:sz w:val="28"/>
          <w:szCs w:val="28"/>
        </w:rPr>
      </w:pPr>
      <w:r>
        <w:rPr>
          <w:rFonts w:hint="eastAsia" w:ascii="宋体" w:hAnsi="宋体" w:cs="宋体"/>
          <w:b/>
          <w:sz w:val="28"/>
          <w:szCs w:val="28"/>
        </w:rPr>
        <w:t>(格式自拟)</w:t>
      </w:r>
    </w:p>
    <w:p w14:paraId="393DA3C4">
      <w:pPr>
        <w:ind w:firstLine="2650" w:firstLineChars="1100"/>
        <w:jc w:val="center"/>
        <w:rPr>
          <w:rFonts w:ascii="宋体" w:hAnsi="宋体" w:cs="宋体"/>
          <w:b/>
          <w:sz w:val="24"/>
        </w:rPr>
      </w:pPr>
    </w:p>
    <w:p w14:paraId="221BCD10">
      <w:pPr>
        <w:ind w:firstLine="2650" w:firstLineChars="1100"/>
        <w:jc w:val="center"/>
        <w:rPr>
          <w:rFonts w:ascii="宋体" w:hAnsi="宋体" w:cs="宋体"/>
          <w:b/>
          <w:sz w:val="24"/>
        </w:rPr>
      </w:pPr>
    </w:p>
    <w:p w14:paraId="258C9F0F">
      <w:pPr>
        <w:ind w:firstLine="2650" w:firstLineChars="1100"/>
        <w:jc w:val="center"/>
        <w:rPr>
          <w:rFonts w:ascii="宋体" w:hAnsi="宋体" w:cs="宋体"/>
          <w:b/>
          <w:sz w:val="24"/>
        </w:rPr>
      </w:pPr>
    </w:p>
    <w:p w14:paraId="7955E3A1">
      <w:pPr>
        <w:ind w:firstLine="2650" w:firstLineChars="1100"/>
        <w:jc w:val="center"/>
        <w:rPr>
          <w:rFonts w:ascii="宋体" w:hAnsi="宋体" w:cs="宋体"/>
          <w:b/>
          <w:sz w:val="24"/>
        </w:rPr>
      </w:pPr>
    </w:p>
    <w:p w14:paraId="5B40C202">
      <w:pPr>
        <w:ind w:firstLine="2650" w:firstLineChars="1100"/>
        <w:jc w:val="center"/>
        <w:rPr>
          <w:rFonts w:ascii="宋体" w:hAnsi="宋体" w:cs="宋体"/>
          <w:b/>
          <w:sz w:val="24"/>
        </w:rPr>
      </w:pPr>
    </w:p>
    <w:p w14:paraId="4FD773B2">
      <w:pPr>
        <w:ind w:firstLine="2650" w:firstLineChars="1100"/>
        <w:jc w:val="center"/>
        <w:rPr>
          <w:rFonts w:ascii="宋体" w:hAnsi="宋体" w:cs="宋体"/>
          <w:b/>
          <w:sz w:val="24"/>
        </w:rPr>
      </w:pPr>
    </w:p>
    <w:p w14:paraId="3991E111">
      <w:pPr>
        <w:ind w:firstLine="2650" w:firstLineChars="1100"/>
        <w:jc w:val="center"/>
        <w:rPr>
          <w:rFonts w:ascii="宋体" w:hAnsi="宋体" w:cs="宋体"/>
          <w:b/>
          <w:sz w:val="24"/>
        </w:rPr>
      </w:pPr>
    </w:p>
    <w:p w14:paraId="10A1FB98">
      <w:pPr>
        <w:ind w:firstLine="2650" w:firstLineChars="1100"/>
        <w:jc w:val="center"/>
        <w:rPr>
          <w:rFonts w:ascii="宋体" w:hAnsi="宋体" w:cs="宋体"/>
          <w:b/>
          <w:sz w:val="24"/>
        </w:rPr>
      </w:pPr>
    </w:p>
    <w:p w14:paraId="1F6716E4">
      <w:pPr>
        <w:ind w:firstLine="2650" w:firstLineChars="1100"/>
        <w:jc w:val="center"/>
        <w:rPr>
          <w:rFonts w:ascii="宋体" w:hAnsi="宋体" w:cs="宋体"/>
          <w:b/>
          <w:sz w:val="24"/>
        </w:rPr>
      </w:pPr>
    </w:p>
    <w:p w14:paraId="2A4332E5">
      <w:pPr>
        <w:ind w:firstLine="2650" w:firstLineChars="1100"/>
        <w:jc w:val="center"/>
        <w:rPr>
          <w:rFonts w:ascii="宋体" w:hAnsi="宋体" w:cs="宋体"/>
          <w:b/>
          <w:sz w:val="24"/>
        </w:rPr>
      </w:pPr>
    </w:p>
    <w:p w14:paraId="4642D2CB">
      <w:pPr>
        <w:ind w:firstLine="2650" w:firstLineChars="1100"/>
        <w:jc w:val="center"/>
        <w:rPr>
          <w:rFonts w:ascii="宋体" w:hAnsi="宋体" w:cs="宋体"/>
          <w:b/>
          <w:sz w:val="24"/>
        </w:rPr>
      </w:pPr>
    </w:p>
    <w:p w14:paraId="7B8AE6CB">
      <w:pPr>
        <w:ind w:firstLine="2650" w:firstLineChars="1100"/>
        <w:jc w:val="center"/>
        <w:rPr>
          <w:rFonts w:ascii="宋体" w:hAnsi="宋体" w:cs="宋体"/>
          <w:b/>
          <w:sz w:val="24"/>
        </w:rPr>
      </w:pPr>
    </w:p>
    <w:p w14:paraId="7B8469B5">
      <w:pPr>
        <w:ind w:firstLine="2650" w:firstLineChars="1100"/>
        <w:jc w:val="center"/>
        <w:rPr>
          <w:rFonts w:ascii="宋体" w:hAnsi="宋体" w:cs="宋体"/>
          <w:b/>
          <w:sz w:val="24"/>
        </w:rPr>
      </w:pPr>
    </w:p>
    <w:p w14:paraId="3FB23377">
      <w:pPr>
        <w:ind w:firstLine="2650" w:firstLineChars="1100"/>
        <w:jc w:val="center"/>
        <w:rPr>
          <w:rFonts w:ascii="宋体" w:hAnsi="宋体" w:cs="宋体"/>
          <w:b/>
          <w:sz w:val="24"/>
        </w:rPr>
      </w:pPr>
    </w:p>
    <w:p w14:paraId="28A32316">
      <w:pPr>
        <w:ind w:firstLine="2650" w:firstLineChars="1100"/>
        <w:jc w:val="center"/>
        <w:rPr>
          <w:rFonts w:ascii="宋体" w:hAnsi="宋体" w:cs="宋体"/>
          <w:b/>
          <w:sz w:val="24"/>
        </w:rPr>
      </w:pPr>
    </w:p>
    <w:p w14:paraId="762CB0C4">
      <w:pPr>
        <w:ind w:firstLine="2650" w:firstLineChars="1100"/>
        <w:jc w:val="center"/>
        <w:rPr>
          <w:rFonts w:ascii="宋体" w:hAnsi="宋体" w:cs="宋体"/>
          <w:b/>
          <w:sz w:val="24"/>
        </w:rPr>
      </w:pPr>
    </w:p>
    <w:p w14:paraId="4A02AE7A">
      <w:pPr>
        <w:ind w:firstLine="2650" w:firstLineChars="1100"/>
        <w:jc w:val="center"/>
        <w:rPr>
          <w:rFonts w:ascii="宋体" w:hAnsi="宋体" w:cs="宋体"/>
          <w:b/>
          <w:sz w:val="24"/>
        </w:rPr>
      </w:pPr>
    </w:p>
    <w:p w14:paraId="215C30DA">
      <w:pPr>
        <w:ind w:firstLine="2650" w:firstLineChars="1100"/>
        <w:jc w:val="center"/>
        <w:rPr>
          <w:rFonts w:ascii="宋体" w:hAnsi="宋体" w:cs="宋体"/>
          <w:b/>
          <w:sz w:val="24"/>
        </w:rPr>
      </w:pPr>
    </w:p>
    <w:p w14:paraId="141EA757">
      <w:pPr>
        <w:ind w:firstLine="2650" w:firstLineChars="1100"/>
        <w:jc w:val="center"/>
        <w:rPr>
          <w:rFonts w:ascii="宋体" w:hAnsi="宋体" w:cs="宋体"/>
          <w:b/>
          <w:sz w:val="24"/>
        </w:rPr>
      </w:pPr>
    </w:p>
    <w:p w14:paraId="33EE5B94">
      <w:pPr>
        <w:ind w:firstLine="2650" w:firstLineChars="1100"/>
        <w:jc w:val="center"/>
        <w:rPr>
          <w:rFonts w:ascii="宋体" w:hAnsi="宋体" w:cs="宋体"/>
          <w:b/>
          <w:sz w:val="24"/>
        </w:rPr>
      </w:pPr>
    </w:p>
    <w:p w14:paraId="5C86E6FB">
      <w:pPr>
        <w:ind w:firstLine="2650" w:firstLineChars="1100"/>
        <w:jc w:val="center"/>
        <w:rPr>
          <w:rFonts w:ascii="宋体" w:hAnsi="宋体" w:cs="宋体"/>
          <w:b/>
          <w:sz w:val="24"/>
        </w:rPr>
      </w:pPr>
    </w:p>
    <w:p w14:paraId="5F53575C">
      <w:pPr>
        <w:ind w:firstLine="2650" w:firstLineChars="1100"/>
        <w:jc w:val="center"/>
        <w:rPr>
          <w:rFonts w:ascii="宋体" w:hAnsi="宋体" w:cs="宋体"/>
          <w:b/>
          <w:sz w:val="24"/>
        </w:rPr>
      </w:pPr>
    </w:p>
    <w:p w14:paraId="69C3E681">
      <w:pPr>
        <w:ind w:firstLine="2650" w:firstLineChars="1100"/>
        <w:jc w:val="center"/>
        <w:rPr>
          <w:rFonts w:ascii="宋体" w:hAnsi="宋体" w:cs="宋体"/>
          <w:b/>
          <w:sz w:val="24"/>
        </w:rPr>
      </w:pPr>
    </w:p>
    <w:p w14:paraId="0B5953A3">
      <w:pPr>
        <w:ind w:firstLine="2650" w:firstLineChars="1100"/>
        <w:jc w:val="center"/>
        <w:rPr>
          <w:rFonts w:ascii="宋体" w:hAnsi="宋体" w:cs="宋体"/>
          <w:b/>
          <w:sz w:val="24"/>
        </w:rPr>
      </w:pPr>
    </w:p>
    <w:p w14:paraId="78DD5872">
      <w:pPr>
        <w:ind w:firstLine="2650" w:firstLineChars="1100"/>
        <w:jc w:val="center"/>
        <w:rPr>
          <w:rFonts w:ascii="宋体" w:hAnsi="宋体" w:cs="宋体"/>
          <w:b/>
          <w:sz w:val="24"/>
        </w:rPr>
      </w:pPr>
    </w:p>
    <w:p w14:paraId="7B99CE2F">
      <w:pPr>
        <w:ind w:firstLine="2650" w:firstLineChars="1100"/>
        <w:jc w:val="center"/>
        <w:rPr>
          <w:rFonts w:ascii="宋体" w:hAnsi="宋体" w:cs="宋体"/>
          <w:b/>
          <w:sz w:val="24"/>
        </w:rPr>
      </w:pPr>
    </w:p>
    <w:p w14:paraId="64881E32">
      <w:pPr>
        <w:ind w:firstLine="2650" w:firstLineChars="1100"/>
        <w:jc w:val="center"/>
        <w:rPr>
          <w:rFonts w:ascii="宋体" w:hAnsi="宋体" w:cs="宋体"/>
          <w:b/>
          <w:sz w:val="24"/>
        </w:rPr>
      </w:pPr>
    </w:p>
    <w:p w14:paraId="519B44DB">
      <w:pPr>
        <w:ind w:firstLine="2650" w:firstLineChars="1100"/>
        <w:jc w:val="center"/>
        <w:rPr>
          <w:rFonts w:ascii="宋体" w:hAnsi="宋体" w:cs="宋体"/>
          <w:b/>
          <w:sz w:val="24"/>
        </w:rPr>
      </w:pPr>
    </w:p>
    <w:p w14:paraId="1BC33E17">
      <w:pPr>
        <w:ind w:firstLine="2650" w:firstLineChars="1100"/>
        <w:jc w:val="center"/>
        <w:rPr>
          <w:rFonts w:ascii="宋体" w:hAnsi="宋体" w:cs="宋体"/>
          <w:b/>
          <w:sz w:val="24"/>
        </w:rPr>
      </w:pPr>
    </w:p>
    <w:p w14:paraId="758CC475">
      <w:pPr>
        <w:ind w:firstLine="2650" w:firstLineChars="1100"/>
        <w:jc w:val="center"/>
        <w:rPr>
          <w:rFonts w:ascii="宋体" w:hAnsi="宋体" w:cs="宋体"/>
          <w:b/>
          <w:sz w:val="24"/>
        </w:rPr>
      </w:pPr>
    </w:p>
    <w:p w14:paraId="779956C8">
      <w:pPr>
        <w:ind w:firstLine="2650" w:firstLineChars="1100"/>
        <w:jc w:val="center"/>
        <w:rPr>
          <w:rFonts w:ascii="宋体" w:hAnsi="宋体" w:cs="宋体"/>
          <w:b/>
          <w:sz w:val="24"/>
        </w:rPr>
      </w:pPr>
    </w:p>
    <w:p w14:paraId="10679091">
      <w:pPr>
        <w:ind w:firstLine="2650" w:firstLineChars="1100"/>
        <w:jc w:val="center"/>
        <w:rPr>
          <w:rFonts w:ascii="宋体" w:hAnsi="宋体" w:cs="宋体"/>
          <w:b/>
          <w:sz w:val="24"/>
        </w:rPr>
      </w:pPr>
    </w:p>
    <w:p w14:paraId="499FB854">
      <w:pPr>
        <w:ind w:firstLine="2650" w:firstLineChars="1100"/>
        <w:jc w:val="center"/>
        <w:rPr>
          <w:rFonts w:ascii="宋体" w:hAnsi="宋体" w:cs="宋体"/>
          <w:b/>
          <w:sz w:val="24"/>
        </w:rPr>
      </w:pPr>
    </w:p>
    <w:p w14:paraId="1262ACAC">
      <w:pPr>
        <w:ind w:firstLine="2650" w:firstLineChars="1100"/>
        <w:jc w:val="center"/>
        <w:rPr>
          <w:rFonts w:ascii="宋体" w:hAnsi="宋体" w:cs="宋体"/>
          <w:b/>
          <w:sz w:val="24"/>
        </w:rPr>
      </w:pPr>
    </w:p>
    <w:p w14:paraId="5E16C384">
      <w:pPr>
        <w:pStyle w:val="2"/>
        <w:rPr>
          <w:rFonts w:ascii="宋体" w:hAnsi="宋体" w:cs="宋体"/>
          <w:b/>
          <w:sz w:val="24"/>
        </w:rPr>
      </w:pPr>
    </w:p>
    <w:p w14:paraId="46BF1AC7"/>
    <w:p w14:paraId="4D5D6D43">
      <w:pPr>
        <w:ind w:firstLine="2650" w:firstLineChars="1100"/>
        <w:jc w:val="center"/>
        <w:rPr>
          <w:rFonts w:ascii="宋体" w:hAnsi="宋体" w:cs="宋体"/>
          <w:b/>
          <w:sz w:val="24"/>
        </w:rPr>
      </w:pPr>
    </w:p>
    <w:p w14:paraId="55C59543">
      <w:pPr>
        <w:ind w:firstLine="2650" w:firstLineChars="1100"/>
        <w:jc w:val="center"/>
        <w:rPr>
          <w:rFonts w:ascii="宋体" w:hAnsi="宋体" w:cs="宋体"/>
          <w:b/>
          <w:sz w:val="24"/>
        </w:rPr>
      </w:pPr>
    </w:p>
    <w:p w14:paraId="03DDFDA1">
      <w:pPr>
        <w:jc w:val="center"/>
        <w:rPr>
          <w:rFonts w:ascii="宋体" w:hAnsi="宋体" w:cs="宋体"/>
          <w:b/>
          <w:sz w:val="40"/>
          <w:szCs w:val="40"/>
        </w:rPr>
      </w:pPr>
      <w:r>
        <w:rPr>
          <w:rFonts w:hint="eastAsia" w:ascii="宋体" w:hAnsi="宋体" w:cs="宋体"/>
          <w:b/>
          <w:sz w:val="32"/>
          <w:szCs w:val="32"/>
        </w:rPr>
        <w:t>一、磋商函及报价一览表</w:t>
      </w:r>
    </w:p>
    <w:p w14:paraId="5E5D4789">
      <w:pPr>
        <w:widowControl/>
        <w:spacing w:line="600" w:lineRule="exact"/>
        <w:jc w:val="center"/>
        <w:rPr>
          <w:rFonts w:hint="eastAsia" w:ascii="宋体" w:hAnsi="宋体" w:cs="宋体" w:eastAsiaTheme="minorEastAsia"/>
          <w:b/>
          <w:bCs/>
          <w:color w:val="000000"/>
          <w:kern w:val="0"/>
          <w:sz w:val="32"/>
          <w:szCs w:val="32"/>
          <w:lang w:val="en-US" w:eastAsia="zh-CN"/>
        </w:rPr>
      </w:pPr>
      <w:r>
        <w:rPr>
          <w:rFonts w:hint="eastAsia" w:ascii="宋体" w:hAnsi="宋体" w:cs="宋体"/>
          <w:b/>
          <w:bCs/>
          <w:color w:val="000000"/>
          <w:kern w:val="0"/>
          <w:sz w:val="32"/>
          <w:szCs w:val="32"/>
          <w:lang w:val="en-US" w:eastAsia="zh-CN"/>
        </w:rPr>
        <w:t>磋商函</w:t>
      </w:r>
    </w:p>
    <w:p w14:paraId="7BAC0C31">
      <w:pPr>
        <w:widowControl/>
        <w:spacing w:line="600" w:lineRule="exact"/>
        <w:jc w:val="left"/>
        <w:rPr>
          <w:rFonts w:ascii="宋体" w:hAnsi="宋体" w:cs="宋体"/>
          <w:color w:val="000000"/>
          <w:kern w:val="0"/>
          <w:sz w:val="24"/>
        </w:rPr>
      </w:pPr>
      <w:r>
        <w:rPr>
          <w:rFonts w:hint="eastAsia" w:ascii="宋体" w:hAnsi="宋体" w:cs="宋体"/>
          <w:color w:val="000000"/>
          <w:kern w:val="0"/>
          <w:sz w:val="24"/>
        </w:rPr>
        <w:t>致</w:t>
      </w:r>
      <w:r>
        <w:rPr>
          <w:rFonts w:hint="eastAsia" w:ascii="宋体" w:hAnsi="宋体" w:cs="宋体"/>
          <w:color w:val="000000"/>
          <w:kern w:val="0"/>
          <w:sz w:val="24"/>
          <w:u w:val="single"/>
        </w:rPr>
        <w:t xml:space="preserve">        </w:t>
      </w:r>
      <w:r>
        <w:rPr>
          <w:rFonts w:hint="eastAsia" w:ascii="宋体" w:hAnsi="宋体" w:cs="宋体"/>
          <w:color w:val="000000"/>
          <w:kern w:val="0"/>
          <w:sz w:val="24"/>
        </w:rPr>
        <w:t>（ 采购人名称 ）：</w:t>
      </w:r>
    </w:p>
    <w:p w14:paraId="055E7BB4">
      <w:pPr>
        <w:widowControl/>
        <w:spacing w:line="60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根据已收到贵方的</w:t>
      </w:r>
      <w:r>
        <w:rPr>
          <w:rFonts w:hint="eastAsia" w:ascii="宋体" w:hAnsi="宋体" w:cs="宋体"/>
          <w:color w:val="000000"/>
          <w:kern w:val="0"/>
          <w:sz w:val="24"/>
          <w:u w:val="single"/>
        </w:rPr>
        <w:t xml:space="preserve">       </w:t>
      </w:r>
      <w:r>
        <w:rPr>
          <w:rFonts w:hint="eastAsia" w:ascii="宋体" w:hAnsi="宋体" w:cs="宋体"/>
          <w:color w:val="000000"/>
          <w:kern w:val="0"/>
          <w:sz w:val="24"/>
        </w:rPr>
        <w:t>（项目名称）</w:t>
      </w:r>
      <w:r>
        <w:rPr>
          <w:rFonts w:hint="eastAsia" w:ascii="宋体" w:hAnsi="宋体" w:cs="宋体"/>
          <w:color w:val="000000"/>
          <w:kern w:val="0"/>
          <w:sz w:val="24"/>
          <w:u w:val="single"/>
        </w:rPr>
        <w:t xml:space="preserve">          </w:t>
      </w:r>
      <w:r>
        <w:rPr>
          <w:rFonts w:hint="eastAsia" w:ascii="宋体" w:hAnsi="宋体" w:cs="宋体"/>
          <w:color w:val="000000"/>
          <w:kern w:val="0"/>
          <w:sz w:val="24"/>
        </w:rPr>
        <w:t>（</w:t>
      </w:r>
      <w:r>
        <w:rPr>
          <w:rFonts w:hint="eastAsia" w:ascii="宋体" w:hAnsi="宋体" w:cs="宋体"/>
          <w:color w:val="000000"/>
          <w:kern w:val="0"/>
          <w:sz w:val="24"/>
          <w:lang w:val="en-US" w:eastAsia="zh-CN"/>
        </w:rPr>
        <w:t>采购、项目</w:t>
      </w:r>
      <w:r>
        <w:rPr>
          <w:rFonts w:hint="eastAsia" w:ascii="宋体" w:hAnsi="宋体" w:cs="宋体"/>
          <w:color w:val="000000"/>
          <w:kern w:val="0"/>
          <w:sz w:val="24"/>
        </w:rPr>
        <w:t>编号）竞争性磋商文件，</w:t>
      </w:r>
      <w:r>
        <w:rPr>
          <w:rFonts w:hint="eastAsia" w:ascii="宋体" w:hAnsi="宋体" w:cs="楷体"/>
          <w:color w:val="000000"/>
          <w:kern w:val="1"/>
          <w:sz w:val="24"/>
        </w:rPr>
        <w:t>经详细研究，我们决定参加</w:t>
      </w:r>
      <w:r>
        <w:rPr>
          <w:rFonts w:hint="eastAsia" w:ascii="宋体" w:hAnsi="宋体" w:cs="楷体"/>
          <w:color w:val="000000"/>
          <w:kern w:val="1"/>
          <w:sz w:val="24"/>
          <w:u w:val="single"/>
        </w:rPr>
        <w:t xml:space="preserve">          </w:t>
      </w:r>
      <w:r>
        <w:rPr>
          <w:rFonts w:hint="eastAsia" w:ascii="宋体" w:hAnsi="宋体" w:cs="楷体"/>
          <w:color w:val="000000"/>
          <w:kern w:val="1"/>
          <w:sz w:val="24"/>
        </w:rPr>
        <w:t>（项目名称）</w:t>
      </w:r>
      <w:r>
        <w:rPr>
          <w:rFonts w:hint="eastAsia" w:ascii="宋体" w:hAnsi="宋体" w:cs="楷体"/>
          <w:kern w:val="1"/>
          <w:sz w:val="24"/>
        </w:rPr>
        <w:t>的全部内容，我方愿意按委托人的要求承担所委托项目的服务工作，</w:t>
      </w:r>
      <w:r>
        <w:rPr>
          <w:rFonts w:hint="eastAsia" w:ascii="宋体" w:hAnsi="宋体" w:cs="宋体"/>
          <w:color w:val="000000"/>
          <w:kern w:val="0"/>
          <w:sz w:val="24"/>
        </w:rPr>
        <w:t>服务周期</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cs="宋体"/>
          <w:color w:val="000000"/>
          <w:kern w:val="0"/>
          <w:sz w:val="24"/>
        </w:rPr>
        <w:t>，质量要求达到：</w:t>
      </w:r>
      <w:r>
        <w:rPr>
          <w:rFonts w:hint="eastAsia" w:ascii="宋体" w:hAnsi="宋体" w:cs="宋体"/>
          <w:color w:val="000000"/>
          <w:kern w:val="0"/>
          <w:sz w:val="24"/>
          <w:u w:val="single"/>
        </w:rPr>
        <w:t xml:space="preserve">     </w:t>
      </w:r>
      <w:r>
        <w:rPr>
          <w:rFonts w:hint="eastAsia" w:ascii="宋体" w:hAnsi="宋体" w:cs="宋体"/>
          <w:color w:val="000000"/>
          <w:kern w:val="0"/>
          <w:sz w:val="24"/>
        </w:rPr>
        <w:t>，服务地点：</w:t>
      </w:r>
      <w:r>
        <w:rPr>
          <w:rFonts w:hint="eastAsia" w:ascii="宋体" w:hAnsi="宋体" w:cs="宋体"/>
          <w:color w:val="000000"/>
          <w:kern w:val="0"/>
          <w:sz w:val="24"/>
          <w:u w:val="single"/>
        </w:rPr>
        <w:t xml:space="preserve">       </w:t>
      </w:r>
      <w:r>
        <w:rPr>
          <w:rFonts w:hint="eastAsia" w:ascii="宋体" w:hAnsi="宋体" w:cs="宋体"/>
          <w:color w:val="000000"/>
          <w:kern w:val="0"/>
          <w:sz w:val="24"/>
        </w:rPr>
        <w:t>；按合同约定实施和完成本项目服务的内容。我方做出以下承诺：</w:t>
      </w:r>
    </w:p>
    <w:p w14:paraId="7EFF44CD">
      <w:pPr>
        <w:widowControl/>
        <w:spacing w:line="60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1、我方同意在本项目竞争性磋商文件中规定的磋商截止日期起日内60（日历天）遵守本响应文件中的承诺且在此期限期满之前均具有约束力。</w:t>
      </w:r>
    </w:p>
    <w:p w14:paraId="6334B64D">
      <w:pPr>
        <w:widowControl/>
        <w:spacing w:line="60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2、我方承诺已经具备《中华人民共和国政府采购法》中规定的参加政府采购活动的供应商应当具备的条件。</w:t>
      </w:r>
    </w:p>
    <w:p w14:paraId="3792F800">
      <w:pPr>
        <w:widowControl/>
        <w:spacing w:line="60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3、我方保证忠实地执行双方所签订的合同，并承担合同规定的责任和义务。</w:t>
      </w:r>
    </w:p>
    <w:p w14:paraId="68B6ABF1">
      <w:pPr>
        <w:widowControl/>
        <w:spacing w:line="60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4、我方承诺完全满足和响应竞争性磋商文件中的各项商务和技术要求，若有偏差，已在响应文件商务条款偏离表中予以明确特别说明。</w:t>
      </w:r>
    </w:p>
    <w:p w14:paraId="226C52AA">
      <w:pPr>
        <w:widowControl/>
        <w:spacing w:line="600" w:lineRule="exact"/>
        <w:ind w:firstLine="480" w:firstLineChars="200"/>
        <w:jc w:val="left"/>
        <w:rPr>
          <w:rFonts w:ascii="宋体" w:hAnsi="宋体" w:cs="宋体"/>
          <w:color w:val="000000"/>
          <w:kern w:val="0"/>
          <w:sz w:val="24"/>
        </w:rPr>
      </w:pPr>
      <w:r>
        <w:rPr>
          <w:rFonts w:hint="eastAsia" w:ascii="宋体" w:hAnsi="宋体" w:cs="宋体"/>
          <w:color w:val="000000"/>
          <w:kern w:val="0"/>
          <w:sz w:val="24"/>
          <w:lang w:val="en-US" w:eastAsia="zh-CN"/>
        </w:rPr>
        <w:t>5</w:t>
      </w:r>
      <w:r>
        <w:rPr>
          <w:rFonts w:hint="eastAsia" w:ascii="宋体" w:hAnsi="宋体" w:cs="宋体"/>
          <w:color w:val="000000"/>
          <w:kern w:val="0"/>
          <w:sz w:val="24"/>
        </w:rPr>
        <w:t>、我方愿意向贵方提供任何与本项</w:t>
      </w:r>
      <w:r>
        <w:rPr>
          <w:rFonts w:hint="eastAsia" w:ascii="宋体" w:hAnsi="宋体" w:cs="宋体"/>
          <w:color w:val="000000"/>
          <w:kern w:val="0"/>
          <w:sz w:val="24"/>
          <w:lang w:val="en-US" w:eastAsia="zh-CN"/>
        </w:rPr>
        <w:t>目</w:t>
      </w:r>
      <w:r>
        <w:rPr>
          <w:rFonts w:hint="eastAsia" w:ascii="宋体" w:hAnsi="宋体" w:cs="宋体"/>
          <w:color w:val="000000"/>
          <w:kern w:val="0"/>
          <w:sz w:val="24"/>
        </w:rPr>
        <w:t>有关的数据、情况和技术资料。若贵方需要，我方愿意提供我方作出的一切承诺的证明材料。</w:t>
      </w:r>
    </w:p>
    <w:p w14:paraId="21891395">
      <w:pPr>
        <w:widowControl/>
        <w:spacing w:line="600" w:lineRule="exact"/>
        <w:ind w:firstLine="480" w:firstLineChars="200"/>
        <w:jc w:val="left"/>
        <w:rPr>
          <w:rFonts w:ascii="宋体" w:hAnsi="宋体" w:cs="宋体"/>
          <w:color w:val="000000"/>
          <w:kern w:val="0"/>
          <w:sz w:val="24"/>
        </w:rPr>
      </w:pPr>
      <w:r>
        <w:rPr>
          <w:rFonts w:hint="eastAsia" w:ascii="宋体" w:hAnsi="宋体" w:cs="宋体"/>
          <w:color w:val="000000"/>
          <w:kern w:val="0"/>
          <w:sz w:val="24"/>
          <w:lang w:val="en-US" w:eastAsia="zh-CN"/>
        </w:rPr>
        <w:t>6</w:t>
      </w:r>
      <w:r>
        <w:rPr>
          <w:rFonts w:hint="eastAsia" w:ascii="宋体" w:hAnsi="宋体" w:cs="宋体"/>
          <w:color w:val="000000"/>
          <w:kern w:val="0"/>
          <w:sz w:val="24"/>
        </w:rPr>
        <w:t>、我方已详细审核全部响应文件及有关附件，确认无误。</w:t>
      </w:r>
    </w:p>
    <w:p w14:paraId="37FEE5D4">
      <w:pPr>
        <w:widowControl/>
        <w:spacing w:line="600" w:lineRule="exact"/>
        <w:ind w:firstLine="480" w:firstLineChars="200"/>
        <w:jc w:val="left"/>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7、磋商代理服务收费参照豫招协[2023]002号河南省招标投标协会关于印发《河南省招标代理服务收费指导意见》规定的收费标准向成交单位收取。招标代理服务费由成交供应商在领取成交通知书时，以现金或转账的方式一次性向缴纳。</w:t>
      </w:r>
    </w:p>
    <w:p w14:paraId="1EC16CF4">
      <w:pPr>
        <w:spacing w:line="480" w:lineRule="auto"/>
        <w:jc w:val="left"/>
        <w:rPr>
          <w:rFonts w:ascii="宋体" w:hAnsi="宋体" w:cs="楷体"/>
          <w:color w:val="000000"/>
          <w:kern w:val="1"/>
          <w:sz w:val="24"/>
        </w:rPr>
      </w:pPr>
      <w:r>
        <w:rPr>
          <w:rFonts w:hint="eastAsia" w:ascii="宋体" w:hAnsi="宋体" w:cs="宋体"/>
          <w:color w:val="000000"/>
          <w:kern w:val="0"/>
          <w:sz w:val="24"/>
        </w:rPr>
        <w:t>供应商：</w:t>
      </w:r>
      <w:r>
        <w:rPr>
          <w:rFonts w:hint="eastAsia" w:ascii="宋体" w:hAnsi="宋体" w:cs="楷体"/>
          <w:color w:val="000000"/>
          <w:kern w:val="1"/>
          <w:sz w:val="24"/>
          <w:u w:val="single"/>
        </w:rPr>
        <w:t xml:space="preserve">               </w:t>
      </w:r>
      <w:r>
        <w:rPr>
          <w:rFonts w:hint="eastAsia" w:ascii="宋体" w:hAnsi="宋体" w:cs="楷体"/>
          <w:color w:val="000000"/>
          <w:kern w:val="1"/>
          <w:sz w:val="24"/>
        </w:rPr>
        <w:t>（盖单位公章）</w:t>
      </w:r>
    </w:p>
    <w:p w14:paraId="25AD1244">
      <w:pPr>
        <w:spacing w:line="480" w:lineRule="auto"/>
        <w:jc w:val="left"/>
        <w:rPr>
          <w:rFonts w:ascii="宋体" w:hAnsi="宋体" w:cs="楷体"/>
          <w:color w:val="000000"/>
          <w:kern w:val="1"/>
          <w:sz w:val="24"/>
        </w:rPr>
      </w:pPr>
      <w:r>
        <w:rPr>
          <w:rFonts w:hint="eastAsia"/>
          <w:snapToGrid w:val="0"/>
          <w:color w:val="000000"/>
          <w:spacing w:val="-5"/>
          <w:kern w:val="0"/>
          <w:sz w:val="24"/>
        </w:rPr>
        <w:t>法定代表人或授权委托人</w:t>
      </w:r>
      <w:r>
        <w:rPr>
          <w:rFonts w:hint="eastAsia" w:ascii="宋体" w:hAnsi="宋体" w:cs="楷体"/>
          <w:color w:val="000000"/>
          <w:kern w:val="1"/>
          <w:sz w:val="24"/>
        </w:rPr>
        <w:t>：</w:t>
      </w:r>
      <w:r>
        <w:rPr>
          <w:rFonts w:hint="eastAsia" w:ascii="宋体" w:hAnsi="宋体" w:cs="楷体"/>
          <w:color w:val="000000"/>
          <w:kern w:val="1"/>
          <w:sz w:val="24"/>
          <w:u w:val="single"/>
        </w:rPr>
        <w:t xml:space="preserve">                  </w:t>
      </w:r>
      <w:r>
        <w:rPr>
          <w:rFonts w:hint="eastAsia" w:ascii="宋体" w:hAnsi="宋体" w:cs="楷体"/>
          <w:color w:val="000000"/>
          <w:kern w:val="1"/>
          <w:sz w:val="24"/>
        </w:rPr>
        <w:t>（签字或盖章）</w:t>
      </w:r>
    </w:p>
    <w:p w14:paraId="31624979">
      <w:pPr>
        <w:spacing w:line="480" w:lineRule="auto"/>
        <w:jc w:val="left"/>
        <w:rPr>
          <w:rFonts w:ascii="宋体" w:hAnsi="宋体" w:cs="楷体"/>
          <w:color w:val="000000"/>
          <w:kern w:val="1"/>
          <w:sz w:val="24"/>
        </w:rPr>
      </w:pPr>
      <w:r>
        <w:rPr>
          <w:rFonts w:hint="eastAsia" w:ascii="宋体" w:hAnsi="宋体" w:cs="宋体"/>
          <w:color w:val="000000"/>
          <w:kern w:val="0"/>
          <w:sz w:val="24"/>
        </w:rPr>
        <w:t>日期：</w:t>
      </w:r>
      <w:r>
        <w:rPr>
          <w:rFonts w:hint="eastAsia" w:ascii="宋体" w:hAnsi="宋体" w:cs="楷体"/>
          <w:color w:val="000000"/>
          <w:kern w:val="1"/>
          <w:sz w:val="24"/>
        </w:rPr>
        <w:t>____年____月_____日</w:t>
      </w:r>
    </w:p>
    <w:p w14:paraId="4379A037">
      <w:pPr>
        <w:spacing w:before="91" w:line="219" w:lineRule="auto"/>
        <w:jc w:val="center"/>
        <w:rPr>
          <w:rFonts w:ascii="宋体" w:hAnsi="宋体" w:eastAsia="宋体" w:cs="宋体"/>
          <w:sz w:val="32"/>
          <w:szCs w:val="32"/>
        </w:rPr>
      </w:pPr>
      <w:r>
        <w:rPr>
          <w:rFonts w:ascii="宋体" w:hAnsi="宋体" w:eastAsia="宋体" w:cs="宋体"/>
          <w:b/>
          <w:bCs/>
          <w:spacing w:val="-3"/>
          <w:sz w:val="32"/>
          <w:szCs w:val="32"/>
        </w:rPr>
        <w:t>报价一览表</w:t>
      </w:r>
    </w:p>
    <w:p w14:paraId="6134EC63">
      <w:pPr>
        <w:spacing w:before="227" w:line="220" w:lineRule="auto"/>
        <w:ind w:left="43"/>
        <w:rPr>
          <w:rFonts w:ascii="宋体" w:hAnsi="宋体" w:eastAsia="宋体" w:cs="宋体"/>
          <w:sz w:val="24"/>
        </w:rPr>
      </w:pPr>
      <w:r>
        <w:rPr>
          <w:rFonts w:ascii="宋体" w:hAnsi="宋体" w:eastAsia="宋体" w:cs="宋体"/>
          <w:spacing w:val="-2"/>
          <w:sz w:val="24"/>
        </w:rPr>
        <w:t>项目名称：</w:t>
      </w:r>
    </w:p>
    <w:p w14:paraId="156D6EC2">
      <w:pPr>
        <w:spacing w:before="153" w:line="219" w:lineRule="auto"/>
        <w:ind w:left="43"/>
        <w:rPr>
          <w:rFonts w:ascii="宋体" w:hAnsi="宋体" w:eastAsia="宋体" w:cs="宋体"/>
          <w:sz w:val="24"/>
        </w:rPr>
      </w:pPr>
      <w:r>
        <w:rPr>
          <w:rFonts w:hint="eastAsia" w:ascii="宋体" w:hAnsi="宋体" w:eastAsia="宋体" w:cs="宋体"/>
          <w:spacing w:val="-2"/>
          <w:sz w:val="24"/>
          <w:lang w:val="en-US" w:eastAsia="zh-CN"/>
        </w:rPr>
        <w:t>采购、</w:t>
      </w:r>
      <w:r>
        <w:rPr>
          <w:rFonts w:ascii="宋体" w:hAnsi="宋体" w:eastAsia="宋体" w:cs="宋体"/>
          <w:spacing w:val="-2"/>
          <w:sz w:val="24"/>
        </w:rPr>
        <w:t>项目编号：</w:t>
      </w:r>
    </w:p>
    <w:p w14:paraId="4918B0A3">
      <w:pPr>
        <w:spacing w:before="153" w:line="219" w:lineRule="auto"/>
        <w:ind w:left="38"/>
        <w:rPr>
          <w:rFonts w:ascii="宋体" w:hAnsi="宋体" w:eastAsia="宋体" w:cs="宋体"/>
          <w:sz w:val="24"/>
        </w:rPr>
      </w:pPr>
      <w:r>
        <w:rPr>
          <w:rFonts w:ascii="宋体" w:hAnsi="宋体" w:eastAsia="宋体" w:cs="宋体"/>
          <w:sz w:val="24"/>
        </w:rPr>
        <w:t>磋商供应商名称：</w:t>
      </w:r>
    </w:p>
    <w:tbl>
      <w:tblPr>
        <w:tblStyle w:val="42"/>
        <w:tblW w:w="94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2800"/>
        <w:gridCol w:w="966"/>
        <w:gridCol w:w="1350"/>
        <w:gridCol w:w="1584"/>
        <w:gridCol w:w="1929"/>
      </w:tblGrid>
      <w:tr w14:paraId="27D7F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831" w:type="dxa"/>
            <w:vAlign w:val="center"/>
          </w:tcPr>
          <w:p w14:paraId="2279C3D4">
            <w:pPr>
              <w:pStyle w:val="41"/>
              <w:spacing w:before="65" w:line="229" w:lineRule="auto"/>
              <w:jc w:val="center"/>
              <w:rPr>
                <w:sz w:val="20"/>
                <w:szCs w:val="20"/>
              </w:rPr>
            </w:pPr>
            <w:r>
              <w:rPr>
                <w:spacing w:val="6"/>
                <w:sz w:val="20"/>
                <w:szCs w:val="20"/>
              </w:rPr>
              <w:t>序号</w:t>
            </w:r>
          </w:p>
        </w:tc>
        <w:tc>
          <w:tcPr>
            <w:tcW w:w="2800" w:type="dxa"/>
            <w:vAlign w:val="center"/>
          </w:tcPr>
          <w:p w14:paraId="446D51FE">
            <w:pPr>
              <w:pStyle w:val="41"/>
              <w:spacing w:before="65" w:line="227" w:lineRule="auto"/>
              <w:jc w:val="center"/>
              <w:rPr>
                <w:sz w:val="20"/>
                <w:szCs w:val="20"/>
              </w:rPr>
            </w:pPr>
            <w:r>
              <w:rPr>
                <w:spacing w:val="7"/>
                <w:sz w:val="20"/>
                <w:szCs w:val="20"/>
              </w:rPr>
              <w:t>货物名称</w:t>
            </w:r>
          </w:p>
        </w:tc>
        <w:tc>
          <w:tcPr>
            <w:tcW w:w="966" w:type="dxa"/>
            <w:vAlign w:val="center"/>
          </w:tcPr>
          <w:p w14:paraId="79CAB0AE">
            <w:pPr>
              <w:pStyle w:val="41"/>
              <w:spacing w:before="65" w:line="228" w:lineRule="auto"/>
              <w:jc w:val="center"/>
              <w:rPr>
                <w:sz w:val="20"/>
                <w:szCs w:val="20"/>
              </w:rPr>
            </w:pPr>
            <w:r>
              <w:rPr>
                <w:spacing w:val="5"/>
                <w:sz w:val="20"/>
                <w:szCs w:val="20"/>
              </w:rPr>
              <w:t>数量</w:t>
            </w:r>
          </w:p>
        </w:tc>
        <w:tc>
          <w:tcPr>
            <w:tcW w:w="1350" w:type="dxa"/>
            <w:vAlign w:val="center"/>
          </w:tcPr>
          <w:p w14:paraId="2D061E4B">
            <w:pPr>
              <w:pStyle w:val="41"/>
              <w:spacing w:before="65" w:line="228" w:lineRule="auto"/>
              <w:jc w:val="center"/>
              <w:rPr>
                <w:sz w:val="20"/>
                <w:szCs w:val="20"/>
              </w:rPr>
            </w:pPr>
            <w:r>
              <w:rPr>
                <w:spacing w:val="5"/>
                <w:sz w:val="20"/>
                <w:szCs w:val="20"/>
              </w:rPr>
              <w:t>单位</w:t>
            </w:r>
          </w:p>
        </w:tc>
        <w:tc>
          <w:tcPr>
            <w:tcW w:w="1584" w:type="dxa"/>
            <w:vAlign w:val="center"/>
          </w:tcPr>
          <w:p w14:paraId="63BC5121">
            <w:pPr>
              <w:pStyle w:val="41"/>
              <w:spacing w:before="65" w:line="228" w:lineRule="auto"/>
              <w:jc w:val="center"/>
              <w:rPr>
                <w:sz w:val="20"/>
                <w:szCs w:val="20"/>
              </w:rPr>
            </w:pPr>
            <w:r>
              <w:rPr>
                <w:spacing w:val="10"/>
                <w:sz w:val="20"/>
                <w:szCs w:val="20"/>
              </w:rPr>
              <w:t>合同履行期限</w:t>
            </w:r>
          </w:p>
        </w:tc>
        <w:tc>
          <w:tcPr>
            <w:tcW w:w="1929" w:type="dxa"/>
            <w:vAlign w:val="center"/>
          </w:tcPr>
          <w:p w14:paraId="65DF4F7B">
            <w:pPr>
              <w:pStyle w:val="41"/>
              <w:spacing w:before="65" w:line="227" w:lineRule="auto"/>
              <w:jc w:val="center"/>
              <w:rPr>
                <w:sz w:val="20"/>
                <w:szCs w:val="20"/>
              </w:rPr>
            </w:pPr>
            <w:r>
              <w:rPr>
                <w:spacing w:val="8"/>
                <w:sz w:val="20"/>
                <w:szCs w:val="20"/>
              </w:rPr>
              <w:t>交货地点</w:t>
            </w:r>
          </w:p>
        </w:tc>
      </w:tr>
      <w:tr w14:paraId="7C2D7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831" w:type="dxa"/>
            <w:vAlign w:val="center"/>
          </w:tcPr>
          <w:p w14:paraId="215A28BB">
            <w:pPr>
              <w:pStyle w:val="41"/>
              <w:spacing w:before="65" w:line="227" w:lineRule="auto"/>
              <w:jc w:val="center"/>
              <w:rPr>
                <w:spacing w:val="7"/>
                <w:sz w:val="20"/>
                <w:szCs w:val="20"/>
              </w:rPr>
            </w:pPr>
            <w:r>
              <w:rPr>
                <w:spacing w:val="7"/>
                <w:sz w:val="20"/>
                <w:szCs w:val="20"/>
              </w:rPr>
              <w:t>1</w:t>
            </w:r>
          </w:p>
        </w:tc>
        <w:tc>
          <w:tcPr>
            <w:tcW w:w="2800" w:type="dxa"/>
            <w:vAlign w:val="center"/>
          </w:tcPr>
          <w:p w14:paraId="299D3A84">
            <w:pPr>
              <w:pStyle w:val="41"/>
              <w:spacing w:before="65" w:line="227" w:lineRule="auto"/>
              <w:jc w:val="center"/>
              <w:rPr>
                <w:spacing w:val="7"/>
                <w:sz w:val="20"/>
                <w:szCs w:val="20"/>
                <w:lang w:eastAsia="zh-CN"/>
              </w:rPr>
            </w:pPr>
            <w:r>
              <w:rPr>
                <w:rFonts w:hint="eastAsia"/>
                <w:spacing w:val="-6"/>
                <w:sz w:val="24"/>
                <w:szCs w:val="24"/>
                <w:lang w:eastAsia="zh-CN"/>
              </w:rPr>
              <w:t>蔬果、禽蛋、禽畜肉、水产品、饮品、米面粮油、调料干杂等食材供应</w:t>
            </w:r>
          </w:p>
        </w:tc>
        <w:tc>
          <w:tcPr>
            <w:tcW w:w="966" w:type="dxa"/>
            <w:vAlign w:val="center"/>
          </w:tcPr>
          <w:p w14:paraId="6E577E5B">
            <w:pPr>
              <w:pStyle w:val="41"/>
              <w:spacing w:before="65" w:line="227" w:lineRule="auto"/>
              <w:jc w:val="center"/>
              <w:rPr>
                <w:spacing w:val="7"/>
                <w:sz w:val="20"/>
                <w:szCs w:val="20"/>
              </w:rPr>
            </w:pPr>
            <w:r>
              <w:rPr>
                <w:spacing w:val="7"/>
                <w:sz w:val="20"/>
                <w:szCs w:val="20"/>
              </w:rPr>
              <w:t>1</w:t>
            </w:r>
          </w:p>
        </w:tc>
        <w:tc>
          <w:tcPr>
            <w:tcW w:w="1350" w:type="dxa"/>
            <w:vAlign w:val="center"/>
          </w:tcPr>
          <w:p w14:paraId="2592B1E7">
            <w:pPr>
              <w:pStyle w:val="41"/>
              <w:spacing w:before="65" w:line="227" w:lineRule="auto"/>
              <w:jc w:val="center"/>
              <w:rPr>
                <w:spacing w:val="7"/>
                <w:sz w:val="20"/>
                <w:szCs w:val="20"/>
              </w:rPr>
            </w:pPr>
            <w:r>
              <w:rPr>
                <w:spacing w:val="7"/>
                <w:sz w:val="20"/>
                <w:szCs w:val="20"/>
              </w:rPr>
              <w:t>批</w:t>
            </w:r>
          </w:p>
        </w:tc>
        <w:tc>
          <w:tcPr>
            <w:tcW w:w="1584" w:type="dxa"/>
            <w:vAlign w:val="center"/>
          </w:tcPr>
          <w:p w14:paraId="3E33BB8E">
            <w:pPr>
              <w:pStyle w:val="41"/>
              <w:spacing w:before="65" w:line="227" w:lineRule="auto"/>
              <w:jc w:val="center"/>
              <w:rPr>
                <w:spacing w:val="7"/>
                <w:sz w:val="20"/>
                <w:szCs w:val="20"/>
                <w:lang w:eastAsia="zh-CN"/>
              </w:rPr>
            </w:pPr>
            <w:r>
              <w:rPr>
                <w:rFonts w:hint="eastAsia"/>
                <w:spacing w:val="7"/>
                <w:sz w:val="20"/>
                <w:szCs w:val="20"/>
                <w:lang w:eastAsia="zh-CN"/>
              </w:rPr>
              <w:t>1年</w:t>
            </w:r>
          </w:p>
        </w:tc>
        <w:tc>
          <w:tcPr>
            <w:tcW w:w="1929" w:type="dxa"/>
            <w:vAlign w:val="center"/>
          </w:tcPr>
          <w:p w14:paraId="30AFF86C">
            <w:pPr>
              <w:pStyle w:val="41"/>
              <w:spacing w:before="65" w:line="227" w:lineRule="auto"/>
              <w:jc w:val="center"/>
              <w:rPr>
                <w:spacing w:val="7"/>
                <w:sz w:val="20"/>
                <w:szCs w:val="20"/>
              </w:rPr>
            </w:pPr>
          </w:p>
        </w:tc>
      </w:tr>
      <w:tr w14:paraId="0F60B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9460" w:type="dxa"/>
            <w:gridSpan w:val="6"/>
            <w:vAlign w:val="center"/>
          </w:tcPr>
          <w:p w14:paraId="50EDCDEC">
            <w:pPr>
              <w:pStyle w:val="41"/>
              <w:spacing w:before="78" w:line="219" w:lineRule="auto"/>
              <w:ind w:firstLine="228" w:firstLineChars="100"/>
              <w:rPr>
                <w:sz w:val="24"/>
                <w:szCs w:val="24"/>
              </w:rPr>
            </w:pPr>
            <w:r>
              <w:rPr>
                <w:spacing w:val="-6"/>
                <w:sz w:val="24"/>
                <w:szCs w:val="24"/>
              </w:rPr>
              <w:t>报价（折扣）：</w:t>
            </w:r>
            <w:r>
              <w:rPr>
                <w:spacing w:val="-6"/>
                <w:sz w:val="24"/>
                <w:szCs w:val="24"/>
                <w:u w:val="single"/>
              </w:rPr>
              <w:t xml:space="preserve">           </w:t>
            </w:r>
            <w:r>
              <w:rPr>
                <w:spacing w:val="-6"/>
                <w:sz w:val="24"/>
                <w:szCs w:val="24"/>
              </w:rPr>
              <w:t xml:space="preserve"> %</w:t>
            </w:r>
          </w:p>
        </w:tc>
      </w:tr>
      <w:tr w14:paraId="65B1D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0" w:hRule="atLeast"/>
        </w:trPr>
        <w:tc>
          <w:tcPr>
            <w:tcW w:w="9460" w:type="dxa"/>
            <w:gridSpan w:val="6"/>
            <w:vAlign w:val="center"/>
          </w:tcPr>
          <w:p w14:paraId="597EF0B2">
            <w:pPr>
              <w:pStyle w:val="41"/>
              <w:spacing w:before="118" w:line="366" w:lineRule="auto"/>
              <w:ind w:left="118" w:right="111" w:firstLine="485"/>
              <w:rPr>
                <w:b/>
                <w:bCs/>
                <w:spacing w:val="-3"/>
                <w:sz w:val="24"/>
                <w:szCs w:val="24"/>
                <w:lang w:eastAsia="zh-CN"/>
              </w:rPr>
            </w:pPr>
            <w:r>
              <w:rPr>
                <w:spacing w:val="-3"/>
                <w:sz w:val="24"/>
                <w:szCs w:val="24"/>
                <w:lang w:eastAsia="zh-CN"/>
              </w:rPr>
              <w:t>备注：</w:t>
            </w:r>
            <w:r>
              <w:rPr>
                <w:rFonts w:hint="eastAsia"/>
                <w:b/>
                <w:bCs/>
                <w:spacing w:val="-3"/>
                <w:sz w:val="24"/>
                <w:szCs w:val="24"/>
                <w:lang w:eastAsia="zh-CN"/>
              </w:rPr>
              <w:t>综合执行单价=（三门峡市发展和改革委员会同期公布的三门峡市重要农副产品每日价格表单价×70%+供应商报价×30%）×成交折扣</w:t>
            </w:r>
          </w:p>
          <w:p w14:paraId="0DE0B3B9">
            <w:pPr>
              <w:overflowPunct w:val="0"/>
              <w:adjustRightInd w:val="0"/>
              <w:snapToGrid w:val="0"/>
              <w:spacing w:line="360" w:lineRule="auto"/>
              <w:ind w:firstLine="460" w:firstLineChars="200"/>
              <w:jc w:val="left"/>
              <w:rPr>
                <w:rFonts w:ascii="宋体" w:hAnsi="宋体" w:eastAsia="宋体" w:cs="宋体"/>
                <w:color w:val="000000"/>
                <w:sz w:val="24"/>
              </w:rPr>
            </w:pPr>
            <w:r>
              <w:rPr>
                <w:snapToGrid w:val="0"/>
                <w:color w:val="000000"/>
                <w:spacing w:val="-5"/>
                <w:kern w:val="0"/>
                <w:sz w:val="24"/>
              </w:rPr>
              <w:t>注：</w:t>
            </w:r>
            <w:r>
              <w:rPr>
                <w:rFonts w:hint="eastAsia" w:ascii="宋体" w:hAnsi="宋体" w:eastAsia="宋体" w:cs="宋体"/>
                <w:color w:val="000000"/>
                <w:sz w:val="24"/>
              </w:rPr>
              <w:t>1、依据三门峡市发展和改革委员会同期公布的三门峡市重要农副产品价格表，最终确定的综合执行单价最高不得高于三门峡市发展和改革委员会同期公布的三门峡市重要农副产品价格表单价的10%。</w:t>
            </w:r>
          </w:p>
          <w:p w14:paraId="695E1637">
            <w:pPr>
              <w:overflowPunct w:val="0"/>
              <w:adjustRightInd w:val="0"/>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2、其中三门峡市发展和改革委员会同期公布的三门峡市重要农副产品每日价格表中存在未列明的重要农副产品，综合执行单价按照如下公式计算：</w:t>
            </w:r>
          </w:p>
          <w:p w14:paraId="7DDEA7CD">
            <w:pPr>
              <w:overflowPunct w:val="0"/>
              <w:adjustRightInd w:val="0"/>
              <w:snapToGrid w:val="0"/>
              <w:spacing w:line="360" w:lineRule="auto"/>
              <w:ind w:firstLine="480" w:firstLineChars="200"/>
              <w:jc w:val="left"/>
              <w:rPr>
                <w:sz w:val="24"/>
              </w:rPr>
            </w:pPr>
            <w:r>
              <w:rPr>
                <w:rFonts w:hint="eastAsia" w:ascii="宋体" w:hAnsi="宋体" w:eastAsia="宋体" w:cs="宋体"/>
                <w:color w:val="000000"/>
                <w:sz w:val="24"/>
              </w:rPr>
              <w:t>综合执行单价=（本地批发1市场调研单价×40%+本地批发2市场调研单价×30%+供应商报价×30%）×成交折扣</w:t>
            </w:r>
          </w:p>
        </w:tc>
      </w:tr>
      <w:tr w14:paraId="71FBF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9460" w:type="dxa"/>
            <w:gridSpan w:val="6"/>
            <w:vAlign w:val="center"/>
          </w:tcPr>
          <w:p w14:paraId="186DD190">
            <w:pPr>
              <w:pStyle w:val="41"/>
              <w:spacing w:before="78" w:line="219" w:lineRule="auto"/>
              <w:rPr>
                <w:sz w:val="24"/>
                <w:szCs w:val="24"/>
                <w:lang w:eastAsia="zh-CN"/>
              </w:rPr>
            </w:pPr>
            <w:r>
              <w:rPr>
                <w:spacing w:val="-6"/>
                <w:sz w:val="24"/>
                <w:szCs w:val="24"/>
                <w:lang w:eastAsia="zh-CN"/>
              </w:rPr>
              <w:t>项目负责人</w:t>
            </w:r>
            <w:r>
              <w:rPr>
                <w:spacing w:val="4"/>
                <w:sz w:val="24"/>
                <w:szCs w:val="24"/>
                <w:lang w:eastAsia="zh-CN"/>
              </w:rPr>
              <w:t>：</w:t>
            </w:r>
            <w:r>
              <w:rPr>
                <w:spacing w:val="1"/>
                <w:sz w:val="24"/>
                <w:szCs w:val="24"/>
                <w:u w:val="single"/>
                <w:lang w:eastAsia="zh-CN"/>
              </w:rPr>
              <w:t xml:space="preserve">                </w:t>
            </w:r>
            <w:r>
              <w:rPr>
                <w:spacing w:val="31"/>
                <w:sz w:val="24"/>
                <w:szCs w:val="24"/>
                <w:lang w:eastAsia="zh-CN"/>
              </w:rPr>
              <w:t xml:space="preserve"> </w:t>
            </w:r>
            <w:r>
              <w:rPr>
                <w:spacing w:val="4"/>
                <w:sz w:val="24"/>
                <w:szCs w:val="24"/>
                <w:lang w:eastAsia="zh-CN"/>
              </w:rPr>
              <w:t>；</w:t>
            </w:r>
            <w:r>
              <w:rPr>
                <w:spacing w:val="-6"/>
                <w:sz w:val="24"/>
                <w:szCs w:val="24"/>
                <w:lang w:eastAsia="zh-CN"/>
              </w:rPr>
              <w:t>电话</w:t>
            </w:r>
            <w:r>
              <w:rPr>
                <w:spacing w:val="4"/>
                <w:sz w:val="24"/>
                <w:szCs w:val="24"/>
                <w:lang w:eastAsia="zh-CN"/>
              </w:rPr>
              <w:t>：</w:t>
            </w:r>
            <w:r>
              <w:rPr>
                <w:sz w:val="24"/>
                <w:szCs w:val="24"/>
                <w:u w:val="single"/>
                <w:lang w:eastAsia="zh-CN"/>
              </w:rPr>
              <w:t xml:space="preserve">              </w:t>
            </w:r>
            <w:r>
              <w:rPr>
                <w:spacing w:val="4"/>
                <w:sz w:val="24"/>
                <w:szCs w:val="24"/>
                <w:lang w:eastAsia="zh-CN"/>
              </w:rPr>
              <w:t>；</w:t>
            </w:r>
          </w:p>
        </w:tc>
      </w:tr>
      <w:tr w14:paraId="254B5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0" w:hRule="atLeast"/>
        </w:trPr>
        <w:tc>
          <w:tcPr>
            <w:tcW w:w="9460" w:type="dxa"/>
            <w:gridSpan w:val="6"/>
            <w:vAlign w:val="center"/>
          </w:tcPr>
          <w:p w14:paraId="69CDFA18">
            <w:pPr>
              <w:pStyle w:val="41"/>
              <w:spacing w:before="78" w:line="360" w:lineRule="auto"/>
              <w:ind w:firstLine="456" w:firstLineChars="200"/>
              <w:rPr>
                <w:snapToGrid w:val="0"/>
                <w:color w:val="000000"/>
                <w:spacing w:val="-5"/>
                <w:kern w:val="0"/>
                <w:sz w:val="24"/>
                <w:szCs w:val="24"/>
                <w:lang w:eastAsia="zh-CN"/>
              </w:rPr>
            </w:pPr>
            <w:r>
              <w:rPr>
                <w:rFonts w:hint="eastAsia"/>
                <w:spacing w:val="-6"/>
                <w:sz w:val="24"/>
                <w:szCs w:val="24"/>
                <w:lang w:eastAsia="zh-CN"/>
              </w:rPr>
              <w:t>备注：本项目采用折扣报价，成交折扣在整个合同执行过程中，不因国家政策变化而变动。根据成交折扣计算出的实际支付金额包含所供货物价格、运送到甲方指定地点所发 生的运费、装卸费、调换等环节所发生的费用及其他相关费用和所需缴纳的一切相关税 费。实际支付金额不得超过该项目预算金额。</w:t>
            </w:r>
          </w:p>
        </w:tc>
      </w:tr>
    </w:tbl>
    <w:p w14:paraId="18249D59">
      <w:pPr>
        <w:pStyle w:val="41"/>
        <w:widowControl/>
        <w:kinsoku w:val="0"/>
        <w:autoSpaceDE w:val="0"/>
        <w:autoSpaceDN w:val="0"/>
        <w:adjustRightInd w:val="0"/>
        <w:snapToGrid w:val="0"/>
        <w:spacing w:line="366" w:lineRule="auto"/>
        <w:ind w:right="47"/>
        <w:textAlignment w:val="baseline"/>
        <w:rPr>
          <w:snapToGrid w:val="0"/>
          <w:color w:val="000000"/>
          <w:spacing w:val="-5"/>
          <w:kern w:val="0"/>
          <w:lang w:eastAsia="zh-CN"/>
        </w:rPr>
      </w:pPr>
    </w:p>
    <w:p w14:paraId="598B6EC0">
      <w:pPr>
        <w:pStyle w:val="41"/>
        <w:widowControl/>
        <w:kinsoku w:val="0"/>
        <w:autoSpaceDE w:val="0"/>
        <w:autoSpaceDN w:val="0"/>
        <w:adjustRightInd w:val="0"/>
        <w:snapToGrid w:val="0"/>
        <w:spacing w:line="366" w:lineRule="auto"/>
        <w:ind w:left="119" w:right="47" w:firstLine="481"/>
        <w:jc w:val="center"/>
        <w:textAlignment w:val="baseline"/>
        <w:rPr>
          <w:snapToGrid w:val="0"/>
          <w:color w:val="000000"/>
          <w:spacing w:val="-5"/>
          <w:kern w:val="0"/>
          <w:sz w:val="24"/>
          <w:szCs w:val="24"/>
          <w:lang w:eastAsia="zh-CN"/>
        </w:rPr>
      </w:pPr>
      <w:r>
        <w:rPr>
          <w:rFonts w:hint="eastAsia"/>
          <w:snapToGrid w:val="0"/>
          <w:color w:val="000000"/>
          <w:spacing w:val="-5"/>
          <w:kern w:val="0"/>
          <w:sz w:val="24"/>
          <w:szCs w:val="24"/>
          <w:lang w:eastAsia="zh-CN"/>
        </w:rPr>
        <w:t xml:space="preserve">            供应商：</w:t>
      </w:r>
      <w:r>
        <w:rPr>
          <w:rFonts w:hint="eastAsia"/>
          <w:snapToGrid w:val="0"/>
          <w:color w:val="000000"/>
          <w:spacing w:val="-5"/>
          <w:kern w:val="0"/>
          <w:sz w:val="24"/>
          <w:szCs w:val="24"/>
          <w:u w:val="single"/>
          <w:lang w:eastAsia="zh-CN"/>
        </w:rPr>
        <w:t xml:space="preserve">                  </w:t>
      </w:r>
      <w:r>
        <w:rPr>
          <w:rFonts w:hint="eastAsia"/>
          <w:snapToGrid w:val="0"/>
          <w:color w:val="000000"/>
          <w:spacing w:val="-5"/>
          <w:kern w:val="0"/>
          <w:sz w:val="24"/>
          <w:szCs w:val="24"/>
          <w:lang w:eastAsia="zh-CN"/>
        </w:rPr>
        <w:t>（全称并加盖公章）</w:t>
      </w:r>
    </w:p>
    <w:p w14:paraId="4E212B5E">
      <w:pPr>
        <w:pStyle w:val="41"/>
        <w:widowControl/>
        <w:kinsoku w:val="0"/>
        <w:autoSpaceDE w:val="0"/>
        <w:autoSpaceDN w:val="0"/>
        <w:adjustRightInd w:val="0"/>
        <w:snapToGrid w:val="0"/>
        <w:spacing w:line="366" w:lineRule="auto"/>
        <w:ind w:left="119" w:right="47" w:firstLine="481"/>
        <w:jc w:val="right"/>
        <w:textAlignment w:val="baseline"/>
        <w:rPr>
          <w:snapToGrid w:val="0"/>
          <w:color w:val="000000"/>
          <w:spacing w:val="-5"/>
          <w:kern w:val="0"/>
          <w:sz w:val="24"/>
          <w:szCs w:val="24"/>
          <w:lang w:eastAsia="zh-CN"/>
        </w:rPr>
      </w:pPr>
      <w:r>
        <w:rPr>
          <w:rFonts w:hint="eastAsia"/>
          <w:snapToGrid w:val="0"/>
          <w:color w:val="000000"/>
          <w:spacing w:val="-5"/>
          <w:kern w:val="0"/>
          <w:sz w:val="24"/>
          <w:szCs w:val="24"/>
          <w:lang w:eastAsia="zh-CN"/>
        </w:rPr>
        <w:t>法定代表人或授权委托人：</w:t>
      </w:r>
      <w:r>
        <w:rPr>
          <w:rFonts w:hint="eastAsia"/>
          <w:snapToGrid w:val="0"/>
          <w:color w:val="000000"/>
          <w:spacing w:val="-5"/>
          <w:kern w:val="0"/>
          <w:sz w:val="24"/>
          <w:szCs w:val="24"/>
          <w:u w:val="single"/>
          <w:lang w:eastAsia="zh-CN"/>
        </w:rPr>
        <w:t xml:space="preserve">               </w:t>
      </w:r>
      <w:r>
        <w:rPr>
          <w:rFonts w:hint="eastAsia"/>
          <w:snapToGrid w:val="0"/>
          <w:color w:val="000000"/>
          <w:spacing w:val="-5"/>
          <w:kern w:val="0"/>
          <w:sz w:val="24"/>
          <w:szCs w:val="24"/>
          <w:lang w:eastAsia="zh-CN"/>
        </w:rPr>
        <w:t>（签字或盖章）</w:t>
      </w:r>
    </w:p>
    <w:p w14:paraId="1C4F2D71">
      <w:pPr>
        <w:pStyle w:val="41"/>
        <w:widowControl/>
        <w:kinsoku w:val="0"/>
        <w:autoSpaceDE w:val="0"/>
        <w:autoSpaceDN w:val="0"/>
        <w:adjustRightInd w:val="0"/>
        <w:snapToGrid w:val="0"/>
        <w:spacing w:line="366" w:lineRule="auto"/>
        <w:ind w:right="47" w:firstLine="2990" w:firstLineChars="1300"/>
        <w:textAlignment w:val="baseline"/>
        <w:rPr>
          <w:sz w:val="24"/>
          <w:szCs w:val="24"/>
          <w:lang w:eastAsia="zh-CN"/>
        </w:rPr>
        <w:sectPr>
          <w:headerReference r:id="rId4" w:type="default"/>
          <w:pgSz w:w="11905" w:h="16839"/>
          <w:pgMar w:top="1417" w:right="1417" w:bottom="1644" w:left="1417" w:header="714" w:footer="850" w:gutter="0"/>
          <w:pgNumType w:fmt="decimal"/>
          <w:cols w:space="720" w:num="1"/>
        </w:sectPr>
      </w:pPr>
      <w:r>
        <w:rPr>
          <w:rFonts w:hint="eastAsia"/>
          <w:snapToGrid w:val="0"/>
          <w:color w:val="000000"/>
          <w:spacing w:val="-5"/>
          <w:kern w:val="0"/>
          <w:sz w:val="24"/>
          <w:szCs w:val="24"/>
          <w:lang w:eastAsia="zh-CN"/>
        </w:rPr>
        <w:t>日   期 ：</w:t>
      </w:r>
      <w:r>
        <w:rPr>
          <w:rFonts w:hint="eastAsia"/>
          <w:snapToGrid w:val="0"/>
          <w:color w:val="000000"/>
          <w:spacing w:val="-5"/>
          <w:kern w:val="0"/>
          <w:sz w:val="24"/>
          <w:szCs w:val="24"/>
          <w:u w:val="single"/>
          <w:lang w:eastAsia="zh-CN"/>
        </w:rPr>
        <w:t xml:space="preserve">                  </w:t>
      </w:r>
    </w:p>
    <w:p w14:paraId="3F8E7031">
      <w:pPr>
        <w:pStyle w:val="14"/>
        <w:spacing w:line="360" w:lineRule="auto"/>
        <w:jc w:val="center"/>
        <w:rPr>
          <w:rFonts w:ascii="宋体" w:hAnsi="宋体"/>
          <w:b/>
          <w:bCs/>
          <w:kern w:val="0"/>
          <w:sz w:val="32"/>
          <w:szCs w:val="32"/>
        </w:rPr>
      </w:pPr>
      <w:r>
        <w:rPr>
          <w:rFonts w:hint="eastAsia" w:ascii="宋体" w:hAnsi="宋体"/>
          <w:b/>
          <w:bCs/>
          <w:kern w:val="0"/>
          <w:sz w:val="32"/>
          <w:szCs w:val="32"/>
        </w:rPr>
        <w:t>二、</w:t>
      </w:r>
      <w:r>
        <w:rPr>
          <w:rFonts w:ascii="宋体" w:hAnsi="宋体"/>
          <w:b/>
          <w:bCs/>
          <w:kern w:val="0"/>
          <w:sz w:val="32"/>
          <w:szCs w:val="32"/>
        </w:rPr>
        <w:t>法定代表人身份证明</w:t>
      </w:r>
    </w:p>
    <w:p w14:paraId="3C6BDC81">
      <w:pPr>
        <w:spacing w:line="440" w:lineRule="exact"/>
        <w:rPr>
          <w:rFonts w:ascii="宋体" w:hAnsi="宋体"/>
          <w:sz w:val="24"/>
          <w:szCs w:val="21"/>
        </w:rPr>
      </w:pPr>
    </w:p>
    <w:p w14:paraId="6300A34E">
      <w:pPr>
        <w:spacing w:line="440" w:lineRule="exact"/>
        <w:rPr>
          <w:rFonts w:ascii="宋体" w:hAnsi="宋体"/>
          <w:sz w:val="24"/>
          <w:szCs w:val="21"/>
        </w:rPr>
      </w:pPr>
      <w:r>
        <w:rPr>
          <w:rFonts w:ascii="宋体" w:hAnsi="宋体"/>
          <w:sz w:val="24"/>
          <w:szCs w:val="21"/>
        </w:rPr>
        <w:t>供应商名称：</w:t>
      </w:r>
      <w:r>
        <w:rPr>
          <w:rFonts w:ascii="宋体" w:hAnsi="宋体"/>
          <w:sz w:val="24"/>
          <w:szCs w:val="21"/>
          <w:u w:val="single"/>
        </w:rPr>
        <w:t xml:space="preserve">                            </w:t>
      </w:r>
      <w:r>
        <w:rPr>
          <w:rFonts w:ascii="宋体" w:hAnsi="宋体"/>
          <w:sz w:val="24"/>
          <w:szCs w:val="21"/>
        </w:rPr>
        <w:t xml:space="preserve"> </w:t>
      </w:r>
    </w:p>
    <w:p w14:paraId="579BFA3C">
      <w:pPr>
        <w:spacing w:line="440" w:lineRule="exact"/>
        <w:rPr>
          <w:rFonts w:ascii="宋体" w:hAnsi="宋体"/>
          <w:sz w:val="24"/>
          <w:szCs w:val="21"/>
        </w:rPr>
      </w:pPr>
      <w:r>
        <w:rPr>
          <w:rFonts w:ascii="宋体" w:hAnsi="宋体"/>
          <w:sz w:val="24"/>
          <w:szCs w:val="21"/>
        </w:rPr>
        <w:t>单位性质：</w:t>
      </w:r>
      <w:r>
        <w:rPr>
          <w:rFonts w:ascii="宋体" w:hAnsi="宋体"/>
          <w:sz w:val="24"/>
          <w:szCs w:val="21"/>
          <w:u w:val="single"/>
        </w:rPr>
        <w:t xml:space="preserve">                               </w:t>
      </w:r>
      <w:r>
        <w:rPr>
          <w:rFonts w:ascii="宋体" w:hAnsi="宋体"/>
          <w:sz w:val="24"/>
          <w:szCs w:val="21"/>
        </w:rPr>
        <w:t xml:space="preserve"> </w:t>
      </w:r>
    </w:p>
    <w:p w14:paraId="5AE106F8">
      <w:pPr>
        <w:spacing w:line="440" w:lineRule="exact"/>
        <w:rPr>
          <w:rFonts w:ascii="宋体" w:hAnsi="宋体"/>
          <w:sz w:val="24"/>
          <w:szCs w:val="21"/>
        </w:rPr>
      </w:pPr>
      <w:r>
        <w:rPr>
          <w:rFonts w:ascii="宋体" w:hAnsi="宋体"/>
          <w:sz w:val="24"/>
          <w:szCs w:val="21"/>
        </w:rPr>
        <w:t>地址：</w:t>
      </w:r>
      <w:r>
        <w:rPr>
          <w:rFonts w:ascii="宋体" w:hAnsi="宋体"/>
          <w:sz w:val="24"/>
          <w:szCs w:val="21"/>
          <w:u w:val="single"/>
        </w:rPr>
        <w:t xml:space="preserve">                                   </w:t>
      </w:r>
    </w:p>
    <w:p w14:paraId="06E62E98">
      <w:pPr>
        <w:spacing w:line="440" w:lineRule="exact"/>
        <w:rPr>
          <w:rFonts w:ascii="宋体" w:hAnsi="宋体"/>
          <w:sz w:val="24"/>
          <w:szCs w:val="21"/>
        </w:rPr>
      </w:pPr>
      <w:r>
        <w:rPr>
          <w:rFonts w:ascii="宋体" w:hAnsi="宋体"/>
          <w:sz w:val="24"/>
          <w:szCs w:val="21"/>
        </w:rPr>
        <w:t>成立时间：</w:t>
      </w:r>
      <w:r>
        <w:rPr>
          <w:rFonts w:ascii="宋体" w:hAnsi="宋体"/>
          <w:sz w:val="24"/>
          <w:szCs w:val="21"/>
          <w:u w:val="single"/>
        </w:rPr>
        <w:t xml:space="preserve">         </w:t>
      </w:r>
      <w:r>
        <w:rPr>
          <w:rFonts w:ascii="宋体" w:hAnsi="宋体"/>
          <w:sz w:val="24"/>
          <w:szCs w:val="21"/>
        </w:rPr>
        <w:t xml:space="preserve"> 年</w:t>
      </w:r>
      <w:r>
        <w:rPr>
          <w:rFonts w:ascii="宋体" w:hAnsi="宋体"/>
          <w:sz w:val="24"/>
          <w:szCs w:val="21"/>
          <w:u w:val="single"/>
        </w:rPr>
        <w:t xml:space="preserve">       </w:t>
      </w:r>
      <w:r>
        <w:rPr>
          <w:rFonts w:ascii="宋体" w:hAnsi="宋体"/>
          <w:sz w:val="24"/>
          <w:szCs w:val="21"/>
        </w:rPr>
        <w:t xml:space="preserve"> 月</w:t>
      </w:r>
      <w:r>
        <w:rPr>
          <w:rFonts w:ascii="宋体" w:hAnsi="宋体"/>
          <w:sz w:val="24"/>
          <w:szCs w:val="21"/>
          <w:u w:val="single"/>
        </w:rPr>
        <w:t xml:space="preserve">       </w:t>
      </w:r>
      <w:r>
        <w:rPr>
          <w:rFonts w:ascii="宋体" w:hAnsi="宋体"/>
          <w:sz w:val="24"/>
          <w:szCs w:val="21"/>
        </w:rPr>
        <w:t xml:space="preserve"> 日</w:t>
      </w:r>
    </w:p>
    <w:p w14:paraId="4A48AC18">
      <w:pPr>
        <w:spacing w:line="440" w:lineRule="exact"/>
        <w:rPr>
          <w:rFonts w:ascii="宋体" w:hAnsi="宋体"/>
          <w:sz w:val="24"/>
          <w:szCs w:val="21"/>
        </w:rPr>
      </w:pPr>
      <w:r>
        <w:rPr>
          <w:rFonts w:ascii="宋体" w:hAnsi="宋体"/>
          <w:sz w:val="24"/>
          <w:szCs w:val="21"/>
        </w:rPr>
        <w:t>经营期限：</w:t>
      </w:r>
      <w:r>
        <w:rPr>
          <w:rFonts w:ascii="宋体" w:hAnsi="宋体"/>
          <w:sz w:val="24"/>
          <w:szCs w:val="21"/>
          <w:u w:val="single"/>
        </w:rPr>
        <w:t xml:space="preserve">                               </w:t>
      </w:r>
    </w:p>
    <w:p w14:paraId="588D91FC">
      <w:pPr>
        <w:spacing w:line="440" w:lineRule="exact"/>
        <w:rPr>
          <w:rFonts w:ascii="宋体" w:hAnsi="宋体"/>
          <w:sz w:val="24"/>
          <w:szCs w:val="21"/>
        </w:rPr>
      </w:pPr>
      <w:r>
        <w:rPr>
          <w:rFonts w:ascii="宋体" w:hAnsi="宋体"/>
          <w:sz w:val="24"/>
          <w:szCs w:val="21"/>
        </w:rPr>
        <w:t>姓名：</w:t>
      </w:r>
      <w:r>
        <w:rPr>
          <w:rFonts w:ascii="宋体" w:hAnsi="宋体"/>
          <w:sz w:val="24"/>
          <w:szCs w:val="21"/>
          <w:u w:val="single"/>
        </w:rPr>
        <w:t xml:space="preserve">        </w:t>
      </w:r>
      <w:r>
        <w:rPr>
          <w:rFonts w:ascii="宋体" w:hAnsi="宋体"/>
          <w:sz w:val="24"/>
          <w:szCs w:val="21"/>
        </w:rPr>
        <w:t xml:space="preserve"> 性别：</w:t>
      </w:r>
      <w:r>
        <w:rPr>
          <w:rFonts w:ascii="宋体" w:hAnsi="宋体"/>
          <w:sz w:val="24"/>
          <w:szCs w:val="21"/>
          <w:u w:val="single"/>
        </w:rPr>
        <w:t xml:space="preserve">         </w:t>
      </w:r>
      <w:r>
        <w:rPr>
          <w:rFonts w:ascii="宋体" w:hAnsi="宋体"/>
          <w:sz w:val="24"/>
          <w:szCs w:val="21"/>
        </w:rPr>
        <w:t xml:space="preserve"> 年龄：</w:t>
      </w:r>
      <w:r>
        <w:rPr>
          <w:rFonts w:ascii="宋体" w:hAnsi="宋体"/>
          <w:sz w:val="24"/>
          <w:szCs w:val="21"/>
          <w:u w:val="single"/>
        </w:rPr>
        <w:t xml:space="preserve">        </w:t>
      </w:r>
      <w:r>
        <w:rPr>
          <w:rFonts w:ascii="宋体" w:hAnsi="宋体"/>
          <w:sz w:val="24"/>
          <w:szCs w:val="21"/>
        </w:rPr>
        <w:t>职务：</w:t>
      </w:r>
      <w:r>
        <w:rPr>
          <w:rFonts w:ascii="宋体" w:hAnsi="宋体"/>
          <w:sz w:val="24"/>
          <w:szCs w:val="21"/>
          <w:u w:val="single"/>
        </w:rPr>
        <w:t xml:space="preserve">        </w:t>
      </w:r>
    </w:p>
    <w:p w14:paraId="3F23C5F1">
      <w:pPr>
        <w:spacing w:line="440" w:lineRule="exact"/>
        <w:rPr>
          <w:rFonts w:ascii="宋体" w:hAnsi="宋体"/>
          <w:sz w:val="24"/>
          <w:szCs w:val="21"/>
        </w:rPr>
      </w:pPr>
      <w:r>
        <w:rPr>
          <w:rFonts w:ascii="宋体" w:hAnsi="宋体"/>
          <w:sz w:val="24"/>
          <w:szCs w:val="21"/>
        </w:rPr>
        <w:t>系</w:t>
      </w:r>
      <w:r>
        <w:rPr>
          <w:rFonts w:ascii="宋体" w:hAnsi="宋体"/>
          <w:sz w:val="24"/>
          <w:szCs w:val="21"/>
          <w:u w:val="single"/>
        </w:rPr>
        <w:t xml:space="preserve">                             </w:t>
      </w:r>
      <w:r>
        <w:rPr>
          <w:rFonts w:ascii="宋体" w:hAnsi="宋体"/>
          <w:sz w:val="24"/>
          <w:szCs w:val="21"/>
        </w:rPr>
        <w:t xml:space="preserve"> （供应商名称）的法定代表人。</w:t>
      </w:r>
    </w:p>
    <w:p w14:paraId="353BA7F2">
      <w:pPr>
        <w:spacing w:line="440" w:lineRule="exact"/>
        <w:ind w:firstLine="480" w:firstLineChars="200"/>
        <w:rPr>
          <w:rFonts w:ascii="宋体" w:hAnsi="宋体"/>
          <w:sz w:val="24"/>
          <w:szCs w:val="21"/>
        </w:rPr>
      </w:pPr>
      <w:r>
        <w:rPr>
          <w:rFonts w:ascii="宋体" w:hAnsi="宋体"/>
          <w:sz w:val="24"/>
          <w:szCs w:val="21"/>
        </w:rPr>
        <w:t>特此证明。</w:t>
      </w:r>
    </w:p>
    <w:p w14:paraId="61E8200A">
      <w:pPr>
        <w:spacing w:line="440" w:lineRule="exact"/>
        <w:rPr>
          <w:rFonts w:ascii="宋体" w:hAnsi="宋体"/>
          <w:sz w:val="24"/>
          <w:szCs w:val="21"/>
        </w:rPr>
      </w:pPr>
    </w:p>
    <w:p w14:paraId="12A546B5">
      <w:pPr>
        <w:spacing w:line="440" w:lineRule="exact"/>
        <w:rPr>
          <w:rFonts w:ascii="宋体" w:hAnsi="宋体"/>
          <w:sz w:val="24"/>
          <w:szCs w:val="21"/>
        </w:rPr>
      </w:pPr>
    </w:p>
    <w:p w14:paraId="5BB70077">
      <w:pPr>
        <w:spacing w:line="440" w:lineRule="exact"/>
        <w:jc w:val="right"/>
        <w:rPr>
          <w:rFonts w:ascii="宋体" w:hAnsi="宋体"/>
          <w:sz w:val="24"/>
          <w:szCs w:val="21"/>
        </w:rPr>
      </w:pPr>
      <w:r>
        <w:rPr>
          <w:rFonts w:ascii="宋体" w:hAnsi="宋体"/>
          <w:sz w:val="24"/>
          <w:szCs w:val="21"/>
        </w:rPr>
        <w:t xml:space="preserve">                          供应商：</w:t>
      </w:r>
      <w:r>
        <w:rPr>
          <w:rFonts w:ascii="宋体" w:hAnsi="宋体"/>
          <w:sz w:val="24"/>
          <w:szCs w:val="21"/>
          <w:u w:val="single"/>
        </w:rPr>
        <w:t xml:space="preserve">                 </w:t>
      </w:r>
      <w:r>
        <w:rPr>
          <w:rFonts w:ascii="宋体" w:hAnsi="宋体"/>
          <w:sz w:val="24"/>
          <w:szCs w:val="21"/>
        </w:rPr>
        <w:t>（盖单位公章）</w:t>
      </w:r>
    </w:p>
    <w:p w14:paraId="2B5EA276">
      <w:pPr>
        <w:spacing w:line="440" w:lineRule="exact"/>
        <w:jc w:val="right"/>
        <w:rPr>
          <w:rFonts w:ascii="宋体" w:hAnsi="宋体"/>
          <w:sz w:val="24"/>
          <w:szCs w:val="21"/>
        </w:rPr>
      </w:pPr>
      <w:r>
        <w:rPr>
          <w:rFonts w:ascii="宋体" w:hAnsi="宋体"/>
          <w:sz w:val="24"/>
          <w:szCs w:val="21"/>
        </w:rPr>
        <w:t xml:space="preserve">                                   </w:t>
      </w:r>
      <w:r>
        <w:rPr>
          <w:rFonts w:ascii="宋体" w:hAnsi="宋体"/>
          <w:sz w:val="24"/>
          <w:szCs w:val="21"/>
          <w:u w:val="single"/>
        </w:rPr>
        <w:t xml:space="preserve">       </w:t>
      </w:r>
      <w:r>
        <w:rPr>
          <w:rFonts w:ascii="宋体" w:hAnsi="宋体"/>
          <w:sz w:val="24"/>
          <w:szCs w:val="21"/>
        </w:rPr>
        <w:t>年</w:t>
      </w:r>
      <w:r>
        <w:rPr>
          <w:rFonts w:ascii="宋体" w:hAnsi="宋体"/>
          <w:sz w:val="24"/>
          <w:szCs w:val="21"/>
          <w:u w:val="single"/>
        </w:rPr>
        <w:t xml:space="preserve">       </w:t>
      </w:r>
      <w:r>
        <w:rPr>
          <w:rFonts w:ascii="宋体" w:hAnsi="宋体"/>
          <w:sz w:val="24"/>
          <w:szCs w:val="21"/>
        </w:rPr>
        <w:t>月</w:t>
      </w:r>
      <w:r>
        <w:rPr>
          <w:rFonts w:ascii="宋体" w:hAnsi="宋体"/>
          <w:sz w:val="24"/>
          <w:szCs w:val="21"/>
          <w:u w:val="single"/>
        </w:rPr>
        <w:t xml:space="preserve">       </w:t>
      </w:r>
      <w:r>
        <w:rPr>
          <w:rFonts w:ascii="宋体" w:hAnsi="宋体"/>
          <w:sz w:val="24"/>
          <w:szCs w:val="21"/>
        </w:rPr>
        <w:t>日</w:t>
      </w:r>
    </w:p>
    <w:p w14:paraId="072CB9F9">
      <w:pPr>
        <w:spacing w:line="440" w:lineRule="exact"/>
        <w:jc w:val="right"/>
        <w:rPr>
          <w:rFonts w:ascii="宋体" w:hAnsi="宋体"/>
          <w:sz w:val="24"/>
          <w:szCs w:val="21"/>
        </w:rPr>
      </w:pPr>
    </w:p>
    <w:p w14:paraId="104D4AE7">
      <w:pPr>
        <w:spacing w:line="440" w:lineRule="exact"/>
        <w:jc w:val="right"/>
        <w:rPr>
          <w:rFonts w:ascii="宋体" w:hAnsi="宋体"/>
          <w:sz w:val="24"/>
          <w:szCs w:val="21"/>
        </w:rPr>
      </w:pPr>
    </w:p>
    <w:tbl>
      <w:tblPr>
        <w:tblStyle w:val="21"/>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40006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9" w:hRule="atLeast"/>
          <w:jc w:val="center"/>
        </w:trPr>
        <w:tc>
          <w:tcPr>
            <w:tcW w:w="8528" w:type="dxa"/>
            <w:vAlign w:val="center"/>
          </w:tcPr>
          <w:p w14:paraId="77F2E492">
            <w:pPr>
              <w:spacing w:line="480" w:lineRule="exact"/>
              <w:jc w:val="center"/>
              <w:rPr>
                <w:rFonts w:ascii="宋体" w:hAnsi="宋体"/>
                <w:sz w:val="32"/>
                <w:szCs w:val="32"/>
              </w:rPr>
            </w:pPr>
            <w:r>
              <w:rPr>
                <w:rFonts w:ascii="宋体" w:hAnsi="宋体"/>
                <w:sz w:val="32"/>
                <w:szCs w:val="32"/>
              </w:rPr>
              <w:t>法定代表人身份证</w:t>
            </w:r>
            <w:r>
              <w:rPr>
                <w:rFonts w:hint="eastAsia" w:ascii="宋体" w:hAnsi="宋体"/>
                <w:sz w:val="32"/>
                <w:szCs w:val="32"/>
              </w:rPr>
              <w:t>复印件</w:t>
            </w:r>
          </w:p>
          <w:p w14:paraId="48459D6D">
            <w:pPr>
              <w:spacing w:line="480" w:lineRule="exact"/>
              <w:jc w:val="center"/>
              <w:rPr>
                <w:rFonts w:ascii="宋体" w:hAnsi="宋体"/>
                <w:sz w:val="24"/>
                <w:szCs w:val="21"/>
              </w:rPr>
            </w:pPr>
          </w:p>
        </w:tc>
      </w:tr>
    </w:tbl>
    <w:p w14:paraId="3F354A00">
      <w:pPr>
        <w:keepNext/>
        <w:keepLines/>
        <w:spacing w:line="360" w:lineRule="auto"/>
        <w:jc w:val="center"/>
        <w:outlineLvl w:val="1"/>
        <w:rPr>
          <w:rFonts w:ascii="宋体" w:hAnsi="宋体"/>
          <w:b/>
          <w:bCs/>
          <w:kern w:val="0"/>
          <w:sz w:val="24"/>
        </w:rPr>
      </w:pPr>
      <w:bookmarkStart w:id="164" w:name="_Toc380755773"/>
      <w:bookmarkStart w:id="165" w:name="_Toc152042581"/>
      <w:bookmarkStart w:id="166" w:name="_Toc152045792"/>
      <w:bookmarkStart w:id="167" w:name="_Toc144974861"/>
      <w:bookmarkStart w:id="168" w:name="_Toc367029174"/>
      <w:bookmarkStart w:id="169" w:name="_Toc359234641"/>
    </w:p>
    <w:bookmarkEnd w:id="164"/>
    <w:bookmarkEnd w:id="165"/>
    <w:bookmarkEnd w:id="166"/>
    <w:bookmarkEnd w:id="167"/>
    <w:bookmarkEnd w:id="168"/>
    <w:bookmarkEnd w:id="169"/>
    <w:p w14:paraId="0912B36A">
      <w:pPr>
        <w:rPr>
          <w:rFonts w:ascii="宋体" w:hAnsi="宋体"/>
          <w:sz w:val="24"/>
          <w:szCs w:val="20"/>
          <w:lang w:val="zh-CN"/>
        </w:rPr>
      </w:pPr>
    </w:p>
    <w:p w14:paraId="4AF00933">
      <w:pPr>
        <w:rPr>
          <w:rFonts w:ascii="宋体" w:hAnsi="宋体"/>
          <w:sz w:val="24"/>
          <w:szCs w:val="20"/>
          <w:lang w:val="zh-CN"/>
        </w:rPr>
      </w:pPr>
    </w:p>
    <w:p w14:paraId="159C0880">
      <w:pPr>
        <w:rPr>
          <w:rFonts w:ascii="宋体" w:hAnsi="宋体"/>
          <w:sz w:val="24"/>
          <w:szCs w:val="20"/>
          <w:lang w:val="zh-CN"/>
        </w:rPr>
      </w:pPr>
    </w:p>
    <w:p w14:paraId="4F2512D7">
      <w:pPr>
        <w:rPr>
          <w:rFonts w:ascii="宋体" w:hAnsi="宋体"/>
          <w:sz w:val="24"/>
          <w:szCs w:val="20"/>
          <w:lang w:val="zh-CN"/>
        </w:rPr>
      </w:pPr>
    </w:p>
    <w:p w14:paraId="1ABB202F">
      <w:pPr>
        <w:rPr>
          <w:rFonts w:ascii="宋体" w:hAnsi="宋体"/>
          <w:sz w:val="24"/>
          <w:szCs w:val="20"/>
          <w:lang w:val="zh-CN"/>
        </w:rPr>
      </w:pPr>
    </w:p>
    <w:p w14:paraId="15C7133A">
      <w:pPr>
        <w:keepNext/>
        <w:keepLines/>
        <w:spacing w:line="360" w:lineRule="auto"/>
        <w:jc w:val="center"/>
        <w:outlineLvl w:val="1"/>
        <w:rPr>
          <w:rFonts w:ascii="宋体" w:hAnsi="宋体"/>
          <w:b/>
          <w:bCs/>
          <w:kern w:val="0"/>
          <w:sz w:val="30"/>
          <w:szCs w:val="30"/>
        </w:rPr>
      </w:pPr>
      <w:r>
        <w:rPr>
          <w:rFonts w:hint="eastAsia" w:ascii="宋体" w:hAnsi="宋体"/>
          <w:b/>
          <w:bCs/>
          <w:kern w:val="0"/>
          <w:sz w:val="30"/>
          <w:szCs w:val="30"/>
        </w:rPr>
        <w:t>三</w:t>
      </w:r>
      <w:r>
        <w:rPr>
          <w:rFonts w:ascii="宋体" w:hAnsi="宋体"/>
          <w:b/>
          <w:bCs/>
          <w:kern w:val="0"/>
          <w:sz w:val="30"/>
          <w:szCs w:val="30"/>
        </w:rPr>
        <w:t>、</w:t>
      </w:r>
      <w:r>
        <w:rPr>
          <w:rFonts w:hint="eastAsia" w:ascii="宋体" w:hAnsi="宋体"/>
          <w:b/>
          <w:bCs/>
          <w:kern w:val="0"/>
          <w:sz w:val="30"/>
          <w:szCs w:val="30"/>
        </w:rPr>
        <w:t>法定代表人</w:t>
      </w:r>
      <w:r>
        <w:rPr>
          <w:rFonts w:ascii="宋体" w:hAnsi="宋体"/>
          <w:b/>
          <w:bCs/>
          <w:kern w:val="0"/>
          <w:sz w:val="30"/>
          <w:szCs w:val="30"/>
        </w:rPr>
        <w:t>授权委托书</w:t>
      </w:r>
    </w:p>
    <w:p w14:paraId="2A80FC64">
      <w:pPr>
        <w:spacing w:line="440" w:lineRule="exact"/>
        <w:rPr>
          <w:rFonts w:ascii="宋体" w:hAnsi="宋体"/>
          <w:sz w:val="24"/>
          <w:szCs w:val="21"/>
        </w:rPr>
      </w:pPr>
    </w:p>
    <w:p w14:paraId="339247AC">
      <w:pPr>
        <w:topLinePunct/>
        <w:spacing w:line="440" w:lineRule="exact"/>
        <w:ind w:firstLine="480" w:firstLineChars="200"/>
        <w:rPr>
          <w:rFonts w:ascii="宋体" w:hAnsi="宋体"/>
          <w:sz w:val="24"/>
          <w:szCs w:val="21"/>
        </w:rPr>
      </w:pPr>
      <w:r>
        <w:rPr>
          <w:rFonts w:ascii="宋体" w:hAnsi="宋体"/>
          <w:sz w:val="24"/>
          <w:szCs w:val="21"/>
        </w:rPr>
        <w:t>本人</w:t>
      </w:r>
      <w:r>
        <w:rPr>
          <w:rFonts w:ascii="宋体" w:hAnsi="宋体"/>
          <w:sz w:val="24"/>
          <w:szCs w:val="21"/>
          <w:u w:val="single"/>
        </w:rPr>
        <w:t xml:space="preserve">       </w:t>
      </w:r>
      <w:r>
        <w:rPr>
          <w:rFonts w:ascii="宋体" w:hAnsi="宋体"/>
          <w:sz w:val="24"/>
          <w:szCs w:val="21"/>
        </w:rPr>
        <w:t>（姓名）系</w:t>
      </w:r>
      <w:r>
        <w:rPr>
          <w:rFonts w:ascii="宋体" w:hAnsi="宋体"/>
          <w:sz w:val="24"/>
          <w:szCs w:val="21"/>
          <w:u w:val="single"/>
        </w:rPr>
        <w:t xml:space="preserve">     </w:t>
      </w:r>
      <w:r>
        <w:rPr>
          <w:rFonts w:hint="eastAsia" w:ascii="宋体" w:hAnsi="宋体"/>
          <w:sz w:val="24"/>
          <w:szCs w:val="21"/>
          <w:u w:val="single"/>
        </w:rPr>
        <w:t xml:space="preserve">    </w:t>
      </w:r>
      <w:r>
        <w:rPr>
          <w:rFonts w:ascii="宋体" w:hAnsi="宋体"/>
          <w:sz w:val="24"/>
          <w:szCs w:val="21"/>
          <w:u w:val="single"/>
        </w:rPr>
        <w:t xml:space="preserve">   </w:t>
      </w:r>
      <w:r>
        <w:rPr>
          <w:rFonts w:ascii="宋体" w:hAnsi="宋体"/>
          <w:sz w:val="24"/>
          <w:szCs w:val="21"/>
        </w:rPr>
        <w:t>（供应商名称）的法定代表人，现委托</w:t>
      </w:r>
      <w:r>
        <w:rPr>
          <w:rFonts w:ascii="宋体" w:hAnsi="宋体"/>
          <w:sz w:val="24"/>
          <w:szCs w:val="21"/>
          <w:u w:val="single"/>
        </w:rPr>
        <w:t xml:space="preserve">        </w:t>
      </w:r>
      <w:r>
        <w:rPr>
          <w:rFonts w:ascii="宋体" w:hAnsi="宋体"/>
          <w:sz w:val="24"/>
          <w:szCs w:val="21"/>
        </w:rPr>
        <w:t>（姓名）为我方代理人。代理人根据授权，以我方名义签署、澄清、说明、补正、递交、撤回、修改</w:t>
      </w:r>
      <w:r>
        <w:rPr>
          <w:rFonts w:ascii="宋体" w:hAnsi="宋体"/>
          <w:sz w:val="24"/>
          <w:szCs w:val="21"/>
          <w:u w:val="single"/>
        </w:rPr>
        <w:t xml:space="preserve">          </w:t>
      </w:r>
      <w:r>
        <w:rPr>
          <w:rFonts w:ascii="宋体" w:hAnsi="宋体"/>
          <w:sz w:val="24"/>
          <w:szCs w:val="21"/>
        </w:rPr>
        <w:t>（项目名称）</w:t>
      </w:r>
      <w:r>
        <w:rPr>
          <w:rFonts w:hint="eastAsia" w:ascii="宋体" w:hAnsi="宋体"/>
          <w:sz w:val="24"/>
          <w:szCs w:val="21"/>
        </w:rPr>
        <w:t>磋商</w:t>
      </w:r>
      <w:r>
        <w:rPr>
          <w:rFonts w:ascii="宋体" w:hAnsi="宋体"/>
          <w:sz w:val="24"/>
          <w:szCs w:val="21"/>
        </w:rPr>
        <w:t>文件、签订合同和处理有关事宜，其法律后果由我方承担。</w:t>
      </w:r>
    </w:p>
    <w:p w14:paraId="3295B839">
      <w:pPr>
        <w:spacing w:line="440" w:lineRule="exact"/>
        <w:rPr>
          <w:rFonts w:ascii="宋体" w:hAnsi="宋体"/>
          <w:sz w:val="24"/>
          <w:szCs w:val="21"/>
        </w:rPr>
      </w:pPr>
      <w:r>
        <w:rPr>
          <w:rFonts w:ascii="宋体" w:hAnsi="宋体"/>
          <w:sz w:val="24"/>
          <w:szCs w:val="21"/>
        </w:rPr>
        <w:t xml:space="preserve">    委托期限：</w:t>
      </w:r>
      <w:r>
        <w:rPr>
          <w:rFonts w:ascii="宋体" w:hAnsi="宋体"/>
          <w:sz w:val="24"/>
          <w:szCs w:val="21"/>
          <w:u w:val="single"/>
        </w:rPr>
        <w:t xml:space="preserve">             </w:t>
      </w:r>
      <w:r>
        <w:rPr>
          <w:rFonts w:ascii="宋体" w:hAnsi="宋体"/>
          <w:sz w:val="24"/>
          <w:szCs w:val="21"/>
        </w:rPr>
        <w:t>。</w:t>
      </w:r>
    </w:p>
    <w:p w14:paraId="2B7AD593">
      <w:pPr>
        <w:spacing w:line="440" w:lineRule="exact"/>
        <w:ind w:firstLine="480" w:firstLineChars="200"/>
        <w:rPr>
          <w:rFonts w:ascii="宋体" w:hAnsi="宋体"/>
          <w:sz w:val="24"/>
          <w:szCs w:val="21"/>
        </w:rPr>
      </w:pPr>
      <w:r>
        <w:rPr>
          <w:rFonts w:ascii="宋体" w:hAnsi="宋体"/>
          <w:sz w:val="24"/>
          <w:szCs w:val="21"/>
        </w:rPr>
        <w:t>代理人无转委托权。</w:t>
      </w:r>
    </w:p>
    <w:p w14:paraId="31681BCD">
      <w:pPr>
        <w:spacing w:line="440" w:lineRule="exact"/>
        <w:ind w:firstLine="480" w:firstLineChars="200"/>
        <w:rPr>
          <w:rFonts w:ascii="宋体" w:hAnsi="宋体"/>
          <w:sz w:val="24"/>
          <w:szCs w:val="21"/>
        </w:rPr>
      </w:pPr>
      <w:r>
        <w:rPr>
          <w:rFonts w:ascii="宋体" w:hAnsi="宋体"/>
          <w:sz w:val="24"/>
          <w:szCs w:val="21"/>
        </w:rPr>
        <w:t>附：</w:t>
      </w:r>
      <w:r>
        <w:rPr>
          <w:rFonts w:hint="eastAsia" w:ascii="宋体" w:hAnsi="宋体"/>
          <w:sz w:val="24"/>
          <w:szCs w:val="21"/>
        </w:rPr>
        <w:t>1、</w:t>
      </w:r>
      <w:r>
        <w:rPr>
          <w:rFonts w:ascii="宋体" w:hAnsi="宋体"/>
          <w:sz w:val="24"/>
          <w:szCs w:val="21"/>
        </w:rPr>
        <w:t>法定代表人身份证正、反面</w:t>
      </w:r>
      <w:r>
        <w:rPr>
          <w:rFonts w:hint="eastAsia" w:ascii="宋体" w:hAnsi="宋体"/>
          <w:sz w:val="24"/>
          <w:szCs w:val="21"/>
        </w:rPr>
        <w:t>复印件</w:t>
      </w:r>
    </w:p>
    <w:p w14:paraId="404EA258">
      <w:pPr>
        <w:spacing w:line="440" w:lineRule="exact"/>
        <w:ind w:firstLine="960" w:firstLineChars="400"/>
        <w:rPr>
          <w:rFonts w:ascii="宋体" w:hAnsi="宋体"/>
          <w:sz w:val="24"/>
          <w:szCs w:val="21"/>
        </w:rPr>
      </w:pPr>
      <w:r>
        <w:rPr>
          <w:rFonts w:hint="eastAsia" w:ascii="宋体" w:hAnsi="宋体"/>
          <w:sz w:val="24"/>
          <w:szCs w:val="21"/>
        </w:rPr>
        <w:t>2、</w:t>
      </w:r>
      <w:r>
        <w:rPr>
          <w:rFonts w:ascii="宋体" w:hAnsi="宋体"/>
          <w:sz w:val="24"/>
          <w:szCs w:val="21"/>
        </w:rPr>
        <w:t>委托代理人</w:t>
      </w:r>
      <w:r>
        <w:rPr>
          <w:rFonts w:hint="eastAsia" w:ascii="宋体" w:hAnsi="宋体"/>
          <w:sz w:val="24"/>
          <w:szCs w:val="21"/>
        </w:rPr>
        <w:t>身份证正、反面复印件</w:t>
      </w:r>
    </w:p>
    <w:p w14:paraId="7583122A">
      <w:pPr>
        <w:spacing w:line="440" w:lineRule="exact"/>
        <w:rPr>
          <w:rFonts w:ascii="宋体" w:hAnsi="宋体"/>
          <w:sz w:val="24"/>
          <w:szCs w:val="21"/>
        </w:rPr>
      </w:pPr>
    </w:p>
    <w:p w14:paraId="1C62D4DF">
      <w:pPr>
        <w:spacing w:line="440" w:lineRule="exact"/>
        <w:rPr>
          <w:rFonts w:ascii="宋体" w:hAnsi="宋体"/>
          <w:sz w:val="24"/>
          <w:szCs w:val="21"/>
        </w:rPr>
      </w:pPr>
    </w:p>
    <w:p w14:paraId="0B639EA8">
      <w:pPr>
        <w:spacing w:line="440" w:lineRule="exact"/>
        <w:ind w:firstLine="2126" w:firstLineChars="886"/>
        <w:rPr>
          <w:rFonts w:ascii="宋体" w:hAnsi="宋体"/>
          <w:sz w:val="24"/>
          <w:szCs w:val="21"/>
        </w:rPr>
      </w:pPr>
    </w:p>
    <w:p w14:paraId="7F58E2B0">
      <w:pPr>
        <w:spacing w:line="440" w:lineRule="exact"/>
        <w:ind w:firstLine="2126" w:firstLineChars="886"/>
        <w:rPr>
          <w:rFonts w:ascii="宋体" w:hAnsi="宋体"/>
          <w:sz w:val="24"/>
          <w:szCs w:val="21"/>
        </w:rPr>
      </w:pPr>
      <w:r>
        <w:rPr>
          <w:rFonts w:ascii="宋体" w:hAnsi="宋体"/>
          <w:sz w:val="24"/>
          <w:szCs w:val="21"/>
        </w:rPr>
        <w:t>供应商：</w:t>
      </w:r>
      <w:r>
        <w:rPr>
          <w:rFonts w:ascii="宋体" w:hAnsi="宋体"/>
          <w:sz w:val="24"/>
          <w:szCs w:val="21"/>
          <w:u w:val="single"/>
        </w:rPr>
        <w:t xml:space="preserve">                           </w:t>
      </w:r>
      <w:r>
        <w:rPr>
          <w:rFonts w:ascii="宋体" w:hAnsi="宋体"/>
          <w:sz w:val="24"/>
          <w:szCs w:val="21"/>
        </w:rPr>
        <w:t>（盖单位公章）</w:t>
      </w:r>
    </w:p>
    <w:p w14:paraId="6552E782">
      <w:pPr>
        <w:spacing w:line="440" w:lineRule="exact"/>
        <w:ind w:right="56" w:firstLine="2126" w:firstLineChars="886"/>
        <w:rPr>
          <w:rFonts w:ascii="宋体" w:hAnsi="宋体"/>
          <w:sz w:val="24"/>
          <w:szCs w:val="21"/>
        </w:rPr>
      </w:pPr>
      <w:r>
        <w:rPr>
          <w:rFonts w:ascii="宋体" w:hAnsi="宋体"/>
          <w:sz w:val="24"/>
          <w:szCs w:val="21"/>
        </w:rPr>
        <w:t>法定代表人：</w:t>
      </w:r>
      <w:r>
        <w:rPr>
          <w:rFonts w:ascii="宋体" w:hAnsi="宋体"/>
          <w:sz w:val="24"/>
          <w:szCs w:val="21"/>
          <w:u w:val="single"/>
        </w:rPr>
        <w:t xml:space="preserve">                       </w:t>
      </w:r>
      <w:r>
        <w:rPr>
          <w:rFonts w:ascii="宋体" w:hAnsi="宋体"/>
          <w:sz w:val="24"/>
          <w:szCs w:val="21"/>
        </w:rPr>
        <w:t>（</w:t>
      </w:r>
      <w:r>
        <w:rPr>
          <w:rFonts w:hint="eastAsia" w:ascii="宋体" w:hAnsi="宋体"/>
          <w:sz w:val="24"/>
          <w:szCs w:val="21"/>
        </w:rPr>
        <w:t>签字</w:t>
      </w:r>
      <w:r>
        <w:rPr>
          <w:rFonts w:ascii="宋体" w:hAnsi="宋体"/>
          <w:sz w:val="24"/>
          <w:szCs w:val="21"/>
        </w:rPr>
        <w:t>或盖章）</w:t>
      </w:r>
    </w:p>
    <w:p w14:paraId="756773B9">
      <w:pPr>
        <w:spacing w:line="440" w:lineRule="exact"/>
        <w:ind w:firstLine="2126" w:firstLineChars="886"/>
        <w:rPr>
          <w:rFonts w:ascii="宋体" w:hAnsi="宋体"/>
          <w:sz w:val="24"/>
          <w:szCs w:val="21"/>
          <w:u w:val="single"/>
        </w:rPr>
      </w:pPr>
      <w:r>
        <w:rPr>
          <w:rFonts w:ascii="宋体" w:hAnsi="宋体"/>
          <w:sz w:val="24"/>
          <w:szCs w:val="21"/>
        </w:rPr>
        <w:t>身份证号码：</w:t>
      </w:r>
      <w:r>
        <w:rPr>
          <w:rFonts w:ascii="宋体" w:hAnsi="宋体"/>
          <w:sz w:val="24"/>
          <w:szCs w:val="21"/>
          <w:u w:val="single"/>
        </w:rPr>
        <w:t xml:space="preserve">             </w:t>
      </w:r>
      <w:r>
        <w:rPr>
          <w:rFonts w:hint="eastAsia" w:ascii="宋体" w:hAnsi="宋体"/>
          <w:sz w:val="24"/>
          <w:szCs w:val="21"/>
          <w:u w:val="single"/>
        </w:rPr>
        <w:t xml:space="preserve"> </w:t>
      </w:r>
      <w:r>
        <w:rPr>
          <w:rFonts w:ascii="宋体" w:hAnsi="宋体"/>
          <w:sz w:val="24"/>
          <w:szCs w:val="21"/>
          <w:u w:val="single"/>
        </w:rPr>
        <w:t xml:space="preserve">       </w:t>
      </w:r>
      <w:r>
        <w:rPr>
          <w:rFonts w:hint="eastAsia" w:ascii="宋体" w:hAnsi="宋体"/>
          <w:sz w:val="24"/>
          <w:szCs w:val="21"/>
          <w:u w:val="single"/>
        </w:rPr>
        <w:t xml:space="preserve"> </w:t>
      </w:r>
      <w:r>
        <w:rPr>
          <w:rFonts w:ascii="宋体" w:hAnsi="宋体"/>
          <w:sz w:val="24"/>
          <w:szCs w:val="21"/>
          <w:u w:val="single"/>
        </w:rPr>
        <w:t xml:space="preserve"> </w:t>
      </w:r>
    </w:p>
    <w:p w14:paraId="297FC4D7">
      <w:pPr>
        <w:spacing w:line="440" w:lineRule="exact"/>
        <w:ind w:right="56" w:firstLine="2126" w:firstLineChars="886"/>
        <w:rPr>
          <w:rFonts w:ascii="宋体" w:hAnsi="宋体"/>
          <w:sz w:val="24"/>
          <w:szCs w:val="21"/>
        </w:rPr>
      </w:pPr>
      <w:r>
        <w:rPr>
          <w:rFonts w:hint="eastAsia" w:ascii="宋体" w:hAnsi="宋体"/>
          <w:sz w:val="24"/>
          <w:szCs w:val="21"/>
        </w:rPr>
        <w:t>授权委托人</w:t>
      </w:r>
      <w:r>
        <w:rPr>
          <w:rFonts w:ascii="宋体" w:hAnsi="宋体"/>
          <w:sz w:val="24"/>
          <w:szCs w:val="21"/>
        </w:rPr>
        <w:t>：</w:t>
      </w:r>
      <w:r>
        <w:rPr>
          <w:rFonts w:ascii="宋体" w:hAnsi="宋体"/>
          <w:sz w:val="24"/>
          <w:szCs w:val="21"/>
          <w:u w:val="single"/>
        </w:rPr>
        <w:t xml:space="preserve">      </w:t>
      </w:r>
      <w:r>
        <w:rPr>
          <w:rFonts w:hint="eastAsia" w:ascii="宋体" w:hAnsi="宋体"/>
          <w:sz w:val="24"/>
          <w:szCs w:val="21"/>
          <w:u w:val="single"/>
        </w:rPr>
        <w:t xml:space="preserve">   </w:t>
      </w:r>
      <w:r>
        <w:rPr>
          <w:rFonts w:ascii="宋体" w:hAnsi="宋体"/>
          <w:sz w:val="24"/>
          <w:szCs w:val="21"/>
          <w:u w:val="single"/>
        </w:rPr>
        <w:t xml:space="preserve">   </w:t>
      </w:r>
      <w:r>
        <w:rPr>
          <w:rFonts w:hint="eastAsia" w:ascii="宋体" w:hAnsi="宋体"/>
          <w:sz w:val="24"/>
          <w:szCs w:val="21"/>
          <w:u w:val="single"/>
        </w:rPr>
        <w:t xml:space="preserve">   </w:t>
      </w:r>
      <w:r>
        <w:rPr>
          <w:rFonts w:ascii="宋体" w:hAnsi="宋体"/>
          <w:sz w:val="24"/>
          <w:szCs w:val="21"/>
          <w:u w:val="single"/>
        </w:rPr>
        <w:t xml:space="preserve">       </w:t>
      </w:r>
      <w:r>
        <w:rPr>
          <w:rFonts w:ascii="宋体" w:hAnsi="宋体"/>
          <w:sz w:val="24"/>
          <w:szCs w:val="21"/>
        </w:rPr>
        <w:t>（签字或盖章）</w:t>
      </w:r>
    </w:p>
    <w:p w14:paraId="6E8B69A7">
      <w:pPr>
        <w:spacing w:line="440" w:lineRule="exact"/>
        <w:ind w:firstLine="2126" w:firstLineChars="886"/>
        <w:rPr>
          <w:rFonts w:ascii="宋体" w:hAnsi="宋体"/>
          <w:sz w:val="24"/>
          <w:szCs w:val="21"/>
          <w:u w:val="single"/>
        </w:rPr>
      </w:pPr>
      <w:r>
        <w:rPr>
          <w:rFonts w:ascii="宋体" w:hAnsi="宋体"/>
          <w:sz w:val="24"/>
          <w:szCs w:val="21"/>
        </w:rPr>
        <w:t>身份证号码：</w:t>
      </w:r>
      <w:r>
        <w:rPr>
          <w:rFonts w:ascii="宋体" w:hAnsi="宋体"/>
          <w:sz w:val="24"/>
          <w:szCs w:val="21"/>
          <w:u w:val="single"/>
        </w:rPr>
        <w:t xml:space="preserve">              </w:t>
      </w:r>
      <w:r>
        <w:rPr>
          <w:rFonts w:hint="eastAsia" w:ascii="宋体" w:hAnsi="宋体"/>
          <w:sz w:val="24"/>
          <w:szCs w:val="21"/>
          <w:u w:val="single"/>
        </w:rPr>
        <w:t xml:space="preserve">    </w:t>
      </w:r>
      <w:r>
        <w:rPr>
          <w:rFonts w:ascii="宋体" w:hAnsi="宋体"/>
          <w:sz w:val="24"/>
          <w:szCs w:val="21"/>
          <w:u w:val="single"/>
        </w:rPr>
        <w:t xml:space="preserve">     </w:t>
      </w:r>
    </w:p>
    <w:p w14:paraId="0841BA38">
      <w:pPr>
        <w:spacing w:line="440" w:lineRule="exact"/>
        <w:rPr>
          <w:rFonts w:ascii="宋体" w:hAnsi="宋体"/>
          <w:sz w:val="24"/>
          <w:szCs w:val="21"/>
          <w:u w:val="single"/>
        </w:rPr>
      </w:pPr>
      <w:r>
        <w:rPr>
          <w:rFonts w:hint="eastAsia" w:ascii="宋体" w:hAnsi="宋体"/>
          <w:sz w:val="24"/>
          <w:szCs w:val="21"/>
        </w:rPr>
        <w:t xml:space="preserve">                  联系电话：</w:t>
      </w:r>
      <w:r>
        <w:rPr>
          <w:rFonts w:hint="eastAsia" w:ascii="宋体" w:hAnsi="宋体"/>
          <w:sz w:val="24"/>
          <w:szCs w:val="21"/>
          <w:u w:val="single"/>
        </w:rPr>
        <w:t xml:space="preserve">                         </w:t>
      </w:r>
    </w:p>
    <w:p w14:paraId="4F9E6625">
      <w:pPr>
        <w:spacing w:line="440" w:lineRule="exact"/>
        <w:ind w:right="1380" w:firstLine="2160" w:firstLineChars="900"/>
        <w:rPr>
          <w:rFonts w:ascii="宋体" w:hAnsi="宋体"/>
          <w:sz w:val="24"/>
          <w:szCs w:val="21"/>
        </w:rPr>
      </w:pPr>
      <w:r>
        <w:rPr>
          <w:rFonts w:ascii="宋体" w:hAnsi="宋体"/>
          <w:sz w:val="24"/>
          <w:szCs w:val="21"/>
          <w:u w:val="single"/>
        </w:rPr>
        <w:t xml:space="preserve">       </w:t>
      </w:r>
      <w:r>
        <w:rPr>
          <w:rFonts w:ascii="宋体" w:hAnsi="宋体"/>
          <w:sz w:val="24"/>
          <w:szCs w:val="21"/>
        </w:rPr>
        <w:t>年</w:t>
      </w:r>
      <w:r>
        <w:rPr>
          <w:rFonts w:ascii="宋体" w:hAnsi="宋体"/>
          <w:sz w:val="24"/>
          <w:szCs w:val="21"/>
          <w:u w:val="single"/>
        </w:rPr>
        <w:t xml:space="preserve">       </w:t>
      </w:r>
      <w:r>
        <w:rPr>
          <w:rFonts w:ascii="宋体" w:hAnsi="宋体"/>
          <w:sz w:val="24"/>
          <w:szCs w:val="21"/>
        </w:rPr>
        <w:t>月</w:t>
      </w:r>
      <w:r>
        <w:rPr>
          <w:rFonts w:ascii="宋体" w:hAnsi="宋体"/>
          <w:sz w:val="24"/>
          <w:szCs w:val="21"/>
          <w:u w:val="single"/>
        </w:rPr>
        <w:t xml:space="preserve">       </w:t>
      </w:r>
      <w:r>
        <w:rPr>
          <w:rFonts w:ascii="宋体" w:hAnsi="宋体"/>
          <w:sz w:val="24"/>
          <w:szCs w:val="21"/>
        </w:rPr>
        <w:t>日</w:t>
      </w:r>
    </w:p>
    <w:p w14:paraId="19164817">
      <w:pPr>
        <w:rPr>
          <w:rFonts w:ascii="宋体" w:hAnsi="宋体"/>
          <w:sz w:val="24"/>
          <w:szCs w:val="20"/>
        </w:rPr>
      </w:pPr>
    </w:p>
    <w:p w14:paraId="09D036A0">
      <w:pPr>
        <w:pStyle w:val="14"/>
        <w:spacing w:line="360" w:lineRule="auto"/>
        <w:rPr>
          <w:rFonts w:ascii="宋体" w:hAnsi="宋体" w:cs="宋体"/>
          <w:color w:val="000000"/>
          <w:kern w:val="0"/>
          <w:sz w:val="24"/>
        </w:rPr>
      </w:pPr>
      <w:r>
        <w:rPr>
          <w:rFonts w:hint="eastAsia" w:ascii="宋体" w:hAnsi="宋体" w:cs="宋体"/>
          <w:color w:val="000000"/>
          <w:kern w:val="0"/>
          <w:sz w:val="24"/>
        </w:rPr>
        <w:t xml:space="preserve">    </w:t>
      </w:r>
    </w:p>
    <w:p w14:paraId="17C82D11">
      <w:pPr>
        <w:pStyle w:val="14"/>
        <w:spacing w:line="360" w:lineRule="auto"/>
        <w:rPr>
          <w:rFonts w:ascii="宋体" w:hAnsi="宋体" w:cs="宋体"/>
          <w:color w:val="000000"/>
          <w:kern w:val="0"/>
          <w:sz w:val="24"/>
        </w:rPr>
      </w:pPr>
    </w:p>
    <w:p w14:paraId="774FC011">
      <w:pPr>
        <w:pStyle w:val="14"/>
        <w:spacing w:line="360" w:lineRule="auto"/>
        <w:rPr>
          <w:rFonts w:ascii="宋体" w:hAnsi="宋体" w:cs="宋体"/>
          <w:color w:val="000000"/>
          <w:kern w:val="0"/>
          <w:sz w:val="24"/>
        </w:rPr>
      </w:pPr>
    </w:p>
    <w:p w14:paraId="4B78197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注：因投标文件中授权委托书授权代理人无法手写签字，可以以印刷体代替</w:t>
      </w:r>
      <w:r>
        <w:rPr>
          <w:rFonts w:hint="eastAsia" w:ascii="宋体" w:hAnsi="宋体" w:cs="宋体"/>
          <w:b/>
          <w:bCs/>
          <w:color w:val="auto"/>
          <w:sz w:val="24"/>
          <w:szCs w:val="24"/>
          <w:highlight w:val="none"/>
          <w:lang w:val="en-US" w:eastAsia="zh-CN"/>
        </w:rPr>
        <w:t>并加盖法定代表人签章</w:t>
      </w:r>
      <w:r>
        <w:rPr>
          <w:rFonts w:hint="eastAsia" w:ascii="宋体" w:hAnsi="宋体" w:cs="宋体"/>
          <w:b/>
          <w:bCs/>
          <w:color w:val="auto"/>
          <w:sz w:val="24"/>
          <w:szCs w:val="24"/>
          <w:highlight w:val="none"/>
        </w:rPr>
        <w:t>（印刷体为电脑打出的字体）。</w:t>
      </w:r>
    </w:p>
    <w:p w14:paraId="5F2F76A7">
      <w:pPr>
        <w:pStyle w:val="14"/>
        <w:spacing w:line="360" w:lineRule="auto"/>
        <w:rPr>
          <w:rFonts w:ascii="宋体" w:hAnsi="宋体" w:cs="宋体"/>
          <w:color w:val="000000"/>
          <w:kern w:val="0"/>
          <w:sz w:val="24"/>
        </w:rPr>
      </w:pPr>
    </w:p>
    <w:p w14:paraId="618217CA">
      <w:pPr>
        <w:pStyle w:val="14"/>
        <w:spacing w:line="360" w:lineRule="auto"/>
        <w:rPr>
          <w:rFonts w:ascii="宋体" w:hAnsi="宋体" w:cs="宋体"/>
          <w:color w:val="000000"/>
          <w:kern w:val="0"/>
          <w:sz w:val="24"/>
        </w:rPr>
      </w:pPr>
    </w:p>
    <w:p w14:paraId="5FD1F6A9">
      <w:pPr>
        <w:pStyle w:val="14"/>
        <w:spacing w:line="360" w:lineRule="auto"/>
        <w:rPr>
          <w:rFonts w:ascii="宋体" w:hAnsi="宋体" w:cs="宋体"/>
          <w:color w:val="000000"/>
          <w:kern w:val="0"/>
          <w:sz w:val="24"/>
        </w:rPr>
      </w:pPr>
    </w:p>
    <w:p w14:paraId="11AB70C0">
      <w:pPr>
        <w:pStyle w:val="14"/>
        <w:spacing w:line="360" w:lineRule="auto"/>
        <w:rPr>
          <w:rFonts w:ascii="宋体" w:hAnsi="宋体" w:cs="宋体"/>
          <w:color w:val="000000"/>
          <w:kern w:val="0"/>
          <w:sz w:val="24"/>
        </w:rPr>
      </w:pPr>
    </w:p>
    <w:p w14:paraId="16BC9D33">
      <w:pPr>
        <w:keepNext/>
        <w:spacing w:line="500" w:lineRule="exact"/>
        <w:ind w:hanging="284"/>
        <w:jc w:val="center"/>
        <w:outlineLvl w:val="1"/>
        <w:rPr>
          <w:rFonts w:ascii="宋体" w:hAnsi="宋体"/>
          <w:b/>
          <w:bCs/>
          <w:kern w:val="0"/>
          <w:sz w:val="36"/>
          <w:szCs w:val="36"/>
        </w:rPr>
      </w:pPr>
      <w:r>
        <w:rPr>
          <w:rFonts w:hint="eastAsia" w:ascii="宋体" w:hAnsi="宋体"/>
          <w:b/>
          <w:bCs/>
          <w:kern w:val="0"/>
          <w:sz w:val="32"/>
          <w:szCs w:val="36"/>
        </w:rPr>
        <w:t>四、资格审查资料</w:t>
      </w:r>
    </w:p>
    <w:p w14:paraId="33C20D60">
      <w:pPr>
        <w:spacing w:line="360" w:lineRule="auto"/>
        <w:jc w:val="center"/>
        <w:rPr>
          <w:rFonts w:ascii="宋体" w:hAnsi="宋体" w:cs="宋体"/>
          <w:b/>
          <w:sz w:val="24"/>
          <w:szCs w:val="21"/>
        </w:rPr>
      </w:pPr>
      <w:r>
        <w:rPr>
          <w:rFonts w:hint="eastAsia" w:ascii="宋体" w:hAnsi="宋体" w:cs="宋体"/>
          <w:b/>
          <w:sz w:val="24"/>
          <w:szCs w:val="21"/>
        </w:rPr>
        <w:t>（一）基本情况表</w:t>
      </w:r>
    </w:p>
    <w:tbl>
      <w:tblPr>
        <w:tblStyle w:val="21"/>
        <w:tblW w:w="9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761"/>
        <w:gridCol w:w="1117"/>
        <w:gridCol w:w="1428"/>
        <w:gridCol w:w="1625"/>
        <w:gridCol w:w="1247"/>
        <w:gridCol w:w="933"/>
        <w:gridCol w:w="1100"/>
      </w:tblGrid>
      <w:tr w14:paraId="75176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1761" w:type="dxa"/>
            <w:noWrap/>
            <w:vAlign w:val="center"/>
          </w:tcPr>
          <w:p w14:paraId="4C69F6CE">
            <w:pPr>
              <w:spacing w:line="500" w:lineRule="exact"/>
              <w:jc w:val="center"/>
              <w:rPr>
                <w:rFonts w:ascii="宋体" w:hAnsi="宋体" w:cs="宋体"/>
                <w:sz w:val="24"/>
                <w:szCs w:val="21"/>
              </w:rPr>
            </w:pPr>
            <w:r>
              <w:rPr>
                <w:rFonts w:hint="eastAsia" w:ascii="宋体" w:hAnsi="宋体" w:cs="宋体"/>
                <w:sz w:val="24"/>
                <w:szCs w:val="21"/>
              </w:rPr>
              <w:t>供应商名称</w:t>
            </w:r>
          </w:p>
        </w:tc>
        <w:tc>
          <w:tcPr>
            <w:tcW w:w="7450" w:type="dxa"/>
            <w:gridSpan w:val="6"/>
            <w:noWrap/>
            <w:vAlign w:val="center"/>
          </w:tcPr>
          <w:p w14:paraId="6FC9488A">
            <w:pPr>
              <w:spacing w:line="500" w:lineRule="exact"/>
              <w:jc w:val="center"/>
              <w:rPr>
                <w:rFonts w:ascii="宋体" w:hAnsi="宋体" w:cs="宋体"/>
                <w:sz w:val="24"/>
                <w:szCs w:val="21"/>
              </w:rPr>
            </w:pPr>
          </w:p>
        </w:tc>
      </w:tr>
      <w:tr w14:paraId="468EC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1761" w:type="dxa"/>
            <w:noWrap/>
            <w:vAlign w:val="center"/>
          </w:tcPr>
          <w:p w14:paraId="07C708DF">
            <w:pPr>
              <w:spacing w:line="500" w:lineRule="exact"/>
              <w:jc w:val="center"/>
              <w:rPr>
                <w:rFonts w:ascii="宋体" w:hAnsi="宋体" w:cs="宋体"/>
                <w:sz w:val="24"/>
                <w:szCs w:val="21"/>
              </w:rPr>
            </w:pPr>
            <w:r>
              <w:rPr>
                <w:rFonts w:hint="eastAsia" w:ascii="宋体" w:hAnsi="宋体" w:cs="宋体"/>
                <w:sz w:val="24"/>
                <w:szCs w:val="21"/>
              </w:rPr>
              <w:t>注册地址</w:t>
            </w:r>
          </w:p>
        </w:tc>
        <w:tc>
          <w:tcPr>
            <w:tcW w:w="4170" w:type="dxa"/>
            <w:gridSpan w:val="3"/>
            <w:noWrap/>
            <w:vAlign w:val="center"/>
          </w:tcPr>
          <w:p w14:paraId="76CD1E80">
            <w:pPr>
              <w:spacing w:line="500" w:lineRule="exact"/>
              <w:jc w:val="center"/>
              <w:rPr>
                <w:rFonts w:ascii="宋体" w:hAnsi="宋体" w:cs="宋体"/>
                <w:sz w:val="24"/>
                <w:szCs w:val="21"/>
              </w:rPr>
            </w:pPr>
          </w:p>
        </w:tc>
        <w:tc>
          <w:tcPr>
            <w:tcW w:w="1247" w:type="dxa"/>
            <w:noWrap/>
            <w:vAlign w:val="center"/>
          </w:tcPr>
          <w:p w14:paraId="5A5D946D">
            <w:pPr>
              <w:spacing w:line="500" w:lineRule="exact"/>
              <w:jc w:val="center"/>
              <w:rPr>
                <w:rFonts w:ascii="宋体" w:hAnsi="宋体" w:cs="宋体"/>
                <w:sz w:val="24"/>
                <w:szCs w:val="21"/>
              </w:rPr>
            </w:pPr>
            <w:r>
              <w:rPr>
                <w:rFonts w:hint="eastAsia" w:ascii="宋体" w:hAnsi="宋体" w:cs="宋体"/>
                <w:sz w:val="24"/>
                <w:szCs w:val="21"/>
              </w:rPr>
              <w:t>邮政编码</w:t>
            </w:r>
          </w:p>
        </w:tc>
        <w:tc>
          <w:tcPr>
            <w:tcW w:w="2033" w:type="dxa"/>
            <w:gridSpan w:val="2"/>
            <w:noWrap/>
            <w:vAlign w:val="center"/>
          </w:tcPr>
          <w:p w14:paraId="54C06FD6">
            <w:pPr>
              <w:spacing w:line="500" w:lineRule="exact"/>
              <w:jc w:val="center"/>
              <w:rPr>
                <w:rFonts w:ascii="宋体" w:hAnsi="宋体" w:cs="宋体"/>
                <w:sz w:val="24"/>
                <w:szCs w:val="21"/>
              </w:rPr>
            </w:pPr>
          </w:p>
        </w:tc>
      </w:tr>
      <w:tr w14:paraId="1F5A2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5" w:hRule="atLeast"/>
          <w:jc w:val="center"/>
        </w:trPr>
        <w:tc>
          <w:tcPr>
            <w:tcW w:w="1761" w:type="dxa"/>
            <w:vMerge w:val="restart"/>
            <w:noWrap/>
            <w:vAlign w:val="center"/>
          </w:tcPr>
          <w:p w14:paraId="65F8EFDE">
            <w:pPr>
              <w:spacing w:line="500" w:lineRule="exact"/>
              <w:jc w:val="center"/>
              <w:rPr>
                <w:rFonts w:ascii="宋体" w:hAnsi="宋体" w:cs="宋体"/>
                <w:sz w:val="24"/>
                <w:szCs w:val="21"/>
              </w:rPr>
            </w:pPr>
            <w:r>
              <w:rPr>
                <w:rFonts w:hint="eastAsia" w:ascii="宋体" w:hAnsi="宋体" w:cs="宋体"/>
                <w:sz w:val="24"/>
                <w:szCs w:val="21"/>
              </w:rPr>
              <w:t>联系方式</w:t>
            </w:r>
          </w:p>
        </w:tc>
        <w:tc>
          <w:tcPr>
            <w:tcW w:w="1117" w:type="dxa"/>
            <w:noWrap/>
            <w:vAlign w:val="center"/>
          </w:tcPr>
          <w:p w14:paraId="54853D6A">
            <w:pPr>
              <w:spacing w:line="500" w:lineRule="exact"/>
              <w:jc w:val="center"/>
              <w:rPr>
                <w:rFonts w:ascii="宋体" w:hAnsi="宋体" w:cs="宋体"/>
                <w:sz w:val="24"/>
                <w:szCs w:val="21"/>
              </w:rPr>
            </w:pPr>
            <w:r>
              <w:rPr>
                <w:rFonts w:hint="eastAsia" w:ascii="宋体" w:hAnsi="宋体" w:cs="宋体"/>
                <w:sz w:val="24"/>
                <w:szCs w:val="21"/>
              </w:rPr>
              <w:t>联系人</w:t>
            </w:r>
          </w:p>
        </w:tc>
        <w:tc>
          <w:tcPr>
            <w:tcW w:w="3053" w:type="dxa"/>
            <w:gridSpan w:val="2"/>
            <w:noWrap/>
            <w:vAlign w:val="center"/>
          </w:tcPr>
          <w:p w14:paraId="65870ABD">
            <w:pPr>
              <w:spacing w:line="500" w:lineRule="exact"/>
              <w:jc w:val="center"/>
              <w:rPr>
                <w:rFonts w:ascii="宋体" w:hAnsi="宋体" w:cs="宋体"/>
                <w:sz w:val="24"/>
                <w:szCs w:val="21"/>
              </w:rPr>
            </w:pPr>
          </w:p>
        </w:tc>
        <w:tc>
          <w:tcPr>
            <w:tcW w:w="1247" w:type="dxa"/>
            <w:noWrap/>
            <w:vAlign w:val="center"/>
          </w:tcPr>
          <w:p w14:paraId="6A185063">
            <w:pPr>
              <w:spacing w:line="500" w:lineRule="exact"/>
              <w:jc w:val="center"/>
              <w:rPr>
                <w:rFonts w:ascii="宋体" w:hAnsi="宋体" w:cs="宋体"/>
                <w:sz w:val="24"/>
                <w:szCs w:val="21"/>
              </w:rPr>
            </w:pPr>
            <w:r>
              <w:rPr>
                <w:rFonts w:hint="eastAsia" w:ascii="宋体" w:hAnsi="宋体" w:cs="宋体"/>
                <w:sz w:val="24"/>
                <w:szCs w:val="21"/>
              </w:rPr>
              <w:t>电话</w:t>
            </w:r>
          </w:p>
        </w:tc>
        <w:tc>
          <w:tcPr>
            <w:tcW w:w="2033" w:type="dxa"/>
            <w:gridSpan w:val="2"/>
            <w:noWrap/>
            <w:vAlign w:val="center"/>
          </w:tcPr>
          <w:p w14:paraId="3A19A093">
            <w:pPr>
              <w:spacing w:line="500" w:lineRule="exact"/>
              <w:jc w:val="center"/>
              <w:rPr>
                <w:rFonts w:ascii="宋体" w:hAnsi="宋体" w:cs="宋体"/>
                <w:sz w:val="24"/>
                <w:szCs w:val="21"/>
              </w:rPr>
            </w:pPr>
          </w:p>
        </w:tc>
      </w:tr>
      <w:tr w14:paraId="16C3E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1761" w:type="dxa"/>
            <w:vMerge w:val="continue"/>
            <w:noWrap/>
            <w:vAlign w:val="center"/>
          </w:tcPr>
          <w:p w14:paraId="6017410D">
            <w:pPr>
              <w:spacing w:line="500" w:lineRule="exact"/>
              <w:jc w:val="center"/>
              <w:rPr>
                <w:rFonts w:ascii="宋体" w:hAnsi="宋体" w:cs="宋体"/>
                <w:sz w:val="24"/>
                <w:szCs w:val="21"/>
              </w:rPr>
            </w:pPr>
          </w:p>
        </w:tc>
        <w:tc>
          <w:tcPr>
            <w:tcW w:w="1117" w:type="dxa"/>
            <w:noWrap/>
            <w:vAlign w:val="center"/>
          </w:tcPr>
          <w:p w14:paraId="33EA0B4C">
            <w:pPr>
              <w:spacing w:line="500" w:lineRule="exact"/>
              <w:jc w:val="center"/>
              <w:rPr>
                <w:rFonts w:ascii="宋体" w:hAnsi="宋体" w:cs="宋体"/>
                <w:sz w:val="24"/>
                <w:szCs w:val="21"/>
              </w:rPr>
            </w:pPr>
            <w:r>
              <w:rPr>
                <w:rFonts w:hint="eastAsia" w:ascii="宋体" w:hAnsi="宋体" w:cs="宋体"/>
                <w:sz w:val="24"/>
                <w:szCs w:val="21"/>
              </w:rPr>
              <w:t>传真</w:t>
            </w:r>
          </w:p>
        </w:tc>
        <w:tc>
          <w:tcPr>
            <w:tcW w:w="3053" w:type="dxa"/>
            <w:gridSpan w:val="2"/>
            <w:noWrap/>
            <w:vAlign w:val="center"/>
          </w:tcPr>
          <w:p w14:paraId="6BEE7DC1">
            <w:pPr>
              <w:spacing w:line="500" w:lineRule="exact"/>
              <w:jc w:val="center"/>
              <w:rPr>
                <w:rFonts w:ascii="宋体" w:hAnsi="宋体" w:cs="宋体"/>
                <w:sz w:val="24"/>
                <w:szCs w:val="21"/>
              </w:rPr>
            </w:pPr>
          </w:p>
        </w:tc>
        <w:tc>
          <w:tcPr>
            <w:tcW w:w="1247" w:type="dxa"/>
            <w:noWrap/>
            <w:vAlign w:val="center"/>
          </w:tcPr>
          <w:p w14:paraId="434209C9">
            <w:pPr>
              <w:spacing w:line="500" w:lineRule="exact"/>
              <w:jc w:val="center"/>
              <w:rPr>
                <w:rFonts w:ascii="宋体" w:hAnsi="宋体" w:cs="宋体"/>
                <w:sz w:val="24"/>
                <w:szCs w:val="21"/>
              </w:rPr>
            </w:pPr>
            <w:r>
              <w:rPr>
                <w:rFonts w:hint="eastAsia" w:ascii="宋体" w:hAnsi="宋体" w:cs="宋体"/>
                <w:sz w:val="24"/>
                <w:szCs w:val="21"/>
              </w:rPr>
              <w:t>网址</w:t>
            </w:r>
          </w:p>
        </w:tc>
        <w:tc>
          <w:tcPr>
            <w:tcW w:w="2033" w:type="dxa"/>
            <w:gridSpan w:val="2"/>
            <w:noWrap/>
            <w:vAlign w:val="center"/>
          </w:tcPr>
          <w:p w14:paraId="5350EECC">
            <w:pPr>
              <w:spacing w:line="500" w:lineRule="exact"/>
              <w:jc w:val="center"/>
              <w:rPr>
                <w:rFonts w:ascii="宋体" w:hAnsi="宋体" w:cs="宋体"/>
                <w:sz w:val="24"/>
                <w:szCs w:val="21"/>
              </w:rPr>
            </w:pPr>
          </w:p>
        </w:tc>
      </w:tr>
      <w:tr w14:paraId="35C39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1761" w:type="dxa"/>
            <w:noWrap/>
            <w:vAlign w:val="center"/>
          </w:tcPr>
          <w:p w14:paraId="2E0CBFDB">
            <w:pPr>
              <w:spacing w:line="500" w:lineRule="exact"/>
              <w:jc w:val="center"/>
              <w:rPr>
                <w:rFonts w:ascii="宋体" w:hAnsi="宋体" w:cs="宋体"/>
                <w:sz w:val="24"/>
                <w:szCs w:val="21"/>
              </w:rPr>
            </w:pPr>
            <w:r>
              <w:rPr>
                <w:rFonts w:hint="eastAsia" w:ascii="宋体" w:hAnsi="宋体" w:cs="宋体"/>
                <w:sz w:val="24"/>
                <w:szCs w:val="21"/>
              </w:rPr>
              <w:t>法定代表人</w:t>
            </w:r>
          </w:p>
        </w:tc>
        <w:tc>
          <w:tcPr>
            <w:tcW w:w="1117" w:type="dxa"/>
            <w:noWrap/>
            <w:vAlign w:val="center"/>
          </w:tcPr>
          <w:p w14:paraId="6EDB8A78">
            <w:pPr>
              <w:spacing w:line="500" w:lineRule="exact"/>
              <w:jc w:val="center"/>
              <w:rPr>
                <w:rFonts w:ascii="宋体" w:hAnsi="宋体" w:cs="宋体"/>
                <w:sz w:val="24"/>
                <w:szCs w:val="21"/>
              </w:rPr>
            </w:pPr>
            <w:r>
              <w:rPr>
                <w:rFonts w:hint="eastAsia" w:ascii="宋体" w:hAnsi="宋体" w:cs="宋体"/>
                <w:sz w:val="24"/>
                <w:szCs w:val="21"/>
              </w:rPr>
              <w:t>姓名</w:t>
            </w:r>
          </w:p>
        </w:tc>
        <w:tc>
          <w:tcPr>
            <w:tcW w:w="1428" w:type="dxa"/>
            <w:noWrap/>
            <w:vAlign w:val="center"/>
          </w:tcPr>
          <w:p w14:paraId="6DB98FDD">
            <w:pPr>
              <w:spacing w:line="500" w:lineRule="exact"/>
              <w:jc w:val="center"/>
              <w:rPr>
                <w:rFonts w:ascii="宋体" w:hAnsi="宋体" w:cs="宋体"/>
                <w:sz w:val="24"/>
                <w:szCs w:val="21"/>
              </w:rPr>
            </w:pPr>
          </w:p>
        </w:tc>
        <w:tc>
          <w:tcPr>
            <w:tcW w:w="1625" w:type="dxa"/>
            <w:noWrap/>
            <w:vAlign w:val="center"/>
          </w:tcPr>
          <w:p w14:paraId="3CE07173">
            <w:pPr>
              <w:spacing w:line="500" w:lineRule="exact"/>
              <w:jc w:val="center"/>
              <w:rPr>
                <w:rFonts w:ascii="宋体" w:hAnsi="宋体" w:cs="宋体"/>
                <w:sz w:val="24"/>
                <w:szCs w:val="21"/>
              </w:rPr>
            </w:pPr>
            <w:r>
              <w:rPr>
                <w:rFonts w:hint="eastAsia" w:ascii="宋体" w:hAnsi="宋体" w:cs="宋体"/>
                <w:sz w:val="24"/>
                <w:szCs w:val="21"/>
              </w:rPr>
              <w:t>身份证号</w:t>
            </w:r>
          </w:p>
        </w:tc>
        <w:tc>
          <w:tcPr>
            <w:tcW w:w="1247" w:type="dxa"/>
            <w:noWrap/>
            <w:vAlign w:val="center"/>
          </w:tcPr>
          <w:p w14:paraId="0AE6204E">
            <w:pPr>
              <w:spacing w:line="500" w:lineRule="exact"/>
              <w:jc w:val="center"/>
              <w:rPr>
                <w:rFonts w:ascii="宋体" w:hAnsi="宋体" w:cs="宋体"/>
                <w:sz w:val="24"/>
                <w:szCs w:val="21"/>
              </w:rPr>
            </w:pPr>
          </w:p>
        </w:tc>
        <w:tc>
          <w:tcPr>
            <w:tcW w:w="933" w:type="dxa"/>
            <w:noWrap/>
            <w:vAlign w:val="center"/>
          </w:tcPr>
          <w:p w14:paraId="2B3CB9AE">
            <w:pPr>
              <w:spacing w:line="500" w:lineRule="exact"/>
              <w:jc w:val="center"/>
              <w:rPr>
                <w:rFonts w:ascii="宋体" w:hAnsi="宋体" w:cs="宋体"/>
                <w:sz w:val="24"/>
                <w:szCs w:val="21"/>
              </w:rPr>
            </w:pPr>
            <w:r>
              <w:rPr>
                <w:rFonts w:hint="eastAsia" w:ascii="宋体" w:hAnsi="宋体" w:cs="宋体"/>
                <w:sz w:val="24"/>
                <w:szCs w:val="21"/>
              </w:rPr>
              <w:t>电话</w:t>
            </w:r>
          </w:p>
        </w:tc>
        <w:tc>
          <w:tcPr>
            <w:tcW w:w="1100" w:type="dxa"/>
            <w:noWrap/>
            <w:vAlign w:val="center"/>
          </w:tcPr>
          <w:p w14:paraId="488491FB">
            <w:pPr>
              <w:spacing w:line="500" w:lineRule="exact"/>
              <w:jc w:val="center"/>
              <w:rPr>
                <w:rFonts w:ascii="宋体" w:hAnsi="宋体" w:cs="宋体"/>
                <w:sz w:val="24"/>
                <w:szCs w:val="21"/>
              </w:rPr>
            </w:pPr>
          </w:p>
        </w:tc>
      </w:tr>
      <w:tr w14:paraId="4FB74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1761" w:type="dxa"/>
            <w:noWrap/>
            <w:vAlign w:val="center"/>
          </w:tcPr>
          <w:p w14:paraId="059F0A7B">
            <w:pPr>
              <w:spacing w:line="500" w:lineRule="exact"/>
              <w:jc w:val="center"/>
              <w:rPr>
                <w:rFonts w:ascii="宋体" w:hAnsi="宋体" w:cs="宋体"/>
                <w:sz w:val="24"/>
                <w:szCs w:val="21"/>
              </w:rPr>
            </w:pPr>
            <w:r>
              <w:rPr>
                <w:rFonts w:hint="eastAsia" w:ascii="宋体" w:hAnsi="宋体" w:cs="宋体"/>
                <w:sz w:val="24"/>
                <w:szCs w:val="21"/>
              </w:rPr>
              <w:t>项目负责人</w:t>
            </w:r>
          </w:p>
        </w:tc>
        <w:tc>
          <w:tcPr>
            <w:tcW w:w="1117" w:type="dxa"/>
            <w:noWrap/>
            <w:vAlign w:val="center"/>
          </w:tcPr>
          <w:p w14:paraId="1CD3227C">
            <w:pPr>
              <w:spacing w:line="500" w:lineRule="exact"/>
              <w:jc w:val="center"/>
              <w:rPr>
                <w:rFonts w:ascii="宋体" w:hAnsi="宋体" w:cs="宋体"/>
                <w:sz w:val="24"/>
                <w:szCs w:val="21"/>
              </w:rPr>
            </w:pPr>
            <w:r>
              <w:rPr>
                <w:rFonts w:hint="eastAsia" w:ascii="宋体" w:hAnsi="宋体" w:cs="宋体"/>
                <w:sz w:val="24"/>
                <w:szCs w:val="21"/>
              </w:rPr>
              <w:t>姓名</w:t>
            </w:r>
          </w:p>
        </w:tc>
        <w:tc>
          <w:tcPr>
            <w:tcW w:w="1428" w:type="dxa"/>
            <w:noWrap/>
            <w:vAlign w:val="center"/>
          </w:tcPr>
          <w:p w14:paraId="39184AB9">
            <w:pPr>
              <w:spacing w:line="500" w:lineRule="exact"/>
              <w:jc w:val="center"/>
              <w:rPr>
                <w:rFonts w:ascii="宋体" w:hAnsi="宋体" w:cs="宋体"/>
                <w:sz w:val="24"/>
                <w:szCs w:val="21"/>
              </w:rPr>
            </w:pPr>
          </w:p>
        </w:tc>
        <w:tc>
          <w:tcPr>
            <w:tcW w:w="1625" w:type="dxa"/>
            <w:noWrap/>
            <w:vAlign w:val="center"/>
          </w:tcPr>
          <w:p w14:paraId="22837ECA">
            <w:pPr>
              <w:spacing w:line="500" w:lineRule="exact"/>
              <w:jc w:val="center"/>
              <w:rPr>
                <w:rFonts w:ascii="宋体" w:hAnsi="宋体" w:cs="宋体"/>
                <w:sz w:val="24"/>
                <w:szCs w:val="21"/>
              </w:rPr>
            </w:pPr>
            <w:r>
              <w:rPr>
                <w:rFonts w:hint="eastAsia" w:ascii="宋体" w:hAnsi="宋体" w:cs="宋体"/>
                <w:sz w:val="24"/>
                <w:szCs w:val="21"/>
              </w:rPr>
              <w:t>身份证号</w:t>
            </w:r>
          </w:p>
        </w:tc>
        <w:tc>
          <w:tcPr>
            <w:tcW w:w="1247" w:type="dxa"/>
            <w:noWrap/>
            <w:vAlign w:val="center"/>
          </w:tcPr>
          <w:p w14:paraId="7F1F8BDA">
            <w:pPr>
              <w:spacing w:line="500" w:lineRule="exact"/>
              <w:jc w:val="center"/>
              <w:rPr>
                <w:rFonts w:ascii="宋体" w:hAnsi="宋体" w:cs="宋体"/>
                <w:sz w:val="24"/>
                <w:szCs w:val="21"/>
              </w:rPr>
            </w:pPr>
          </w:p>
        </w:tc>
        <w:tc>
          <w:tcPr>
            <w:tcW w:w="933" w:type="dxa"/>
            <w:noWrap/>
            <w:vAlign w:val="center"/>
          </w:tcPr>
          <w:p w14:paraId="56E704A3">
            <w:pPr>
              <w:spacing w:line="500" w:lineRule="exact"/>
              <w:jc w:val="center"/>
              <w:rPr>
                <w:rFonts w:ascii="宋体" w:hAnsi="宋体" w:cs="宋体"/>
                <w:sz w:val="24"/>
                <w:szCs w:val="21"/>
              </w:rPr>
            </w:pPr>
            <w:r>
              <w:rPr>
                <w:rFonts w:hint="eastAsia" w:ascii="宋体" w:hAnsi="宋体" w:cs="宋体"/>
                <w:sz w:val="24"/>
                <w:szCs w:val="21"/>
              </w:rPr>
              <w:t>电话</w:t>
            </w:r>
          </w:p>
        </w:tc>
        <w:tc>
          <w:tcPr>
            <w:tcW w:w="1100" w:type="dxa"/>
            <w:noWrap/>
            <w:vAlign w:val="center"/>
          </w:tcPr>
          <w:p w14:paraId="1448041A">
            <w:pPr>
              <w:spacing w:line="500" w:lineRule="exact"/>
              <w:jc w:val="center"/>
              <w:rPr>
                <w:rFonts w:ascii="宋体" w:hAnsi="宋体" w:cs="宋体"/>
                <w:sz w:val="24"/>
                <w:szCs w:val="21"/>
              </w:rPr>
            </w:pPr>
          </w:p>
        </w:tc>
      </w:tr>
      <w:tr w14:paraId="6C4A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1761" w:type="dxa"/>
            <w:noWrap/>
            <w:vAlign w:val="center"/>
          </w:tcPr>
          <w:p w14:paraId="10D963B9">
            <w:pPr>
              <w:spacing w:line="500" w:lineRule="exact"/>
              <w:jc w:val="center"/>
              <w:rPr>
                <w:rFonts w:ascii="宋体" w:hAnsi="宋体" w:cs="宋体"/>
                <w:sz w:val="24"/>
                <w:szCs w:val="21"/>
              </w:rPr>
            </w:pPr>
            <w:r>
              <w:rPr>
                <w:rFonts w:hint="eastAsia" w:ascii="宋体" w:hAnsi="宋体" w:cs="宋体"/>
                <w:sz w:val="24"/>
                <w:szCs w:val="21"/>
              </w:rPr>
              <w:t>成立时间</w:t>
            </w:r>
          </w:p>
        </w:tc>
        <w:tc>
          <w:tcPr>
            <w:tcW w:w="2545" w:type="dxa"/>
            <w:gridSpan w:val="2"/>
            <w:noWrap/>
            <w:vAlign w:val="center"/>
          </w:tcPr>
          <w:p w14:paraId="5D208EDD">
            <w:pPr>
              <w:spacing w:line="500" w:lineRule="exact"/>
              <w:jc w:val="center"/>
              <w:rPr>
                <w:rFonts w:ascii="宋体" w:hAnsi="宋体" w:cs="宋体"/>
                <w:sz w:val="24"/>
                <w:szCs w:val="21"/>
              </w:rPr>
            </w:pPr>
          </w:p>
        </w:tc>
        <w:tc>
          <w:tcPr>
            <w:tcW w:w="4905" w:type="dxa"/>
            <w:gridSpan w:val="4"/>
            <w:noWrap/>
            <w:vAlign w:val="center"/>
          </w:tcPr>
          <w:p w14:paraId="26F3B048">
            <w:pPr>
              <w:spacing w:line="500" w:lineRule="exact"/>
              <w:jc w:val="center"/>
              <w:rPr>
                <w:rFonts w:ascii="宋体" w:hAnsi="宋体" w:cs="宋体"/>
                <w:sz w:val="24"/>
                <w:szCs w:val="21"/>
              </w:rPr>
            </w:pPr>
            <w:r>
              <w:rPr>
                <w:rFonts w:hint="eastAsia" w:ascii="宋体" w:hAnsi="宋体" w:cs="宋体"/>
                <w:sz w:val="24"/>
                <w:szCs w:val="21"/>
              </w:rPr>
              <w:t>员工总人数：</w:t>
            </w:r>
          </w:p>
        </w:tc>
      </w:tr>
      <w:tr w14:paraId="4BAC2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1761" w:type="dxa"/>
            <w:noWrap/>
            <w:vAlign w:val="center"/>
          </w:tcPr>
          <w:p w14:paraId="6AF056D4">
            <w:pPr>
              <w:spacing w:line="500" w:lineRule="exact"/>
              <w:jc w:val="center"/>
              <w:rPr>
                <w:rFonts w:ascii="宋体" w:hAnsi="宋体" w:cs="宋体"/>
                <w:sz w:val="24"/>
                <w:szCs w:val="21"/>
              </w:rPr>
            </w:pPr>
            <w:r>
              <w:rPr>
                <w:rFonts w:hint="eastAsia" w:ascii="宋体" w:hAnsi="宋体" w:cs="宋体"/>
                <w:sz w:val="24"/>
                <w:szCs w:val="21"/>
              </w:rPr>
              <w:t>营业执照号</w:t>
            </w:r>
          </w:p>
        </w:tc>
        <w:tc>
          <w:tcPr>
            <w:tcW w:w="7450" w:type="dxa"/>
            <w:gridSpan w:val="6"/>
            <w:noWrap/>
            <w:vAlign w:val="center"/>
          </w:tcPr>
          <w:p w14:paraId="1B699875">
            <w:pPr>
              <w:spacing w:line="500" w:lineRule="exact"/>
              <w:jc w:val="center"/>
              <w:rPr>
                <w:rFonts w:ascii="宋体" w:hAnsi="宋体" w:cs="宋体"/>
                <w:sz w:val="24"/>
                <w:szCs w:val="21"/>
              </w:rPr>
            </w:pPr>
          </w:p>
        </w:tc>
      </w:tr>
      <w:tr w14:paraId="71775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1761" w:type="dxa"/>
            <w:noWrap/>
            <w:vAlign w:val="center"/>
          </w:tcPr>
          <w:p w14:paraId="4147D3D8">
            <w:pPr>
              <w:spacing w:line="500" w:lineRule="exact"/>
              <w:jc w:val="center"/>
              <w:rPr>
                <w:rFonts w:ascii="宋体" w:hAnsi="宋体" w:cs="宋体"/>
                <w:sz w:val="24"/>
                <w:szCs w:val="21"/>
              </w:rPr>
            </w:pPr>
            <w:r>
              <w:rPr>
                <w:rFonts w:hint="eastAsia" w:ascii="宋体" w:hAnsi="宋体" w:cs="宋体"/>
                <w:sz w:val="24"/>
                <w:szCs w:val="21"/>
              </w:rPr>
              <w:t>注册资金</w:t>
            </w:r>
          </w:p>
        </w:tc>
        <w:tc>
          <w:tcPr>
            <w:tcW w:w="7450" w:type="dxa"/>
            <w:gridSpan w:val="6"/>
            <w:noWrap/>
            <w:vAlign w:val="center"/>
          </w:tcPr>
          <w:p w14:paraId="53BDCA19">
            <w:pPr>
              <w:spacing w:line="500" w:lineRule="exact"/>
              <w:jc w:val="center"/>
              <w:rPr>
                <w:rFonts w:ascii="宋体" w:hAnsi="宋体" w:cs="宋体"/>
                <w:sz w:val="24"/>
                <w:szCs w:val="21"/>
              </w:rPr>
            </w:pPr>
          </w:p>
        </w:tc>
      </w:tr>
      <w:tr w14:paraId="7175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1761" w:type="dxa"/>
            <w:noWrap/>
            <w:vAlign w:val="center"/>
          </w:tcPr>
          <w:p w14:paraId="1832513C">
            <w:pPr>
              <w:spacing w:line="500" w:lineRule="exact"/>
              <w:jc w:val="center"/>
              <w:rPr>
                <w:rFonts w:ascii="宋体" w:hAnsi="宋体" w:cs="宋体"/>
                <w:sz w:val="24"/>
                <w:szCs w:val="21"/>
              </w:rPr>
            </w:pPr>
            <w:r>
              <w:rPr>
                <w:rFonts w:hint="eastAsia" w:ascii="宋体" w:hAnsi="宋体" w:cs="宋体"/>
                <w:sz w:val="24"/>
                <w:szCs w:val="21"/>
              </w:rPr>
              <w:t>开户银行</w:t>
            </w:r>
          </w:p>
        </w:tc>
        <w:tc>
          <w:tcPr>
            <w:tcW w:w="7450" w:type="dxa"/>
            <w:gridSpan w:val="6"/>
            <w:noWrap/>
            <w:vAlign w:val="center"/>
          </w:tcPr>
          <w:p w14:paraId="1C286CA0">
            <w:pPr>
              <w:spacing w:line="500" w:lineRule="exact"/>
              <w:jc w:val="center"/>
              <w:rPr>
                <w:rFonts w:ascii="宋体" w:hAnsi="宋体" w:cs="宋体"/>
                <w:sz w:val="24"/>
                <w:szCs w:val="21"/>
              </w:rPr>
            </w:pPr>
          </w:p>
        </w:tc>
      </w:tr>
      <w:tr w14:paraId="7F45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1761" w:type="dxa"/>
            <w:noWrap/>
            <w:vAlign w:val="center"/>
          </w:tcPr>
          <w:p w14:paraId="50DDEE5A">
            <w:pPr>
              <w:spacing w:line="500" w:lineRule="exact"/>
              <w:jc w:val="center"/>
              <w:rPr>
                <w:rFonts w:ascii="宋体" w:hAnsi="宋体" w:cs="宋体"/>
                <w:sz w:val="24"/>
                <w:szCs w:val="21"/>
              </w:rPr>
            </w:pPr>
            <w:r>
              <w:rPr>
                <w:rFonts w:hint="eastAsia" w:ascii="宋体" w:hAnsi="宋体" w:cs="宋体"/>
                <w:sz w:val="24"/>
                <w:szCs w:val="21"/>
              </w:rPr>
              <w:t>账号</w:t>
            </w:r>
          </w:p>
        </w:tc>
        <w:tc>
          <w:tcPr>
            <w:tcW w:w="7450" w:type="dxa"/>
            <w:gridSpan w:val="6"/>
            <w:noWrap/>
            <w:vAlign w:val="center"/>
          </w:tcPr>
          <w:p w14:paraId="7E72F223">
            <w:pPr>
              <w:spacing w:line="500" w:lineRule="exact"/>
              <w:jc w:val="center"/>
              <w:rPr>
                <w:rFonts w:ascii="宋体" w:hAnsi="宋体" w:cs="宋体"/>
                <w:sz w:val="24"/>
                <w:szCs w:val="21"/>
              </w:rPr>
            </w:pPr>
          </w:p>
        </w:tc>
      </w:tr>
      <w:tr w14:paraId="0AF67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40" w:hRule="atLeast"/>
          <w:jc w:val="center"/>
        </w:trPr>
        <w:tc>
          <w:tcPr>
            <w:tcW w:w="1761" w:type="dxa"/>
            <w:noWrap/>
            <w:vAlign w:val="center"/>
          </w:tcPr>
          <w:p w14:paraId="1EED587B">
            <w:pPr>
              <w:spacing w:line="500" w:lineRule="exact"/>
              <w:jc w:val="center"/>
              <w:rPr>
                <w:rFonts w:ascii="宋体" w:hAnsi="宋体" w:cs="宋体"/>
                <w:sz w:val="24"/>
                <w:szCs w:val="21"/>
              </w:rPr>
            </w:pPr>
            <w:r>
              <w:rPr>
                <w:rFonts w:hint="eastAsia" w:ascii="宋体" w:hAnsi="宋体" w:cs="宋体"/>
                <w:sz w:val="24"/>
                <w:szCs w:val="21"/>
              </w:rPr>
              <w:t>经营范围</w:t>
            </w:r>
          </w:p>
        </w:tc>
        <w:tc>
          <w:tcPr>
            <w:tcW w:w="7450" w:type="dxa"/>
            <w:gridSpan w:val="6"/>
            <w:noWrap/>
            <w:vAlign w:val="center"/>
          </w:tcPr>
          <w:p w14:paraId="29DAE996">
            <w:pPr>
              <w:spacing w:line="500" w:lineRule="exact"/>
              <w:ind w:firstLine="480" w:firstLineChars="200"/>
              <w:jc w:val="center"/>
              <w:rPr>
                <w:rFonts w:ascii="宋体" w:hAnsi="宋体" w:cs="宋体"/>
                <w:sz w:val="24"/>
                <w:szCs w:val="21"/>
              </w:rPr>
            </w:pPr>
          </w:p>
        </w:tc>
      </w:tr>
    </w:tbl>
    <w:p w14:paraId="4E3187B0">
      <w:pPr>
        <w:pStyle w:val="8"/>
      </w:pPr>
    </w:p>
    <w:p w14:paraId="6B05F5BA">
      <w:pPr>
        <w:pStyle w:val="37"/>
        <w:rPr>
          <w:color w:val="auto"/>
        </w:rPr>
      </w:pPr>
    </w:p>
    <w:p w14:paraId="21C991A0"/>
    <w:p w14:paraId="76AC486F">
      <w:pPr>
        <w:pStyle w:val="8"/>
      </w:pPr>
    </w:p>
    <w:p w14:paraId="5C397A14">
      <w:pPr>
        <w:pStyle w:val="37"/>
      </w:pPr>
    </w:p>
    <w:p w14:paraId="3926D3CF">
      <w:pPr>
        <w:pStyle w:val="37"/>
        <w:rPr>
          <w:color w:val="auto"/>
        </w:rPr>
      </w:pPr>
    </w:p>
    <w:p w14:paraId="52D1F03A">
      <w:pPr>
        <w:pStyle w:val="12"/>
        <w:ind w:firstLine="542"/>
        <w:jc w:val="center"/>
        <w:rPr>
          <w:rFonts w:ascii="宋体" w:hAnsi="宋体" w:eastAsia="宋体"/>
          <w:b/>
          <w:sz w:val="24"/>
        </w:rPr>
      </w:pPr>
      <w:r>
        <w:rPr>
          <w:rFonts w:hint="eastAsia" w:ascii="宋体" w:hAnsi="宋体" w:eastAsia="宋体"/>
          <w:b/>
          <w:sz w:val="24"/>
        </w:rPr>
        <w:t>（二）资格证明文件</w:t>
      </w:r>
    </w:p>
    <w:p w14:paraId="430D2134">
      <w:pPr>
        <w:shd w:val="clear" w:color="auto" w:fill="FFFFFF"/>
        <w:wordWrap w:val="0"/>
        <w:spacing w:line="360" w:lineRule="auto"/>
        <w:ind w:firstLine="480" w:firstLineChars="200"/>
        <w:jc w:val="left"/>
        <w:rPr>
          <w:rFonts w:ascii="宋体" w:hAnsi="宋体" w:cs="宋体"/>
          <w:sz w:val="24"/>
          <w:szCs w:val="24"/>
        </w:rPr>
      </w:pPr>
      <w:r>
        <w:rPr>
          <w:rFonts w:hint="eastAsia" w:ascii="宋体" w:hAnsi="宋体" w:cs="宋体"/>
          <w:sz w:val="24"/>
          <w:szCs w:val="24"/>
        </w:rPr>
        <w:t>1、满足《中华人民共和国政府采购法》第二十二条规定；</w:t>
      </w:r>
    </w:p>
    <w:p w14:paraId="5B462FBC">
      <w:pPr>
        <w:shd w:val="clear" w:color="auto" w:fill="FFFFFF"/>
        <w:wordWrap w:val="0"/>
        <w:spacing w:line="360" w:lineRule="auto"/>
        <w:ind w:firstLine="480" w:firstLineChars="200"/>
        <w:jc w:val="left"/>
        <w:rPr>
          <w:rFonts w:ascii="宋体" w:hAnsi="宋体" w:cs="宋体"/>
          <w:sz w:val="24"/>
          <w:szCs w:val="24"/>
        </w:rPr>
      </w:pPr>
      <w:r>
        <w:rPr>
          <w:rFonts w:hint="eastAsia" w:ascii="宋体" w:hAnsi="宋体" w:cs="宋体"/>
          <w:sz w:val="24"/>
          <w:szCs w:val="24"/>
        </w:rPr>
        <w:t>2、落实政府采购政策满足的资格要求：根据《政府采购促进中小企业发展管理办法》（财库〔2020〕46号）规定，本项目专门面向中小企业采购；同时供应商须提供《中小企业声明函》；</w:t>
      </w:r>
    </w:p>
    <w:p w14:paraId="34091F11">
      <w:pPr>
        <w:shd w:val="clear" w:color="auto" w:fill="FFFFFF"/>
        <w:wordWrap w:val="0"/>
        <w:spacing w:line="360" w:lineRule="auto"/>
        <w:ind w:firstLine="480" w:firstLineChars="200"/>
        <w:jc w:val="left"/>
        <w:rPr>
          <w:rFonts w:ascii="宋体" w:hAnsi="宋体" w:cs="宋体"/>
          <w:sz w:val="24"/>
          <w:szCs w:val="24"/>
        </w:rPr>
      </w:pPr>
      <w:r>
        <w:rPr>
          <w:rFonts w:hint="eastAsia" w:ascii="宋体" w:hAnsi="宋体" w:cs="宋体"/>
          <w:sz w:val="24"/>
          <w:szCs w:val="24"/>
        </w:rPr>
        <w:t>3、本项目的特定资格要求</w:t>
      </w:r>
    </w:p>
    <w:p w14:paraId="1CD2342C">
      <w:pPr>
        <w:shd w:val="clear" w:color="auto" w:fill="FFFFFF"/>
        <w:wordWrap w:val="0"/>
        <w:spacing w:line="360" w:lineRule="auto"/>
        <w:ind w:firstLine="480" w:firstLineChars="200"/>
        <w:jc w:val="left"/>
        <w:rPr>
          <w:rFonts w:hint="eastAsia" w:ascii="宋体" w:hAnsi="宋体" w:cs="宋体"/>
          <w:sz w:val="24"/>
          <w:szCs w:val="24"/>
          <w:lang w:eastAsia="zh-CN"/>
        </w:rPr>
      </w:pPr>
      <w:r>
        <w:rPr>
          <w:rFonts w:hint="eastAsia" w:ascii="宋体" w:hAnsi="宋体" w:cs="宋体"/>
          <w:sz w:val="24"/>
          <w:szCs w:val="24"/>
        </w:rPr>
        <w:t>（1）供应商具有独立法人资格，并具有有效的营业执照</w:t>
      </w:r>
      <w:r>
        <w:rPr>
          <w:rFonts w:hint="eastAsia" w:ascii="宋体" w:hAnsi="宋体" w:cs="宋体"/>
          <w:sz w:val="24"/>
          <w:szCs w:val="24"/>
          <w:lang w:eastAsia="zh-CN"/>
        </w:rPr>
        <w:t>；</w:t>
      </w:r>
    </w:p>
    <w:p w14:paraId="07BDDFE2">
      <w:pPr>
        <w:shd w:val="clear" w:color="auto" w:fill="FFFFFF"/>
        <w:wordWrap w:val="0"/>
        <w:spacing w:line="360" w:lineRule="auto"/>
        <w:ind w:firstLine="480" w:firstLineChars="200"/>
        <w:jc w:val="left"/>
        <w:rPr>
          <w:rFonts w:ascii="宋体" w:hAnsi="宋体" w:cs="宋体"/>
          <w:sz w:val="24"/>
          <w:szCs w:val="24"/>
        </w:rPr>
      </w:pPr>
      <w:r>
        <w:rPr>
          <w:rFonts w:hint="eastAsia" w:ascii="宋体" w:hAnsi="宋体" w:cs="宋体"/>
          <w:sz w:val="24"/>
          <w:szCs w:val="24"/>
        </w:rPr>
        <w:t>（2）供应商具有良好的商业信誉和健全的财务会计制度（提供承诺书，格式自拟）；</w:t>
      </w:r>
    </w:p>
    <w:p w14:paraId="142A0ED9">
      <w:pPr>
        <w:shd w:val="clear" w:color="auto" w:fill="FFFFFF"/>
        <w:wordWrap w:val="0"/>
        <w:spacing w:line="360" w:lineRule="auto"/>
        <w:ind w:firstLine="480" w:firstLineChars="200"/>
        <w:jc w:val="left"/>
        <w:rPr>
          <w:rFonts w:ascii="宋体" w:hAnsi="宋体" w:cs="宋体"/>
          <w:sz w:val="24"/>
          <w:szCs w:val="24"/>
        </w:rPr>
      </w:pPr>
      <w:r>
        <w:rPr>
          <w:rFonts w:hint="eastAsia" w:ascii="宋体" w:hAnsi="宋体" w:cs="宋体"/>
          <w:sz w:val="24"/>
          <w:szCs w:val="24"/>
        </w:rPr>
        <w:t>（3）供应商具有履行合同所必需的设备和专业技术能力（提供承诺书，格式自拟）；</w:t>
      </w:r>
    </w:p>
    <w:p w14:paraId="61E833F1">
      <w:pPr>
        <w:shd w:val="clear" w:color="auto" w:fill="FFFFFF"/>
        <w:wordWrap w:val="0"/>
        <w:spacing w:line="360" w:lineRule="auto"/>
        <w:ind w:firstLine="480" w:firstLineChars="200"/>
        <w:jc w:val="left"/>
        <w:rPr>
          <w:rFonts w:ascii="宋体" w:hAnsi="宋体" w:cs="宋体"/>
          <w:sz w:val="24"/>
          <w:szCs w:val="24"/>
        </w:rPr>
      </w:pPr>
      <w:r>
        <w:rPr>
          <w:rFonts w:hint="eastAsia" w:ascii="宋体" w:hAnsi="宋体" w:cs="宋体"/>
          <w:sz w:val="24"/>
          <w:szCs w:val="24"/>
        </w:rPr>
        <w:t>（4）供应商有依法缴纳税收和社会保障资金的良好记录（提供承诺书，格式自拟）；</w:t>
      </w:r>
    </w:p>
    <w:p w14:paraId="6CF5A17B">
      <w:pPr>
        <w:shd w:val="clear" w:color="auto" w:fill="FFFFFF"/>
        <w:wordWrap w:val="0"/>
        <w:spacing w:line="360" w:lineRule="auto"/>
        <w:ind w:firstLine="480" w:firstLineChars="200"/>
        <w:jc w:val="left"/>
        <w:rPr>
          <w:rFonts w:ascii="宋体" w:hAnsi="宋体" w:cs="宋体"/>
          <w:sz w:val="24"/>
          <w:szCs w:val="24"/>
        </w:rPr>
      </w:pPr>
      <w:r>
        <w:rPr>
          <w:rFonts w:hint="eastAsia" w:ascii="宋体" w:hAnsi="宋体" w:cs="宋体"/>
          <w:sz w:val="24"/>
          <w:szCs w:val="24"/>
        </w:rPr>
        <w:t>（5）供应商参加政府采购活动前三年内，在经营活动中没有重大违法记录（提供承诺书，格式自拟）；</w:t>
      </w:r>
    </w:p>
    <w:p w14:paraId="5DA0A468">
      <w:pPr>
        <w:shd w:val="clear" w:color="auto" w:fill="FFFFFF"/>
        <w:wordWrap w:val="0"/>
        <w:spacing w:line="360" w:lineRule="auto"/>
        <w:ind w:firstLine="480" w:firstLineChars="200"/>
        <w:jc w:val="left"/>
        <w:rPr>
          <w:rFonts w:ascii="宋体" w:hAnsi="宋体" w:cs="宋体"/>
          <w:sz w:val="24"/>
          <w:szCs w:val="24"/>
        </w:rPr>
      </w:pPr>
      <w:r>
        <w:rPr>
          <w:rFonts w:hint="eastAsia" w:ascii="宋体" w:hAnsi="宋体" w:cs="宋体"/>
          <w:sz w:val="24"/>
          <w:szCs w:val="24"/>
        </w:rPr>
        <w:t>（6）供应商为生产企业的须具有食品生产许可证；</w:t>
      </w:r>
      <w:r>
        <w:rPr>
          <w:rFonts w:hint="eastAsia" w:ascii="宋体" w:hAnsi="宋体" w:cs="宋体"/>
          <w:sz w:val="24"/>
          <w:szCs w:val="24"/>
          <w:lang w:val="en-US" w:eastAsia="zh-CN"/>
        </w:rPr>
        <w:t>供应商</w:t>
      </w:r>
      <w:r>
        <w:rPr>
          <w:rFonts w:hint="eastAsia" w:ascii="宋体" w:hAnsi="宋体" w:cs="宋体"/>
          <w:sz w:val="24"/>
          <w:szCs w:val="24"/>
        </w:rPr>
        <w:t>为经销商的须具有国家相关部门批准的食品经营许可证；</w:t>
      </w:r>
    </w:p>
    <w:p w14:paraId="08AD6879">
      <w:pPr>
        <w:shd w:val="clear" w:color="auto" w:fill="FFFFFF"/>
        <w:wordWrap w:val="0"/>
        <w:spacing w:line="360" w:lineRule="auto"/>
        <w:ind w:firstLine="480" w:firstLineChars="200"/>
        <w:jc w:val="left"/>
        <w:rPr>
          <w:rFonts w:ascii="宋体" w:hAnsi="宋体" w:cs="宋体"/>
          <w:sz w:val="24"/>
          <w:szCs w:val="24"/>
        </w:rPr>
      </w:pPr>
      <w:r>
        <w:rPr>
          <w:rFonts w:hint="eastAsia" w:ascii="宋体" w:hAnsi="宋体" w:cs="宋体"/>
          <w:sz w:val="24"/>
          <w:szCs w:val="24"/>
        </w:rPr>
        <w:t>（7）供应商无行贿犯罪记录行为，在中国裁判文书网自行查询结果或自行承诺（查询/承诺对象：企业、法定代表人）；</w:t>
      </w:r>
    </w:p>
    <w:p w14:paraId="21769C84">
      <w:pPr>
        <w:shd w:val="clear" w:color="auto" w:fill="FFFFFF"/>
        <w:wordWrap w:val="0"/>
        <w:spacing w:line="360" w:lineRule="auto"/>
        <w:ind w:firstLine="480" w:firstLineChars="200"/>
        <w:jc w:val="left"/>
        <w:rPr>
          <w:rFonts w:ascii="宋体" w:hAnsi="宋体" w:cs="宋体"/>
          <w:sz w:val="24"/>
          <w:szCs w:val="24"/>
        </w:rPr>
      </w:pPr>
      <w:r>
        <w:rPr>
          <w:rFonts w:hint="eastAsia" w:ascii="宋体" w:hAnsi="宋体" w:cs="宋体"/>
          <w:sz w:val="24"/>
          <w:szCs w:val="24"/>
        </w:rPr>
        <w:t>（8）未被列入中国执行信息公开网（http://zxgk.court.gov.cn/shixin/）失信被执行人、“信用中国”网站（www.creditchina.gov.cn）重大税收违法失信主体、“中国政府采购网”（http://www.ccgp.gov.cn/）政府采购严重违法失信行为名单，提供网页查询信息截图（查询时间自本公告发布之日起）；</w:t>
      </w:r>
    </w:p>
    <w:p w14:paraId="68384C79">
      <w:pPr>
        <w:shd w:val="clear" w:color="auto" w:fill="FFFFFF"/>
        <w:wordWrap w:val="0"/>
        <w:spacing w:line="360" w:lineRule="auto"/>
        <w:ind w:firstLine="480" w:firstLineChars="200"/>
        <w:jc w:val="left"/>
        <w:rPr>
          <w:rFonts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单位负责人为同一人或者存在直接控股、管理关系的不同供应商，不得参加同一合同项下的政府采购活动（提供“国家企业信用信息公示系统”http://www.gsxt.gov.cn/index.htm</w:t>
      </w:r>
      <w:r>
        <w:rPr>
          <w:rFonts w:hint="eastAsia" w:ascii="宋体" w:hAnsi="宋体" w:cs="宋体"/>
          <w:sz w:val="24"/>
          <w:szCs w:val="24"/>
          <w:lang w:val="en-US" w:eastAsia="zh-CN"/>
        </w:rPr>
        <w:t>l</w:t>
      </w:r>
      <w:r>
        <w:rPr>
          <w:rFonts w:hint="eastAsia" w:ascii="宋体" w:hAnsi="宋体" w:cs="宋体"/>
          <w:sz w:val="24"/>
          <w:szCs w:val="24"/>
        </w:rPr>
        <w:t>网页查询,需包含公司基本信息、股东信息及股权变更信息内容）；</w:t>
      </w:r>
    </w:p>
    <w:p w14:paraId="0689C7CD">
      <w:pPr>
        <w:shd w:val="clear" w:color="auto" w:fill="FFFFFF"/>
        <w:wordWrap w:val="0"/>
        <w:spacing w:line="360" w:lineRule="auto"/>
        <w:ind w:firstLine="480" w:firstLineChars="200"/>
        <w:jc w:val="left"/>
        <w:rPr>
          <w:rFonts w:ascii="宋体" w:hAnsi="宋体" w:cs="宋体"/>
          <w:sz w:val="24"/>
          <w:szCs w:val="24"/>
        </w:rPr>
      </w:pPr>
      <w:r>
        <w:rPr>
          <w:rFonts w:hint="eastAsia" w:ascii="宋体" w:hAnsi="宋体" w:cs="宋体"/>
          <w:sz w:val="24"/>
          <w:szCs w:val="24"/>
          <w:lang w:val="en-US" w:eastAsia="zh-CN"/>
        </w:rPr>
        <w:t>（10）</w:t>
      </w:r>
      <w:r>
        <w:rPr>
          <w:rFonts w:hint="eastAsia" w:ascii="宋体" w:hAnsi="宋体" w:cs="宋体"/>
          <w:sz w:val="24"/>
          <w:szCs w:val="24"/>
        </w:rPr>
        <w:t>本项目实行资格后审</w:t>
      </w:r>
      <w:r>
        <w:rPr>
          <w:rFonts w:hint="eastAsia" w:ascii="宋体" w:hAnsi="宋体" w:cs="宋体"/>
          <w:sz w:val="24"/>
          <w:szCs w:val="24"/>
          <w:lang w:val="en-US" w:eastAsia="zh-CN"/>
        </w:rPr>
        <w:t>（提供资格后审承诺书，格式自拟）</w:t>
      </w:r>
      <w:r>
        <w:rPr>
          <w:rFonts w:hint="eastAsia" w:ascii="宋体" w:hAnsi="宋体" w:cs="宋体"/>
          <w:sz w:val="24"/>
          <w:szCs w:val="24"/>
        </w:rPr>
        <w:t>；</w:t>
      </w:r>
    </w:p>
    <w:p w14:paraId="1C986467">
      <w:pPr>
        <w:shd w:val="clear" w:color="auto" w:fill="FFFFFF"/>
        <w:wordWrap w:val="0"/>
        <w:spacing w:line="360" w:lineRule="auto"/>
        <w:ind w:firstLine="480" w:firstLineChars="200"/>
        <w:jc w:val="left"/>
        <w:rPr>
          <w:rFonts w:ascii="宋体" w:hAnsi="宋体" w:cs="宋体"/>
          <w:sz w:val="24"/>
          <w:szCs w:val="24"/>
        </w:rPr>
      </w:pPr>
      <w:r>
        <w:rPr>
          <w:rFonts w:hint="eastAsia" w:ascii="宋体" w:hAnsi="宋体" w:cs="宋体"/>
          <w:sz w:val="24"/>
          <w:szCs w:val="24"/>
          <w:lang w:val="en-US" w:eastAsia="zh-CN"/>
        </w:rPr>
        <w:t>（11）</w:t>
      </w:r>
      <w:r>
        <w:rPr>
          <w:rFonts w:hint="eastAsia" w:ascii="宋体" w:hAnsi="宋体" w:cs="宋体"/>
          <w:sz w:val="24"/>
          <w:szCs w:val="24"/>
        </w:rPr>
        <w:t>本项目不接受联合体磋商（提供非联合体承诺书，格式自拟）。</w:t>
      </w:r>
    </w:p>
    <w:p w14:paraId="156CF340">
      <w:pPr>
        <w:spacing w:line="400" w:lineRule="exact"/>
        <w:ind w:firstLine="2551" w:firstLineChars="1063"/>
        <w:rPr>
          <w:rFonts w:ascii="宋体" w:hAnsi="宋体"/>
          <w:sz w:val="24"/>
          <w:szCs w:val="21"/>
        </w:rPr>
      </w:pPr>
      <w:r>
        <w:rPr>
          <w:rFonts w:ascii="宋体" w:hAnsi="宋体"/>
          <w:sz w:val="24"/>
          <w:szCs w:val="21"/>
        </w:rPr>
        <w:t>供应商：</w:t>
      </w:r>
      <w:r>
        <w:rPr>
          <w:rFonts w:ascii="宋体" w:hAnsi="宋体"/>
          <w:sz w:val="24"/>
          <w:szCs w:val="21"/>
          <w:u w:val="single"/>
        </w:rPr>
        <w:t xml:space="preserve">                     </w:t>
      </w:r>
      <w:r>
        <w:rPr>
          <w:rFonts w:ascii="宋体" w:hAnsi="宋体"/>
          <w:sz w:val="24"/>
          <w:szCs w:val="21"/>
        </w:rPr>
        <w:t>（盖单位公章）</w:t>
      </w:r>
    </w:p>
    <w:p w14:paraId="4C18F21F">
      <w:pPr>
        <w:spacing w:line="400" w:lineRule="exact"/>
        <w:ind w:firstLine="2551" w:firstLineChars="1063"/>
        <w:rPr>
          <w:rFonts w:ascii="宋体" w:hAnsi="宋体"/>
          <w:sz w:val="24"/>
          <w:szCs w:val="21"/>
        </w:rPr>
      </w:pPr>
      <w:r>
        <w:rPr>
          <w:rFonts w:ascii="宋体" w:hAnsi="宋体"/>
          <w:sz w:val="24"/>
          <w:szCs w:val="21"/>
        </w:rPr>
        <w:t>法定代表人或授权委托人：</w:t>
      </w:r>
      <w:r>
        <w:rPr>
          <w:rFonts w:ascii="宋体" w:hAnsi="宋体"/>
          <w:sz w:val="24"/>
          <w:szCs w:val="21"/>
          <w:u w:val="single"/>
        </w:rPr>
        <w:t xml:space="preserve">        </w:t>
      </w:r>
      <w:r>
        <w:rPr>
          <w:rFonts w:ascii="宋体" w:hAnsi="宋体"/>
          <w:sz w:val="24"/>
          <w:szCs w:val="21"/>
        </w:rPr>
        <w:t>（</w:t>
      </w:r>
      <w:r>
        <w:rPr>
          <w:rFonts w:hint="eastAsia" w:ascii="宋体" w:hAnsi="宋体"/>
          <w:sz w:val="24"/>
          <w:szCs w:val="21"/>
        </w:rPr>
        <w:t>签字或盖章</w:t>
      </w:r>
      <w:r>
        <w:rPr>
          <w:rFonts w:ascii="宋体" w:hAnsi="宋体"/>
          <w:sz w:val="24"/>
          <w:szCs w:val="21"/>
        </w:rPr>
        <w:t>）</w:t>
      </w:r>
    </w:p>
    <w:p w14:paraId="547AAC02">
      <w:pPr>
        <w:spacing w:line="400" w:lineRule="exact"/>
        <w:ind w:right="-147" w:rightChars="-70" w:firstLine="2551" w:firstLineChars="1063"/>
        <w:rPr>
          <w:rFonts w:ascii="宋体" w:hAnsi="宋体"/>
          <w:sz w:val="24"/>
          <w:szCs w:val="21"/>
        </w:rPr>
      </w:pPr>
      <w:r>
        <w:rPr>
          <w:rFonts w:ascii="宋体" w:hAnsi="宋体"/>
          <w:sz w:val="24"/>
          <w:szCs w:val="21"/>
          <w:u w:val="single"/>
        </w:rPr>
        <w:t xml:space="preserve">        </w:t>
      </w:r>
      <w:r>
        <w:rPr>
          <w:rFonts w:ascii="宋体" w:hAnsi="宋体"/>
          <w:sz w:val="24"/>
          <w:szCs w:val="21"/>
        </w:rPr>
        <w:t>年</w:t>
      </w:r>
      <w:r>
        <w:rPr>
          <w:rFonts w:ascii="宋体" w:hAnsi="宋体"/>
          <w:sz w:val="24"/>
          <w:szCs w:val="21"/>
          <w:u w:val="single"/>
        </w:rPr>
        <w:t xml:space="preserve">        </w:t>
      </w:r>
      <w:r>
        <w:rPr>
          <w:rFonts w:ascii="宋体" w:hAnsi="宋体"/>
          <w:sz w:val="24"/>
          <w:szCs w:val="21"/>
        </w:rPr>
        <w:t>月</w:t>
      </w:r>
      <w:r>
        <w:rPr>
          <w:rFonts w:ascii="宋体" w:hAnsi="宋体"/>
          <w:sz w:val="24"/>
          <w:szCs w:val="21"/>
          <w:u w:val="single"/>
        </w:rPr>
        <w:t xml:space="preserve">        </w:t>
      </w:r>
      <w:r>
        <w:rPr>
          <w:rFonts w:ascii="宋体" w:hAnsi="宋体"/>
          <w:sz w:val="24"/>
          <w:szCs w:val="21"/>
        </w:rPr>
        <w:t>日</w:t>
      </w:r>
    </w:p>
    <w:p w14:paraId="49D49186">
      <w:pPr>
        <w:autoSpaceDE w:val="0"/>
        <w:autoSpaceDN w:val="0"/>
        <w:adjustRightInd w:val="0"/>
        <w:snapToGrid w:val="0"/>
        <w:spacing w:line="480" w:lineRule="auto"/>
        <w:ind w:firstLine="3840" w:firstLineChars="1600"/>
        <w:rPr>
          <w:rFonts w:ascii="宋体" w:hAnsi="宋体" w:cs="宋体"/>
          <w:kern w:val="0"/>
          <w:sz w:val="24"/>
        </w:rPr>
      </w:pPr>
    </w:p>
    <w:p w14:paraId="3BB77C8D">
      <w:pPr>
        <w:keepNext/>
        <w:keepLines/>
        <w:spacing w:line="410" w:lineRule="auto"/>
        <w:jc w:val="center"/>
        <w:outlineLvl w:val="1"/>
        <w:rPr>
          <w:rFonts w:ascii="宋体" w:hAnsi="宋体" w:cs="宋体"/>
          <w:b/>
          <w:color w:val="000000"/>
          <w:kern w:val="0"/>
          <w:sz w:val="30"/>
          <w:szCs w:val="30"/>
        </w:rPr>
      </w:pPr>
      <w:r>
        <w:rPr>
          <w:rFonts w:hint="eastAsia" w:ascii="宋体" w:hAnsi="宋体" w:cs="宋体"/>
          <w:b/>
          <w:color w:val="000000"/>
          <w:kern w:val="0"/>
          <w:sz w:val="30"/>
          <w:szCs w:val="30"/>
        </w:rPr>
        <w:t>五、技术方案</w:t>
      </w:r>
    </w:p>
    <w:p w14:paraId="2A100946">
      <w:pPr>
        <w:pStyle w:val="14"/>
        <w:spacing w:line="360" w:lineRule="auto"/>
        <w:jc w:val="center"/>
        <w:rPr>
          <w:rFonts w:ascii="宋体" w:hAnsi="宋体" w:cs="宋体"/>
          <w:color w:val="000000"/>
          <w:kern w:val="0"/>
          <w:sz w:val="24"/>
        </w:rPr>
      </w:pPr>
      <w:r>
        <w:rPr>
          <w:rFonts w:hint="eastAsia" w:ascii="宋体" w:hAnsi="宋体" w:cs="宋体"/>
          <w:color w:val="000000"/>
          <w:kern w:val="0"/>
          <w:sz w:val="24"/>
        </w:rPr>
        <w:t>（格式自拟）</w:t>
      </w:r>
    </w:p>
    <w:p w14:paraId="4193A0AC">
      <w:pPr>
        <w:pStyle w:val="14"/>
        <w:spacing w:line="360" w:lineRule="auto"/>
        <w:rPr>
          <w:rFonts w:ascii="宋体" w:hAnsi="宋体" w:cs="宋体"/>
          <w:color w:val="000000"/>
          <w:kern w:val="0"/>
          <w:sz w:val="24"/>
        </w:rPr>
      </w:pPr>
    </w:p>
    <w:p w14:paraId="735133E8">
      <w:pPr>
        <w:pStyle w:val="14"/>
        <w:spacing w:line="360" w:lineRule="auto"/>
        <w:rPr>
          <w:rFonts w:ascii="宋体" w:hAnsi="宋体" w:cs="宋体"/>
          <w:color w:val="000000"/>
          <w:kern w:val="0"/>
          <w:sz w:val="24"/>
        </w:rPr>
      </w:pPr>
    </w:p>
    <w:p w14:paraId="39B9432E">
      <w:pPr>
        <w:pStyle w:val="14"/>
        <w:spacing w:line="360" w:lineRule="auto"/>
        <w:rPr>
          <w:rFonts w:ascii="宋体" w:hAnsi="宋体" w:cs="宋体"/>
          <w:color w:val="000000"/>
          <w:kern w:val="0"/>
          <w:sz w:val="24"/>
        </w:rPr>
      </w:pPr>
    </w:p>
    <w:p w14:paraId="12339C61">
      <w:pPr>
        <w:pStyle w:val="14"/>
        <w:spacing w:line="360" w:lineRule="auto"/>
        <w:rPr>
          <w:rFonts w:ascii="宋体" w:hAnsi="宋体" w:cs="宋体"/>
          <w:color w:val="000000"/>
          <w:kern w:val="0"/>
          <w:sz w:val="24"/>
        </w:rPr>
      </w:pPr>
    </w:p>
    <w:p w14:paraId="5B11D0A2">
      <w:pPr>
        <w:pStyle w:val="14"/>
        <w:spacing w:line="360" w:lineRule="auto"/>
        <w:rPr>
          <w:rFonts w:ascii="宋体" w:hAnsi="宋体" w:cs="宋体"/>
          <w:color w:val="000000"/>
          <w:kern w:val="0"/>
          <w:sz w:val="24"/>
        </w:rPr>
      </w:pPr>
    </w:p>
    <w:p w14:paraId="2452ACDC">
      <w:pPr>
        <w:pStyle w:val="14"/>
        <w:spacing w:line="360" w:lineRule="auto"/>
        <w:rPr>
          <w:rFonts w:ascii="宋体" w:hAnsi="宋体" w:cs="宋体"/>
          <w:color w:val="000000"/>
          <w:kern w:val="0"/>
          <w:sz w:val="24"/>
        </w:rPr>
      </w:pPr>
    </w:p>
    <w:p w14:paraId="3DA26715">
      <w:pPr>
        <w:pStyle w:val="14"/>
        <w:spacing w:line="360" w:lineRule="auto"/>
        <w:rPr>
          <w:rFonts w:ascii="宋体" w:hAnsi="宋体" w:cs="宋体"/>
          <w:color w:val="000000"/>
          <w:kern w:val="0"/>
          <w:sz w:val="24"/>
        </w:rPr>
      </w:pPr>
    </w:p>
    <w:p w14:paraId="3CF1CA44">
      <w:pPr>
        <w:pStyle w:val="14"/>
        <w:spacing w:line="360" w:lineRule="auto"/>
        <w:rPr>
          <w:rFonts w:ascii="宋体" w:hAnsi="宋体" w:cs="宋体"/>
          <w:color w:val="000000"/>
          <w:kern w:val="0"/>
          <w:sz w:val="24"/>
        </w:rPr>
      </w:pPr>
    </w:p>
    <w:p w14:paraId="49E60299">
      <w:pPr>
        <w:pStyle w:val="14"/>
        <w:spacing w:line="360" w:lineRule="auto"/>
        <w:rPr>
          <w:rFonts w:ascii="宋体" w:hAnsi="宋体" w:cs="宋体"/>
          <w:color w:val="000000"/>
          <w:kern w:val="0"/>
          <w:sz w:val="24"/>
        </w:rPr>
      </w:pPr>
    </w:p>
    <w:p w14:paraId="07988057">
      <w:pPr>
        <w:pStyle w:val="14"/>
        <w:spacing w:line="360" w:lineRule="auto"/>
        <w:rPr>
          <w:rFonts w:ascii="宋体" w:hAnsi="宋体" w:cs="宋体"/>
          <w:color w:val="000000"/>
          <w:kern w:val="0"/>
          <w:sz w:val="24"/>
        </w:rPr>
      </w:pPr>
    </w:p>
    <w:p w14:paraId="45124AD6">
      <w:pPr>
        <w:pStyle w:val="14"/>
        <w:spacing w:line="360" w:lineRule="auto"/>
        <w:rPr>
          <w:rFonts w:ascii="宋体" w:hAnsi="宋体" w:cs="宋体"/>
          <w:color w:val="000000"/>
          <w:kern w:val="0"/>
          <w:sz w:val="24"/>
        </w:rPr>
      </w:pPr>
    </w:p>
    <w:p w14:paraId="4EDA4540">
      <w:pPr>
        <w:pStyle w:val="14"/>
        <w:spacing w:line="360" w:lineRule="auto"/>
        <w:rPr>
          <w:rFonts w:ascii="宋体" w:hAnsi="宋体" w:cs="宋体"/>
          <w:color w:val="000000"/>
          <w:kern w:val="0"/>
          <w:sz w:val="24"/>
        </w:rPr>
      </w:pPr>
    </w:p>
    <w:p w14:paraId="334BA63C">
      <w:pPr>
        <w:pStyle w:val="14"/>
        <w:spacing w:line="360" w:lineRule="auto"/>
        <w:rPr>
          <w:rFonts w:ascii="宋体" w:hAnsi="宋体" w:cs="宋体"/>
          <w:color w:val="000000"/>
          <w:kern w:val="0"/>
          <w:sz w:val="24"/>
        </w:rPr>
      </w:pPr>
    </w:p>
    <w:p w14:paraId="0C0B8C8D">
      <w:pPr>
        <w:pStyle w:val="14"/>
        <w:spacing w:line="360" w:lineRule="auto"/>
        <w:rPr>
          <w:rFonts w:ascii="宋体" w:hAnsi="宋体" w:cs="宋体"/>
          <w:color w:val="000000"/>
          <w:kern w:val="0"/>
          <w:sz w:val="24"/>
        </w:rPr>
      </w:pPr>
    </w:p>
    <w:p w14:paraId="3DF12450">
      <w:pPr>
        <w:pStyle w:val="14"/>
        <w:spacing w:line="360" w:lineRule="auto"/>
        <w:rPr>
          <w:rFonts w:ascii="宋体" w:hAnsi="宋体" w:cs="宋体"/>
          <w:color w:val="000000"/>
          <w:kern w:val="0"/>
          <w:sz w:val="24"/>
        </w:rPr>
      </w:pPr>
    </w:p>
    <w:p w14:paraId="23C019AB">
      <w:pPr>
        <w:pStyle w:val="14"/>
        <w:spacing w:line="360" w:lineRule="auto"/>
        <w:rPr>
          <w:rFonts w:ascii="宋体" w:hAnsi="宋体" w:cs="宋体"/>
          <w:color w:val="000000"/>
          <w:kern w:val="0"/>
          <w:sz w:val="24"/>
        </w:rPr>
      </w:pPr>
    </w:p>
    <w:p w14:paraId="4247A5DC">
      <w:pPr>
        <w:pStyle w:val="14"/>
        <w:spacing w:line="360" w:lineRule="auto"/>
        <w:rPr>
          <w:rFonts w:ascii="宋体" w:hAnsi="宋体" w:cs="宋体"/>
          <w:color w:val="000000"/>
          <w:kern w:val="0"/>
          <w:sz w:val="24"/>
        </w:rPr>
      </w:pPr>
    </w:p>
    <w:p w14:paraId="38D4CF9E">
      <w:pPr>
        <w:pStyle w:val="14"/>
        <w:spacing w:line="360" w:lineRule="auto"/>
        <w:rPr>
          <w:rFonts w:ascii="宋体" w:hAnsi="宋体" w:cs="宋体"/>
          <w:color w:val="000000"/>
          <w:kern w:val="0"/>
          <w:sz w:val="24"/>
        </w:rPr>
      </w:pPr>
    </w:p>
    <w:p w14:paraId="25384354">
      <w:pPr>
        <w:pStyle w:val="14"/>
        <w:spacing w:line="360" w:lineRule="auto"/>
        <w:rPr>
          <w:rFonts w:ascii="宋体" w:hAnsi="宋体" w:cs="宋体"/>
          <w:color w:val="000000"/>
          <w:kern w:val="0"/>
          <w:sz w:val="24"/>
        </w:rPr>
      </w:pPr>
    </w:p>
    <w:p w14:paraId="7B798A3A">
      <w:pPr>
        <w:pStyle w:val="14"/>
        <w:spacing w:line="360" w:lineRule="auto"/>
        <w:rPr>
          <w:rFonts w:ascii="宋体" w:hAnsi="宋体" w:cs="宋体"/>
          <w:color w:val="000000"/>
          <w:kern w:val="0"/>
          <w:sz w:val="24"/>
        </w:rPr>
      </w:pPr>
    </w:p>
    <w:p w14:paraId="5E17BD98">
      <w:pPr>
        <w:pStyle w:val="14"/>
        <w:spacing w:line="360" w:lineRule="auto"/>
        <w:rPr>
          <w:rFonts w:ascii="宋体" w:hAnsi="宋体" w:cs="宋体"/>
          <w:color w:val="000000"/>
          <w:kern w:val="0"/>
          <w:sz w:val="24"/>
        </w:rPr>
      </w:pPr>
    </w:p>
    <w:p w14:paraId="7A0467A2">
      <w:pPr>
        <w:pStyle w:val="14"/>
        <w:spacing w:line="360" w:lineRule="auto"/>
        <w:rPr>
          <w:rFonts w:ascii="宋体" w:hAnsi="宋体" w:cs="宋体"/>
          <w:color w:val="000000"/>
          <w:kern w:val="0"/>
          <w:sz w:val="24"/>
        </w:rPr>
      </w:pPr>
    </w:p>
    <w:p w14:paraId="649CF7D0">
      <w:pPr>
        <w:pStyle w:val="14"/>
        <w:spacing w:line="360" w:lineRule="auto"/>
        <w:rPr>
          <w:rFonts w:ascii="宋体" w:hAnsi="宋体" w:cs="宋体"/>
          <w:color w:val="000000"/>
          <w:kern w:val="0"/>
          <w:sz w:val="24"/>
        </w:rPr>
      </w:pPr>
    </w:p>
    <w:p w14:paraId="01A3E514">
      <w:pPr>
        <w:pStyle w:val="14"/>
        <w:spacing w:line="360" w:lineRule="auto"/>
        <w:rPr>
          <w:rFonts w:ascii="宋体" w:hAnsi="宋体" w:cs="宋体"/>
          <w:color w:val="000000"/>
          <w:kern w:val="0"/>
          <w:sz w:val="24"/>
        </w:rPr>
      </w:pPr>
    </w:p>
    <w:p w14:paraId="71F80C12">
      <w:pPr>
        <w:pStyle w:val="14"/>
        <w:spacing w:line="360" w:lineRule="auto"/>
        <w:rPr>
          <w:rFonts w:ascii="宋体" w:hAnsi="宋体" w:cs="宋体"/>
          <w:color w:val="000000"/>
          <w:kern w:val="0"/>
          <w:sz w:val="24"/>
        </w:rPr>
      </w:pPr>
    </w:p>
    <w:p w14:paraId="0DB09D60">
      <w:pPr>
        <w:pStyle w:val="14"/>
        <w:spacing w:line="360" w:lineRule="auto"/>
        <w:rPr>
          <w:rFonts w:ascii="宋体" w:hAnsi="宋体" w:cs="宋体"/>
          <w:color w:val="000000"/>
          <w:kern w:val="0"/>
          <w:sz w:val="24"/>
        </w:rPr>
      </w:pPr>
    </w:p>
    <w:p w14:paraId="05158C26">
      <w:pPr>
        <w:pStyle w:val="14"/>
        <w:spacing w:line="360" w:lineRule="auto"/>
        <w:rPr>
          <w:rFonts w:ascii="宋体" w:hAnsi="宋体" w:cs="宋体"/>
          <w:color w:val="000000"/>
          <w:kern w:val="0"/>
          <w:sz w:val="24"/>
        </w:rPr>
      </w:pPr>
    </w:p>
    <w:p w14:paraId="06FF37FD">
      <w:pPr>
        <w:spacing w:line="480" w:lineRule="auto"/>
        <w:jc w:val="center"/>
        <w:outlineLvl w:val="1"/>
        <w:rPr>
          <w:rFonts w:ascii="宋体" w:hAnsi="宋体" w:cs="宋体"/>
          <w:b/>
          <w:color w:val="000000"/>
          <w:kern w:val="0"/>
          <w:sz w:val="28"/>
          <w:szCs w:val="28"/>
        </w:rPr>
      </w:pPr>
      <w:r>
        <w:rPr>
          <w:rFonts w:hint="eastAsia" w:ascii="宋体" w:hAnsi="宋体" w:cs="宋体"/>
          <w:b/>
          <w:color w:val="000000"/>
          <w:kern w:val="0"/>
          <w:sz w:val="28"/>
          <w:szCs w:val="28"/>
        </w:rPr>
        <w:t>六、供应商承担过的类似业绩</w:t>
      </w:r>
    </w:p>
    <w:p w14:paraId="46516A13">
      <w:pPr>
        <w:spacing w:line="360" w:lineRule="auto"/>
        <w:jc w:val="center"/>
        <w:outlineLvl w:val="1"/>
        <w:rPr>
          <w:rFonts w:ascii="宋体" w:hAnsi="宋体" w:cs="宋体"/>
          <w:b/>
          <w:bCs/>
          <w:sz w:val="24"/>
        </w:rPr>
      </w:pPr>
      <w:bookmarkStart w:id="170" w:name="_Toc17349"/>
      <w:bookmarkEnd w:id="170"/>
      <w:bookmarkStart w:id="171" w:name="_Toc173946436"/>
      <w:bookmarkEnd w:id="171"/>
      <w:bookmarkStart w:id="172" w:name="_Toc31838"/>
      <w:bookmarkEnd w:id="172"/>
      <w:bookmarkStart w:id="173" w:name="_Toc4059"/>
      <w:bookmarkEnd w:id="173"/>
      <w:bookmarkStart w:id="174" w:name="_Toc6119"/>
      <w:bookmarkEnd w:id="174"/>
      <w:bookmarkStart w:id="175" w:name="_Toc17684"/>
      <w:bookmarkEnd w:id="175"/>
      <w:bookmarkStart w:id="176" w:name="_Toc174034469"/>
      <w:bookmarkEnd w:id="176"/>
      <w:bookmarkStart w:id="177" w:name="_Toc14361"/>
      <w:r>
        <w:rPr>
          <w:rFonts w:hint="eastAsia" w:ascii="宋体" w:hAnsi="宋体" w:cs="宋体"/>
          <w:b/>
          <w:bCs/>
          <w:sz w:val="24"/>
        </w:rPr>
        <w:t>（一）自2022年1月1日已完成的类似项目情况表</w:t>
      </w:r>
      <w:bookmarkEnd w:id="177"/>
    </w:p>
    <w:tbl>
      <w:tblPr>
        <w:tblStyle w:val="21"/>
        <w:tblW w:w="8457" w:type="dxa"/>
        <w:jc w:val="center"/>
        <w:tblLayout w:type="fixed"/>
        <w:tblCellMar>
          <w:top w:w="0" w:type="dxa"/>
          <w:left w:w="108" w:type="dxa"/>
          <w:bottom w:w="0" w:type="dxa"/>
          <w:right w:w="108" w:type="dxa"/>
        </w:tblCellMar>
      </w:tblPr>
      <w:tblGrid>
        <w:gridCol w:w="2213"/>
        <w:gridCol w:w="6244"/>
      </w:tblGrid>
      <w:tr w14:paraId="00E419FC">
        <w:tblPrEx>
          <w:tblCellMar>
            <w:top w:w="0" w:type="dxa"/>
            <w:left w:w="108" w:type="dxa"/>
            <w:bottom w:w="0" w:type="dxa"/>
            <w:right w:w="108" w:type="dxa"/>
          </w:tblCellMar>
        </w:tblPrEx>
        <w:trPr>
          <w:trHeight w:val="670"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3B330EC2">
            <w:pPr>
              <w:topLinePunct/>
              <w:spacing w:line="440" w:lineRule="exact"/>
              <w:jc w:val="center"/>
              <w:rPr>
                <w:rFonts w:ascii="宋体" w:hAnsi="宋体" w:cs="宋体"/>
                <w:sz w:val="24"/>
              </w:rPr>
            </w:pPr>
            <w:r>
              <w:rPr>
                <w:rFonts w:hint="eastAsia" w:ascii="宋体" w:hAnsi="宋体" w:cs="宋体"/>
                <w:sz w:val="24"/>
              </w:rPr>
              <w:t>项目名称</w:t>
            </w:r>
          </w:p>
        </w:tc>
        <w:tc>
          <w:tcPr>
            <w:tcW w:w="6244" w:type="dxa"/>
            <w:tcBorders>
              <w:top w:val="single" w:color="auto" w:sz="4" w:space="0"/>
              <w:left w:val="nil"/>
              <w:bottom w:val="single" w:color="auto" w:sz="4" w:space="0"/>
              <w:right w:val="single" w:color="auto" w:sz="4" w:space="0"/>
            </w:tcBorders>
          </w:tcPr>
          <w:p w14:paraId="31B11C64">
            <w:pPr>
              <w:topLinePunct/>
              <w:spacing w:line="440" w:lineRule="exact"/>
              <w:rPr>
                <w:rFonts w:ascii="宋体" w:hAnsi="宋体" w:cs="宋体"/>
                <w:sz w:val="24"/>
                <w:highlight w:val="black"/>
              </w:rPr>
            </w:pPr>
          </w:p>
        </w:tc>
      </w:tr>
      <w:tr w14:paraId="164DB34A">
        <w:tblPrEx>
          <w:tblCellMar>
            <w:top w:w="0" w:type="dxa"/>
            <w:left w:w="108" w:type="dxa"/>
            <w:bottom w:w="0" w:type="dxa"/>
            <w:right w:w="108" w:type="dxa"/>
          </w:tblCellMar>
        </w:tblPrEx>
        <w:trPr>
          <w:trHeight w:val="609"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63316107">
            <w:pPr>
              <w:topLinePunct/>
              <w:spacing w:line="440" w:lineRule="exact"/>
              <w:jc w:val="center"/>
              <w:rPr>
                <w:rFonts w:ascii="宋体" w:hAnsi="宋体" w:cs="宋体"/>
                <w:sz w:val="24"/>
              </w:rPr>
            </w:pPr>
            <w:r>
              <w:rPr>
                <w:rFonts w:hint="eastAsia" w:ascii="宋体" w:hAnsi="宋体" w:cs="宋体"/>
                <w:sz w:val="24"/>
              </w:rPr>
              <w:t>项目所在地</w:t>
            </w:r>
          </w:p>
        </w:tc>
        <w:tc>
          <w:tcPr>
            <w:tcW w:w="6244" w:type="dxa"/>
            <w:tcBorders>
              <w:top w:val="single" w:color="auto" w:sz="4" w:space="0"/>
              <w:left w:val="nil"/>
              <w:bottom w:val="single" w:color="auto" w:sz="4" w:space="0"/>
              <w:right w:val="single" w:color="auto" w:sz="4" w:space="0"/>
            </w:tcBorders>
          </w:tcPr>
          <w:p w14:paraId="17C82A0A">
            <w:pPr>
              <w:topLinePunct/>
              <w:spacing w:line="440" w:lineRule="exact"/>
              <w:rPr>
                <w:rFonts w:ascii="宋体" w:hAnsi="宋体" w:cs="宋体"/>
                <w:sz w:val="24"/>
              </w:rPr>
            </w:pPr>
          </w:p>
        </w:tc>
      </w:tr>
      <w:tr w14:paraId="206034E9">
        <w:tblPrEx>
          <w:tblCellMar>
            <w:top w:w="0" w:type="dxa"/>
            <w:left w:w="108" w:type="dxa"/>
            <w:bottom w:w="0" w:type="dxa"/>
            <w:right w:w="108" w:type="dxa"/>
          </w:tblCellMar>
        </w:tblPrEx>
        <w:trPr>
          <w:trHeight w:val="616"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7FA80F98">
            <w:pPr>
              <w:topLinePunct/>
              <w:spacing w:line="440" w:lineRule="exact"/>
              <w:jc w:val="center"/>
              <w:rPr>
                <w:rFonts w:ascii="宋体" w:hAnsi="宋体" w:cs="宋体"/>
                <w:sz w:val="24"/>
              </w:rPr>
            </w:pPr>
            <w:r>
              <w:rPr>
                <w:rFonts w:hint="eastAsia" w:ascii="宋体" w:hAnsi="宋体" w:cs="宋体"/>
                <w:sz w:val="24"/>
              </w:rPr>
              <w:t>采购人名称</w:t>
            </w:r>
          </w:p>
        </w:tc>
        <w:tc>
          <w:tcPr>
            <w:tcW w:w="6244" w:type="dxa"/>
            <w:tcBorders>
              <w:top w:val="single" w:color="auto" w:sz="4" w:space="0"/>
              <w:left w:val="nil"/>
              <w:bottom w:val="single" w:color="auto" w:sz="4" w:space="0"/>
              <w:right w:val="single" w:color="auto" w:sz="4" w:space="0"/>
            </w:tcBorders>
          </w:tcPr>
          <w:p w14:paraId="46F6EBFA">
            <w:pPr>
              <w:topLinePunct/>
              <w:spacing w:line="440" w:lineRule="exact"/>
              <w:rPr>
                <w:rFonts w:ascii="宋体" w:hAnsi="宋体" w:cs="宋体"/>
                <w:sz w:val="24"/>
              </w:rPr>
            </w:pPr>
          </w:p>
        </w:tc>
      </w:tr>
      <w:tr w14:paraId="1934E0A8">
        <w:tblPrEx>
          <w:tblCellMar>
            <w:top w:w="0" w:type="dxa"/>
            <w:left w:w="108" w:type="dxa"/>
            <w:bottom w:w="0" w:type="dxa"/>
            <w:right w:w="108" w:type="dxa"/>
          </w:tblCellMar>
        </w:tblPrEx>
        <w:trPr>
          <w:trHeight w:val="610"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1E56AB41">
            <w:pPr>
              <w:topLinePunct/>
              <w:spacing w:line="440" w:lineRule="exact"/>
              <w:jc w:val="center"/>
              <w:rPr>
                <w:rFonts w:ascii="宋体" w:hAnsi="宋体" w:cs="宋体"/>
                <w:sz w:val="24"/>
              </w:rPr>
            </w:pPr>
            <w:r>
              <w:rPr>
                <w:rFonts w:hint="eastAsia" w:ascii="宋体" w:hAnsi="宋体" w:cs="宋体"/>
                <w:sz w:val="24"/>
              </w:rPr>
              <w:t>采购人地址</w:t>
            </w:r>
          </w:p>
        </w:tc>
        <w:tc>
          <w:tcPr>
            <w:tcW w:w="6244" w:type="dxa"/>
            <w:tcBorders>
              <w:top w:val="single" w:color="auto" w:sz="4" w:space="0"/>
              <w:left w:val="nil"/>
              <w:bottom w:val="single" w:color="auto" w:sz="4" w:space="0"/>
              <w:right w:val="single" w:color="auto" w:sz="4" w:space="0"/>
            </w:tcBorders>
          </w:tcPr>
          <w:p w14:paraId="4F00FAD1">
            <w:pPr>
              <w:topLinePunct/>
              <w:spacing w:line="440" w:lineRule="exact"/>
              <w:rPr>
                <w:rFonts w:ascii="宋体" w:hAnsi="宋体" w:cs="宋体"/>
                <w:sz w:val="24"/>
              </w:rPr>
            </w:pPr>
          </w:p>
        </w:tc>
      </w:tr>
      <w:tr w14:paraId="69695341">
        <w:tblPrEx>
          <w:tblCellMar>
            <w:top w:w="0" w:type="dxa"/>
            <w:left w:w="108" w:type="dxa"/>
            <w:bottom w:w="0" w:type="dxa"/>
            <w:right w:w="108" w:type="dxa"/>
          </w:tblCellMar>
        </w:tblPrEx>
        <w:trPr>
          <w:trHeight w:val="618"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31957E48">
            <w:pPr>
              <w:topLinePunct/>
              <w:spacing w:line="440" w:lineRule="exact"/>
              <w:jc w:val="center"/>
              <w:rPr>
                <w:rFonts w:ascii="宋体" w:hAnsi="宋体" w:cs="宋体"/>
                <w:sz w:val="24"/>
              </w:rPr>
            </w:pPr>
            <w:r>
              <w:rPr>
                <w:rFonts w:hint="eastAsia" w:ascii="宋体" w:hAnsi="宋体" w:cs="宋体"/>
                <w:sz w:val="24"/>
              </w:rPr>
              <w:t>采购人电话</w:t>
            </w:r>
          </w:p>
        </w:tc>
        <w:tc>
          <w:tcPr>
            <w:tcW w:w="6244" w:type="dxa"/>
            <w:tcBorders>
              <w:top w:val="single" w:color="auto" w:sz="4" w:space="0"/>
              <w:left w:val="nil"/>
              <w:bottom w:val="single" w:color="auto" w:sz="4" w:space="0"/>
              <w:right w:val="single" w:color="auto" w:sz="4" w:space="0"/>
            </w:tcBorders>
          </w:tcPr>
          <w:p w14:paraId="35EE9496">
            <w:pPr>
              <w:topLinePunct/>
              <w:spacing w:line="440" w:lineRule="exact"/>
              <w:rPr>
                <w:rFonts w:ascii="宋体" w:hAnsi="宋体" w:cs="宋体"/>
                <w:sz w:val="24"/>
              </w:rPr>
            </w:pPr>
          </w:p>
        </w:tc>
      </w:tr>
      <w:tr w14:paraId="580CD850">
        <w:tblPrEx>
          <w:tblCellMar>
            <w:top w:w="0" w:type="dxa"/>
            <w:left w:w="108" w:type="dxa"/>
            <w:bottom w:w="0" w:type="dxa"/>
            <w:right w:w="108" w:type="dxa"/>
          </w:tblCellMar>
        </w:tblPrEx>
        <w:trPr>
          <w:trHeight w:val="612"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44BFA646">
            <w:pPr>
              <w:topLinePunct/>
              <w:spacing w:line="440" w:lineRule="exact"/>
              <w:jc w:val="center"/>
              <w:rPr>
                <w:rFonts w:ascii="宋体" w:hAnsi="宋体" w:cs="宋体"/>
                <w:sz w:val="24"/>
              </w:rPr>
            </w:pPr>
            <w:r>
              <w:rPr>
                <w:rFonts w:hint="eastAsia" w:ascii="宋体" w:hAnsi="宋体" w:cs="宋体"/>
                <w:sz w:val="24"/>
              </w:rPr>
              <w:t>合同价格</w:t>
            </w:r>
          </w:p>
        </w:tc>
        <w:tc>
          <w:tcPr>
            <w:tcW w:w="6244" w:type="dxa"/>
            <w:tcBorders>
              <w:top w:val="single" w:color="auto" w:sz="4" w:space="0"/>
              <w:left w:val="nil"/>
              <w:bottom w:val="single" w:color="auto" w:sz="4" w:space="0"/>
              <w:right w:val="single" w:color="auto" w:sz="4" w:space="0"/>
            </w:tcBorders>
          </w:tcPr>
          <w:p w14:paraId="43A7C89C">
            <w:pPr>
              <w:topLinePunct/>
              <w:spacing w:line="440" w:lineRule="exact"/>
              <w:rPr>
                <w:rFonts w:ascii="宋体" w:hAnsi="宋体" w:cs="宋体"/>
                <w:sz w:val="24"/>
              </w:rPr>
            </w:pPr>
          </w:p>
        </w:tc>
      </w:tr>
      <w:tr w14:paraId="5A49B39C">
        <w:tblPrEx>
          <w:tblCellMar>
            <w:top w:w="0" w:type="dxa"/>
            <w:left w:w="108" w:type="dxa"/>
            <w:bottom w:w="0" w:type="dxa"/>
            <w:right w:w="108" w:type="dxa"/>
          </w:tblCellMar>
        </w:tblPrEx>
        <w:trPr>
          <w:trHeight w:val="612"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2096B7FD">
            <w:pPr>
              <w:topLinePunct/>
              <w:spacing w:line="440" w:lineRule="exact"/>
              <w:jc w:val="center"/>
              <w:rPr>
                <w:rFonts w:ascii="宋体" w:hAnsi="宋体" w:cs="宋体"/>
                <w:sz w:val="24"/>
              </w:rPr>
            </w:pPr>
            <w:r>
              <w:rPr>
                <w:rFonts w:hint="eastAsia" w:ascii="宋体" w:hAnsi="宋体" w:cs="宋体"/>
                <w:sz w:val="24"/>
              </w:rPr>
              <w:t>合同签订日期</w:t>
            </w:r>
          </w:p>
        </w:tc>
        <w:tc>
          <w:tcPr>
            <w:tcW w:w="6244" w:type="dxa"/>
            <w:tcBorders>
              <w:top w:val="single" w:color="auto" w:sz="4" w:space="0"/>
              <w:left w:val="nil"/>
              <w:bottom w:val="single" w:color="auto" w:sz="4" w:space="0"/>
              <w:right w:val="single" w:color="auto" w:sz="4" w:space="0"/>
            </w:tcBorders>
          </w:tcPr>
          <w:p w14:paraId="7B83DF1C">
            <w:pPr>
              <w:topLinePunct/>
              <w:spacing w:line="440" w:lineRule="exact"/>
              <w:rPr>
                <w:rFonts w:ascii="宋体" w:hAnsi="宋体" w:cs="宋体"/>
                <w:sz w:val="24"/>
              </w:rPr>
            </w:pPr>
          </w:p>
        </w:tc>
      </w:tr>
      <w:tr w14:paraId="16CC6E95">
        <w:tblPrEx>
          <w:tblCellMar>
            <w:top w:w="0" w:type="dxa"/>
            <w:left w:w="108" w:type="dxa"/>
            <w:bottom w:w="0" w:type="dxa"/>
            <w:right w:w="108" w:type="dxa"/>
          </w:tblCellMar>
        </w:tblPrEx>
        <w:trPr>
          <w:trHeight w:val="629"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33F2CE91">
            <w:pPr>
              <w:topLinePunct/>
              <w:spacing w:line="440" w:lineRule="exact"/>
              <w:jc w:val="center"/>
              <w:rPr>
                <w:rFonts w:ascii="宋体" w:hAnsi="宋体" w:cs="宋体"/>
                <w:sz w:val="24"/>
              </w:rPr>
            </w:pPr>
            <w:r>
              <w:rPr>
                <w:rFonts w:hint="eastAsia" w:ascii="宋体" w:hAnsi="宋体" w:cs="宋体"/>
                <w:sz w:val="24"/>
              </w:rPr>
              <w:t>服务周期</w:t>
            </w:r>
          </w:p>
        </w:tc>
        <w:tc>
          <w:tcPr>
            <w:tcW w:w="6244" w:type="dxa"/>
            <w:tcBorders>
              <w:top w:val="single" w:color="auto" w:sz="4" w:space="0"/>
              <w:left w:val="nil"/>
              <w:bottom w:val="single" w:color="auto" w:sz="4" w:space="0"/>
              <w:right w:val="single" w:color="auto" w:sz="4" w:space="0"/>
            </w:tcBorders>
            <w:vAlign w:val="center"/>
          </w:tcPr>
          <w:p w14:paraId="4E3FC9CE">
            <w:pPr>
              <w:topLinePunct/>
              <w:spacing w:line="440" w:lineRule="exact"/>
              <w:jc w:val="center"/>
              <w:rPr>
                <w:rFonts w:ascii="宋体" w:hAnsi="宋体" w:cs="宋体"/>
                <w:sz w:val="24"/>
              </w:rPr>
            </w:pPr>
          </w:p>
        </w:tc>
      </w:tr>
      <w:tr w14:paraId="1FC2EF2E">
        <w:tblPrEx>
          <w:tblCellMar>
            <w:top w:w="0" w:type="dxa"/>
            <w:left w:w="108" w:type="dxa"/>
            <w:bottom w:w="0" w:type="dxa"/>
            <w:right w:w="108" w:type="dxa"/>
          </w:tblCellMar>
        </w:tblPrEx>
        <w:trPr>
          <w:trHeight w:val="2480"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1E08E1AC">
            <w:pPr>
              <w:topLinePunct/>
              <w:spacing w:line="440" w:lineRule="exact"/>
              <w:jc w:val="center"/>
              <w:rPr>
                <w:rFonts w:ascii="宋体" w:hAnsi="宋体" w:cs="宋体"/>
                <w:sz w:val="24"/>
              </w:rPr>
            </w:pPr>
            <w:r>
              <w:rPr>
                <w:rFonts w:hint="eastAsia" w:ascii="宋体" w:hAnsi="宋体" w:cs="宋体"/>
                <w:sz w:val="24"/>
              </w:rPr>
              <w:t>服务内容</w:t>
            </w:r>
          </w:p>
        </w:tc>
        <w:tc>
          <w:tcPr>
            <w:tcW w:w="6244" w:type="dxa"/>
            <w:tcBorders>
              <w:top w:val="single" w:color="auto" w:sz="4" w:space="0"/>
              <w:left w:val="nil"/>
              <w:bottom w:val="single" w:color="auto" w:sz="4" w:space="0"/>
              <w:right w:val="single" w:color="auto" w:sz="4" w:space="0"/>
            </w:tcBorders>
          </w:tcPr>
          <w:p w14:paraId="689601B9">
            <w:pPr>
              <w:topLinePunct/>
              <w:spacing w:line="440" w:lineRule="exact"/>
              <w:rPr>
                <w:rFonts w:ascii="宋体" w:hAnsi="宋体" w:cs="宋体"/>
                <w:sz w:val="24"/>
              </w:rPr>
            </w:pPr>
          </w:p>
        </w:tc>
      </w:tr>
      <w:tr w14:paraId="60C1ADE9">
        <w:tblPrEx>
          <w:tblCellMar>
            <w:top w:w="0" w:type="dxa"/>
            <w:left w:w="108" w:type="dxa"/>
            <w:bottom w:w="0" w:type="dxa"/>
            <w:right w:w="108" w:type="dxa"/>
          </w:tblCellMar>
        </w:tblPrEx>
        <w:trPr>
          <w:trHeight w:val="617"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2382060C">
            <w:pPr>
              <w:topLinePunct/>
              <w:spacing w:line="440" w:lineRule="exact"/>
              <w:jc w:val="center"/>
              <w:rPr>
                <w:rFonts w:ascii="宋体" w:hAnsi="宋体" w:cs="宋体"/>
                <w:sz w:val="24"/>
              </w:rPr>
            </w:pPr>
            <w:r>
              <w:rPr>
                <w:rFonts w:hint="eastAsia" w:ascii="宋体" w:hAnsi="宋体" w:cs="宋体"/>
                <w:sz w:val="24"/>
              </w:rPr>
              <w:t>质量要求</w:t>
            </w:r>
          </w:p>
        </w:tc>
        <w:tc>
          <w:tcPr>
            <w:tcW w:w="6244" w:type="dxa"/>
            <w:tcBorders>
              <w:top w:val="single" w:color="auto" w:sz="4" w:space="0"/>
              <w:left w:val="nil"/>
              <w:bottom w:val="single" w:color="auto" w:sz="4" w:space="0"/>
              <w:right w:val="single" w:color="auto" w:sz="4" w:space="0"/>
            </w:tcBorders>
          </w:tcPr>
          <w:p w14:paraId="066C83AA">
            <w:pPr>
              <w:topLinePunct/>
              <w:spacing w:line="440" w:lineRule="exact"/>
              <w:rPr>
                <w:rFonts w:ascii="宋体" w:hAnsi="宋体" w:cs="宋体"/>
                <w:sz w:val="24"/>
              </w:rPr>
            </w:pPr>
          </w:p>
        </w:tc>
      </w:tr>
      <w:tr w14:paraId="4B9147FB">
        <w:tblPrEx>
          <w:tblCellMar>
            <w:top w:w="0" w:type="dxa"/>
            <w:left w:w="108" w:type="dxa"/>
            <w:bottom w:w="0" w:type="dxa"/>
            <w:right w:w="108" w:type="dxa"/>
          </w:tblCellMar>
        </w:tblPrEx>
        <w:trPr>
          <w:trHeight w:val="626"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00255C30">
            <w:pPr>
              <w:topLinePunct/>
              <w:spacing w:line="440" w:lineRule="exact"/>
              <w:jc w:val="center"/>
              <w:rPr>
                <w:rFonts w:ascii="宋体" w:hAnsi="宋体" w:cs="宋体"/>
                <w:sz w:val="24"/>
              </w:rPr>
            </w:pPr>
            <w:r>
              <w:rPr>
                <w:rFonts w:hint="eastAsia" w:ascii="宋体" w:hAnsi="宋体" w:cs="宋体"/>
                <w:sz w:val="24"/>
              </w:rPr>
              <w:t>备注</w:t>
            </w:r>
          </w:p>
        </w:tc>
        <w:tc>
          <w:tcPr>
            <w:tcW w:w="6244" w:type="dxa"/>
            <w:tcBorders>
              <w:top w:val="single" w:color="auto" w:sz="4" w:space="0"/>
              <w:left w:val="nil"/>
              <w:bottom w:val="single" w:color="auto" w:sz="4" w:space="0"/>
              <w:right w:val="single" w:color="auto" w:sz="4" w:space="0"/>
            </w:tcBorders>
          </w:tcPr>
          <w:p w14:paraId="68AB1FA8">
            <w:pPr>
              <w:topLinePunct/>
              <w:spacing w:line="440" w:lineRule="exact"/>
              <w:rPr>
                <w:rFonts w:ascii="宋体" w:hAnsi="宋体" w:cs="宋体"/>
                <w:sz w:val="24"/>
              </w:rPr>
            </w:pPr>
          </w:p>
        </w:tc>
      </w:tr>
    </w:tbl>
    <w:p w14:paraId="46E2F3A3">
      <w:pPr>
        <w:spacing w:line="360" w:lineRule="auto"/>
        <w:rPr>
          <w:rFonts w:ascii="宋体" w:hAnsi="宋体"/>
          <w:b/>
          <w:bCs/>
          <w:sz w:val="24"/>
        </w:rPr>
      </w:pPr>
      <w:r>
        <w:rPr>
          <w:rFonts w:hint="eastAsia" w:ascii="宋体" w:hAnsi="宋体"/>
          <w:b/>
          <w:bCs/>
          <w:sz w:val="24"/>
        </w:rPr>
        <w:t>注：1、后附合同协议书或中标通知书的原件扫描件</w:t>
      </w:r>
    </w:p>
    <w:p w14:paraId="3C6B67B4">
      <w:pPr>
        <w:spacing w:line="360" w:lineRule="auto"/>
        <w:ind w:firstLine="482" w:firstLineChars="200"/>
        <w:rPr>
          <w:rFonts w:ascii="宋体" w:hAnsi="宋体"/>
          <w:b/>
          <w:bCs/>
          <w:sz w:val="24"/>
        </w:rPr>
      </w:pPr>
      <w:r>
        <w:rPr>
          <w:rFonts w:hint="eastAsia" w:ascii="宋体" w:hAnsi="宋体"/>
          <w:b/>
          <w:bCs/>
          <w:sz w:val="24"/>
        </w:rPr>
        <w:t>2、每张表格只填写一个项目。</w:t>
      </w:r>
    </w:p>
    <w:p w14:paraId="7CBEAF3F">
      <w:pPr>
        <w:pStyle w:val="14"/>
        <w:spacing w:line="360" w:lineRule="auto"/>
        <w:rPr>
          <w:rFonts w:ascii="宋体" w:hAnsi="宋体" w:cs="宋体"/>
          <w:color w:val="000000"/>
          <w:kern w:val="0"/>
          <w:sz w:val="24"/>
        </w:rPr>
      </w:pPr>
    </w:p>
    <w:p w14:paraId="3089690D">
      <w:pPr>
        <w:spacing w:line="360" w:lineRule="auto"/>
        <w:ind w:firstLine="2551" w:firstLineChars="1063"/>
        <w:rPr>
          <w:rFonts w:ascii="宋体" w:hAnsi="宋体"/>
          <w:sz w:val="24"/>
          <w:szCs w:val="21"/>
        </w:rPr>
      </w:pPr>
      <w:r>
        <w:rPr>
          <w:rFonts w:ascii="宋体" w:hAnsi="宋体"/>
          <w:sz w:val="24"/>
          <w:szCs w:val="21"/>
        </w:rPr>
        <w:t>供应商：</w:t>
      </w:r>
      <w:r>
        <w:rPr>
          <w:rFonts w:ascii="宋体" w:hAnsi="宋体"/>
          <w:sz w:val="24"/>
          <w:szCs w:val="21"/>
          <w:u w:val="single"/>
        </w:rPr>
        <w:t xml:space="preserve">                     </w:t>
      </w:r>
      <w:r>
        <w:rPr>
          <w:rFonts w:ascii="宋体" w:hAnsi="宋体"/>
          <w:sz w:val="24"/>
          <w:szCs w:val="21"/>
        </w:rPr>
        <w:t>（盖单位公章）</w:t>
      </w:r>
    </w:p>
    <w:p w14:paraId="1ECC22EF">
      <w:pPr>
        <w:spacing w:line="360" w:lineRule="auto"/>
        <w:ind w:firstLine="2551" w:firstLineChars="1063"/>
        <w:rPr>
          <w:rFonts w:ascii="宋体" w:hAnsi="宋体"/>
          <w:sz w:val="24"/>
          <w:szCs w:val="21"/>
        </w:rPr>
      </w:pPr>
      <w:r>
        <w:rPr>
          <w:rFonts w:ascii="宋体" w:hAnsi="宋体"/>
          <w:sz w:val="24"/>
          <w:szCs w:val="21"/>
        </w:rPr>
        <w:t>法定代表人或授权委托人：</w:t>
      </w:r>
      <w:r>
        <w:rPr>
          <w:rFonts w:ascii="宋体" w:hAnsi="宋体"/>
          <w:sz w:val="24"/>
          <w:szCs w:val="21"/>
          <w:u w:val="single"/>
        </w:rPr>
        <w:t xml:space="preserve">        </w:t>
      </w:r>
      <w:r>
        <w:rPr>
          <w:rFonts w:ascii="宋体" w:hAnsi="宋体"/>
          <w:sz w:val="24"/>
          <w:szCs w:val="21"/>
        </w:rPr>
        <w:t>（</w:t>
      </w:r>
      <w:r>
        <w:rPr>
          <w:rFonts w:hint="eastAsia" w:ascii="宋体" w:hAnsi="宋体"/>
          <w:sz w:val="24"/>
          <w:szCs w:val="21"/>
        </w:rPr>
        <w:t>签字或盖章</w:t>
      </w:r>
      <w:r>
        <w:rPr>
          <w:rFonts w:ascii="宋体" w:hAnsi="宋体"/>
          <w:sz w:val="24"/>
          <w:szCs w:val="21"/>
        </w:rPr>
        <w:t>）</w:t>
      </w:r>
    </w:p>
    <w:p w14:paraId="6217BECA">
      <w:pPr>
        <w:spacing w:line="360" w:lineRule="auto"/>
        <w:ind w:right="-147" w:rightChars="-70" w:firstLine="2551" w:firstLineChars="1063"/>
        <w:rPr>
          <w:rFonts w:ascii="宋体" w:hAnsi="宋体"/>
          <w:sz w:val="24"/>
          <w:szCs w:val="21"/>
        </w:rPr>
      </w:pPr>
      <w:r>
        <w:rPr>
          <w:rFonts w:ascii="宋体" w:hAnsi="宋体"/>
          <w:sz w:val="24"/>
          <w:szCs w:val="21"/>
          <w:u w:val="single"/>
        </w:rPr>
        <w:t xml:space="preserve">        </w:t>
      </w:r>
      <w:r>
        <w:rPr>
          <w:rFonts w:ascii="宋体" w:hAnsi="宋体"/>
          <w:sz w:val="24"/>
          <w:szCs w:val="21"/>
        </w:rPr>
        <w:t>年</w:t>
      </w:r>
      <w:r>
        <w:rPr>
          <w:rFonts w:ascii="宋体" w:hAnsi="宋体"/>
          <w:sz w:val="24"/>
          <w:szCs w:val="21"/>
          <w:u w:val="single"/>
        </w:rPr>
        <w:t xml:space="preserve">        </w:t>
      </w:r>
      <w:r>
        <w:rPr>
          <w:rFonts w:ascii="宋体" w:hAnsi="宋体"/>
          <w:sz w:val="24"/>
          <w:szCs w:val="21"/>
        </w:rPr>
        <w:t>月</w:t>
      </w:r>
      <w:r>
        <w:rPr>
          <w:rFonts w:ascii="宋体" w:hAnsi="宋体"/>
          <w:sz w:val="24"/>
          <w:szCs w:val="21"/>
          <w:u w:val="single"/>
        </w:rPr>
        <w:t xml:space="preserve">        </w:t>
      </w:r>
      <w:r>
        <w:rPr>
          <w:rFonts w:ascii="宋体" w:hAnsi="宋体"/>
          <w:sz w:val="24"/>
          <w:szCs w:val="21"/>
        </w:rPr>
        <w:t>日</w:t>
      </w:r>
    </w:p>
    <w:p w14:paraId="40E39DCA">
      <w:pPr>
        <w:pStyle w:val="14"/>
        <w:spacing w:line="360" w:lineRule="auto"/>
        <w:rPr>
          <w:rFonts w:ascii="宋体" w:hAnsi="宋体" w:cs="宋体"/>
          <w:color w:val="000000"/>
          <w:kern w:val="0"/>
          <w:sz w:val="24"/>
        </w:rPr>
      </w:pPr>
    </w:p>
    <w:p w14:paraId="2DC2E872">
      <w:pPr>
        <w:numPr>
          <w:ilvl w:val="0"/>
          <w:numId w:val="21"/>
        </w:numPr>
        <w:autoSpaceDE w:val="0"/>
        <w:autoSpaceDN w:val="0"/>
        <w:adjustRightInd w:val="0"/>
        <w:spacing w:line="276" w:lineRule="auto"/>
        <w:ind w:left="237" w:right="-20"/>
        <w:jc w:val="center"/>
        <w:rPr>
          <w:rFonts w:ascii="宋体" w:hAnsi="宋体" w:cs="微软雅黑"/>
          <w:b/>
          <w:bCs/>
          <w:kern w:val="0"/>
          <w:position w:val="-4"/>
          <w:sz w:val="24"/>
        </w:rPr>
      </w:pPr>
      <w:r>
        <w:rPr>
          <w:rFonts w:hint="eastAsia" w:ascii="宋体" w:hAnsi="宋体" w:cs="微软雅黑"/>
          <w:b/>
          <w:bCs/>
          <w:spacing w:val="-3"/>
          <w:kern w:val="0"/>
          <w:position w:val="-4"/>
          <w:sz w:val="24"/>
        </w:rPr>
        <w:t>在建</w:t>
      </w:r>
      <w:r>
        <w:rPr>
          <w:rFonts w:hint="eastAsia" w:ascii="宋体" w:hAnsi="宋体" w:cs="微软雅黑"/>
          <w:b/>
          <w:bCs/>
          <w:kern w:val="0"/>
          <w:position w:val="-4"/>
          <w:sz w:val="24"/>
        </w:rPr>
        <w:t>项目</w:t>
      </w:r>
      <w:r>
        <w:rPr>
          <w:rFonts w:hint="eastAsia" w:ascii="宋体" w:hAnsi="宋体" w:cs="微软雅黑"/>
          <w:b/>
          <w:bCs/>
          <w:spacing w:val="-3"/>
          <w:kern w:val="0"/>
          <w:position w:val="-4"/>
          <w:sz w:val="24"/>
        </w:rPr>
        <w:t>情况</w:t>
      </w:r>
      <w:r>
        <w:rPr>
          <w:rFonts w:hint="eastAsia" w:ascii="宋体" w:hAnsi="宋体" w:cs="微软雅黑"/>
          <w:b/>
          <w:bCs/>
          <w:kern w:val="0"/>
          <w:position w:val="-4"/>
          <w:sz w:val="24"/>
        </w:rPr>
        <w:t>表</w:t>
      </w:r>
    </w:p>
    <w:tbl>
      <w:tblPr>
        <w:tblStyle w:val="21"/>
        <w:tblW w:w="8457" w:type="dxa"/>
        <w:jc w:val="center"/>
        <w:tblLayout w:type="fixed"/>
        <w:tblCellMar>
          <w:top w:w="0" w:type="dxa"/>
          <w:left w:w="108" w:type="dxa"/>
          <w:bottom w:w="0" w:type="dxa"/>
          <w:right w:w="108" w:type="dxa"/>
        </w:tblCellMar>
      </w:tblPr>
      <w:tblGrid>
        <w:gridCol w:w="2213"/>
        <w:gridCol w:w="6244"/>
      </w:tblGrid>
      <w:tr w14:paraId="36455303">
        <w:tblPrEx>
          <w:tblCellMar>
            <w:top w:w="0" w:type="dxa"/>
            <w:left w:w="108" w:type="dxa"/>
            <w:bottom w:w="0" w:type="dxa"/>
            <w:right w:w="108" w:type="dxa"/>
          </w:tblCellMar>
        </w:tblPrEx>
        <w:trPr>
          <w:trHeight w:val="670"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2ED53A0A">
            <w:pPr>
              <w:topLinePunct/>
              <w:spacing w:line="440" w:lineRule="exact"/>
              <w:jc w:val="center"/>
              <w:rPr>
                <w:rFonts w:ascii="宋体" w:hAnsi="宋体" w:cs="宋体"/>
                <w:sz w:val="24"/>
              </w:rPr>
            </w:pPr>
            <w:r>
              <w:rPr>
                <w:rFonts w:hint="eastAsia" w:ascii="宋体" w:hAnsi="宋体" w:cs="宋体"/>
                <w:sz w:val="24"/>
              </w:rPr>
              <w:t>项目名称</w:t>
            </w:r>
          </w:p>
        </w:tc>
        <w:tc>
          <w:tcPr>
            <w:tcW w:w="6244" w:type="dxa"/>
            <w:tcBorders>
              <w:top w:val="single" w:color="auto" w:sz="4" w:space="0"/>
              <w:left w:val="nil"/>
              <w:bottom w:val="single" w:color="auto" w:sz="4" w:space="0"/>
              <w:right w:val="single" w:color="auto" w:sz="4" w:space="0"/>
            </w:tcBorders>
          </w:tcPr>
          <w:p w14:paraId="4D3C5DBF">
            <w:pPr>
              <w:topLinePunct/>
              <w:spacing w:line="440" w:lineRule="exact"/>
              <w:rPr>
                <w:rFonts w:ascii="宋体" w:hAnsi="宋体" w:cs="宋体"/>
                <w:sz w:val="24"/>
                <w:highlight w:val="black"/>
              </w:rPr>
            </w:pPr>
          </w:p>
        </w:tc>
      </w:tr>
      <w:tr w14:paraId="110D364A">
        <w:tblPrEx>
          <w:tblCellMar>
            <w:top w:w="0" w:type="dxa"/>
            <w:left w:w="108" w:type="dxa"/>
            <w:bottom w:w="0" w:type="dxa"/>
            <w:right w:w="108" w:type="dxa"/>
          </w:tblCellMar>
        </w:tblPrEx>
        <w:trPr>
          <w:trHeight w:val="609"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2D5954E6">
            <w:pPr>
              <w:topLinePunct/>
              <w:spacing w:line="440" w:lineRule="exact"/>
              <w:jc w:val="center"/>
              <w:rPr>
                <w:rFonts w:ascii="宋体" w:hAnsi="宋体" w:cs="宋体"/>
                <w:sz w:val="24"/>
              </w:rPr>
            </w:pPr>
            <w:r>
              <w:rPr>
                <w:rFonts w:hint="eastAsia" w:ascii="宋体" w:hAnsi="宋体" w:cs="宋体"/>
                <w:sz w:val="24"/>
              </w:rPr>
              <w:t>项目所在地</w:t>
            </w:r>
          </w:p>
        </w:tc>
        <w:tc>
          <w:tcPr>
            <w:tcW w:w="6244" w:type="dxa"/>
            <w:tcBorders>
              <w:top w:val="single" w:color="auto" w:sz="4" w:space="0"/>
              <w:left w:val="nil"/>
              <w:bottom w:val="single" w:color="auto" w:sz="4" w:space="0"/>
              <w:right w:val="single" w:color="auto" w:sz="4" w:space="0"/>
            </w:tcBorders>
          </w:tcPr>
          <w:p w14:paraId="3F0C4567">
            <w:pPr>
              <w:topLinePunct/>
              <w:spacing w:line="440" w:lineRule="exact"/>
              <w:rPr>
                <w:rFonts w:ascii="宋体" w:hAnsi="宋体" w:cs="宋体"/>
                <w:sz w:val="24"/>
              </w:rPr>
            </w:pPr>
          </w:p>
        </w:tc>
      </w:tr>
      <w:tr w14:paraId="34B22D3D">
        <w:tblPrEx>
          <w:tblCellMar>
            <w:top w:w="0" w:type="dxa"/>
            <w:left w:w="108" w:type="dxa"/>
            <w:bottom w:w="0" w:type="dxa"/>
            <w:right w:w="108" w:type="dxa"/>
          </w:tblCellMar>
        </w:tblPrEx>
        <w:trPr>
          <w:trHeight w:val="616"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2F2131A4">
            <w:pPr>
              <w:topLinePunct/>
              <w:spacing w:line="440" w:lineRule="exact"/>
              <w:jc w:val="center"/>
              <w:rPr>
                <w:rFonts w:ascii="宋体" w:hAnsi="宋体" w:cs="宋体"/>
                <w:sz w:val="24"/>
              </w:rPr>
            </w:pPr>
            <w:r>
              <w:rPr>
                <w:rFonts w:hint="eastAsia" w:ascii="宋体" w:hAnsi="宋体" w:cs="宋体"/>
                <w:sz w:val="24"/>
              </w:rPr>
              <w:t>采购人名称</w:t>
            </w:r>
          </w:p>
        </w:tc>
        <w:tc>
          <w:tcPr>
            <w:tcW w:w="6244" w:type="dxa"/>
            <w:tcBorders>
              <w:top w:val="single" w:color="auto" w:sz="4" w:space="0"/>
              <w:left w:val="nil"/>
              <w:bottom w:val="single" w:color="auto" w:sz="4" w:space="0"/>
              <w:right w:val="single" w:color="auto" w:sz="4" w:space="0"/>
            </w:tcBorders>
          </w:tcPr>
          <w:p w14:paraId="0D1B511E">
            <w:pPr>
              <w:topLinePunct/>
              <w:spacing w:line="440" w:lineRule="exact"/>
              <w:rPr>
                <w:rFonts w:ascii="宋体" w:hAnsi="宋体" w:cs="宋体"/>
                <w:sz w:val="24"/>
              </w:rPr>
            </w:pPr>
          </w:p>
        </w:tc>
      </w:tr>
      <w:tr w14:paraId="3402655B">
        <w:tblPrEx>
          <w:tblCellMar>
            <w:top w:w="0" w:type="dxa"/>
            <w:left w:w="108" w:type="dxa"/>
            <w:bottom w:w="0" w:type="dxa"/>
            <w:right w:w="108" w:type="dxa"/>
          </w:tblCellMar>
        </w:tblPrEx>
        <w:trPr>
          <w:trHeight w:val="610"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1323BFB6">
            <w:pPr>
              <w:topLinePunct/>
              <w:spacing w:line="440" w:lineRule="exact"/>
              <w:jc w:val="center"/>
              <w:rPr>
                <w:rFonts w:ascii="宋体" w:hAnsi="宋体" w:cs="宋体"/>
                <w:sz w:val="24"/>
              </w:rPr>
            </w:pPr>
            <w:r>
              <w:rPr>
                <w:rFonts w:hint="eastAsia" w:ascii="宋体" w:hAnsi="宋体" w:cs="宋体"/>
                <w:sz w:val="24"/>
              </w:rPr>
              <w:t>采购人地址</w:t>
            </w:r>
          </w:p>
        </w:tc>
        <w:tc>
          <w:tcPr>
            <w:tcW w:w="6244" w:type="dxa"/>
            <w:tcBorders>
              <w:top w:val="single" w:color="auto" w:sz="4" w:space="0"/>
              <w:left w:val="nil"/>
              <w:bottom w:val="single" w:color="auto" w:sz="4" w:space="0"/>
              <w:right w:val="single" w:color="auto" w:sz="4" w:space="0"/>
            </w:tcBorders>
          </w:tcPr>
          <w:p w14:paraId="235D3B77">
            <w:pPr>
              <w:topLinePunct/>
              <w:spacing w:line="440" w:lineRule="exact"/>
              <w:rPr>
                <w:rFonts w:ascii="宋体" w:hAnsi="宋体" w:cs="宋体"/>
                <w:sz w:val="24"/>
              </w:rPr>
            </w:pPr>
          </w:p>
        </w:tc>
      </w:tr>
      <w:tr w14:paraId="7A3587F4">
        <w:tblPrEx>
          <w:tblCellMar>
            <w:top w:w="0" w:type="dxa"/>
            <w:left w:w="108" w:type="dxa"/>
            <w:bottom w:w="0" w:type="dxa"/>
            <w:right w:w="108" w:type="dxa"/>
          </w:tblCellMar>
        </w:tblPrEx>
        <w:trPr>
          <w:trHeight w:val="618"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4D5CC75A">
            <w:pPr>
              <w:topLinePunct/>
              <w:spacing w:line="440" w:lineRule="exact"/>
              <w:jc w:val="center"/>
              <w:rPr>
                <w:rFonts w:ascii="宋体" w:hAnsi="宋体" w:cs="宋体"/>
                <w:sz w:val="24"/>
              </w:rPr>
            </w:pPr>
            <w:r>
              <w:rPr>
                <w:rFonts w:hint="eastAsia" w:ascii="宋体" w:hAnsi="宋体" w:cs="宋体"/>
                <w:sz w:val="24"/>
              </w:rPr>
              <w:t>采购人电话</w:t>
            </w:r>
          </w:p>
        </w:tc>
        <w:tc>
          <w:tcPr>
            <w:tcW w:w="6244" w:type="dxa"/>
            <w:tcBorders>
              <w:top w:val="single" w:color="auto" w:sz="4" w:space="0"/>
              <w:left w:val="nil"/>
              <w:bottom w:val="single" w:color="auto" w:sz="4" w:space="0"/>
              <w:right w:val="single" w:color="auto" w:sz="4" w:space="0"/>
            </w:tcBorders>
          </w:tcPr>
          <w:p w14:paraId="723F3D96">
            <w:pPr>
              <w:topLinePunct/>
              <w:spacing w:line="440" w:lineRule="exact"/>
              <w:rPr>
                <w:rFonts w:ascii="宋体" w:hAnsi="宋体" w:cs="宋体"/>
                <w:sz w:val="24"/>
              </w:rPr>
            </w:pPr>
          </w:p>
        </w:tc>
      </w:tr>
      <w:tr w14:paraId="4CE130E3">
        <w:tblPrEx>
          <w:tblCellMar>
            <w:top w:w="0" w:type="dxa"/>
            <w:left w:w="108" w:type="dxa"/>
            <w:bottom w:w="0" w:type="dxa"/>
            <w:right w:w="108" w:type="dxa"/>
          </w:tblCellMar>
        </w:tblPrEx>
        <w:trPr>
          <w:trHeight w:val="612"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2F6E1355">
            <w:pPr>
              <w:topLinePunct/>
              <w:spacing w:line="440" w:lineRule="exact"/>
              <w:jc w:val="center"/>
              <w:rPr>
                <w:rFonts w:ascii="宋体" w:hAnsi="宋体" w:cs="宋体"/>
                <w:sz w:val="24"/>
              </w:rPr>
            </w:pPr>
            <w:r>
              <w:rPr>
                <w:rFonts w:hint="eastAsia" w:ascii="宋体" w:hAnsi="宋体" w:cs="宋体"/>
                <w:sz w:val="24"/>
              </w:rPr>
              <w:t>合同价格</w:t>
            </w:r>
          </w:p>
        </w:tc>
        <w:tc>
          <w:tcPr>
            <w:tcW w:w="6244" w:type="dxa"/>
            <w:tcBorders>
              <w:top w:val="single" w:color="auto" w:sz="4" w:space="0"/>
              <w:left w:val="nil"/>
              <w:bottom w:val="single" w:color="auto" w:sz="4" w:space="0"/>
              <w:right w:val="single" w:color="auto" w:sz="4" w:space="0"/>
            </w:tcBorders>
          </w:tcPr>
          <w:p w14:paraId="492791F5">
            <w:pPr>
              <w:topLinePunct/>
              <w:spacing w:line="440" w:lineRule="exact"/>
              <w:rPr>
                <w:rFonts w:ascii="宋体" w:hAnsi="宋体" w:cs="宋体"/>
                <w:sz w:val="24"/>
              </w:rPr>
            </w:pPr>
          </w:p>
        </w:tc>
      </w:tr>
      <w:tr w14:paraId="1A40EDDF">
        <w:tblPrEx>
          <w:tblCellMar>
            <w:top w:w="0" w:type="dxa"/>
            <w:left w:w="108" w:type="dxa"/>
            <w:bottom w:w="0" w:type="dxa"/>
            <w:right w:w="108" w:type="dxa"/>
          </w:tblCellMar>
        </w:tblPrEx>
        <w:trPr>
          <w:trHeight w:val="612"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3F7E54C4">
            <w:pPr>
              <w:topLinePunct/>
              <w:spacing w:line="440" w:lineRule="exact"/>
              <w:jc w:val="center"/>
              <w:rPr>
                <w:rFonts w:ascii="宋体" w:hAnsi="宋体" w:cs="宋体"/>
                <w:sz w:val="24"/>
              </w:rPr>
            </w:pPr>
            <w:r>
              <w:rPr>
                <w:rFonts w:hint="eastAsia" w:ascii="宋体" w:hAnsi="宋体" w:cs="宋体"/>
                <w:sz w:val="24"/>
              </w:rPr>
              <w:t>合同签订日期</w:t>
            </w:r>
          </w:p>
        </w:tc>
        <w:tc>
          <w:tcPr>
            <w:tcW w:w="6244" w:type="dxa"/>
            <w:tcBorders>
              <w:top w:val="single" w:color="auto" w:sz="4" w:space="0"/>
              <w:left w:val="nil"/>
              <w:bottom w:val="single" w:color="auto" w:sz="4" w:space="0"/>
              <w:right w:val="single" w:color="auto" w:sz="4" w:space="0"/>
            </w:tcBorders>
          </w:tcPr>
          <w:p w14:paraId="442EA5AF">
            <w:pPr>
              <w:topLinePunct/>
              <w:spacing w:line="440" w:lineRule="exact"/>
              <w:rPr>
                <w:rFonts w:ascii="宋体" w:hAnsi="宋体" w:cs="宋体"/>
                <w:sz w:val="24"/>
              </w:rPr>
            </w:pPr>
          </w:p>
        </w:tc>
      </w:tr>
      <w:tr w14:paraId="2AA562E3">
        <w:tblPrEx>
          <w:tblCellMar>
            <w:top w:w="0" w:type="dxa"/>
            <w:left w:w="108" w:type="dxa"/>
            <w:bottom w:w="0" w:type="dxa"/>
            <w:right w:w="108" w:type="dxa"/>
          </w:tblCellMar>
        </w:tblPrEx>
        <w:trPr>
          <w:trHeight w:val="629"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46F5BEFF">
            <w:pPr>
              <w:topLinePunct/>
              <w:spacing w:line="440" w:lineRule="exact"/>
              <w:jc w:val="center"/>
              <w:rPr>
                <w:rFonts w:ascii="宋体" w:hAnsi="宋体" w:cs="宋体"/>
                <w:sz w:val="24"/>
              </w:rPr>
            </w:pPr>
            <w:r>
              <w:rPr>
                <w:rFonts w:hint="eastAsia" w:ascii="宋体" w:hAnsi="宋体" w:cs="宋体"/>
                <w:sz w:val="24"/>
              </w:rPr>
              <w:t>服务周期</w:t>
            </w:r>
          </w:p>
        </w:tc>
        <w:tc>
          <w:tcPr>
            <w:tcW w:w="6244" w:type="dxa"/>
            <w:tcBorders>
              <w:top w:val="single" w:color="auto" w:sz="4" w:space="0"/>
              <w:left w:val="nil"/>
              <w:bottom w:val="single" w:color="auto" w:sz="4" w:space="0"/>
              <w:right w:val="single" w:color="auto" w:sz="4" w:space="0"/>
            </w:tcBorders>
            <w:vAlign w:val="center"/>
          </w:tcPr>
          <w:p w14:paraId="025A955B">
            <w:pPr>
              <w:topLinePunct/>
              <w:spacing w:line="440" w:lineRule="exact"/>
              <w:jc w:val="center"/>
              <w:rPr>
                <w:rFonts w:ascii="宋体" w:hAnsi="宋体" w:cs="宋体"/>
                <w:sz w:val="24"/>
              </w:rPr>
            </w:pPr>
          </w:p>
        </w:tc>
      </w:tr>
      <w:tr w14:paraId="020B495E">
        <w:tblPrEx>
          <w:tblCellMar>
            <w:top w:w="0" w:type="dxa"/>
            <w:left w:w="108" w:type="dxa"/>
            <w:bottom w:w="0" w:type="dxa"/>
            <w:right w:w="108" w:type="dxa"/>
          </w:tblCellMar>
        </w:tblPrEx>
        <w:trPr>
          <w:trHeight w:val="2480"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42B6AE25">
            <w:pPr>
              <w:topLinePunct/>
              <w:spacing w:line="440" w:lineRule="exact"/>
              <w:jc w:val="center"/>
              <w:rPr>
                <w:rFonts w:ascii="宋体" w:hAnsi="宋体" w:cs="宋体"/>
                <w:sz w:val="24"/>
              </w:rPr>
            </w:pPr>
            <w:r>
              <w:rPr>
                <w:rFonts w:hint="eastAsia" w:ascii="宋体" w:hAnsi="宋体" w:cs="宋体"/>
                <w:sz w:val="24"/>
              </w:rPr>
              <w:t>服务内容</w:t>
            </w:r>
          </w:p>
        </w:tc>
        <w:tc>
          <w:tcPr>
            <w:tcW w:w="6244" w:type="dxa"/>
            <w:tcBorders>
              <w:top w:val="single" w:color="auto" w:sz="4" w:space="0"/>
              <w:left w:val="nil"/>
              <w:bottom w:val="single" w:color="auto" w:sz="4" w:space="0"/>
              <w:right w:val="single" w:color="auto" w:sz="4" w:space="0"/>
            </w:tcBorders>
          </w:tcPr>
          <w:p w14:paraId="57673448">
            <w:pPr>
              <w:topLinePunct/>
              <w:spacing w:line="440" w:lineRule="exact"/>
              <w:rPr>
                <w:rFonts w:ascii="宋体" w:hAnsi="宋体" w:cs="宋体"/>
                <w:sz w:val="24"/>
              </w:rPr>
            </w:pPr>
          </w:p>
        </w:tc>
      </w:tr>
      <w:tr w14:paraId="38A781C7">
        <w:tblPrEx>
          <w:tblCellMar>
            <w:top w:w="0" w:type="dxa"/>
            <w:left w:w="108" w:type="dxa"/>
            <w:bottom w:w="0" w:type="dxa"/>
            <w:right w:w="108" w:type="dxa"/>
          </w:tblCellMar>
        </w:tblPrEx>
        <w:trPr>
          <w:trHeight w:val="617"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05EF434B">
            <w:pPr>
              <w:topLinePunct/>
              <w:spacing w:line="440" w:lineRule="exact"/>
              <w:jc w:val="center"/>
              <w:rPr>
                <w:rFonts w:ascii="宋体" w:hAnsi="宋体" w:cs="宋体"/>
                <w:sz w:val="24"/>
              </w:rPr>
            </w:pPr>
            <w:r>
              <w:rPr>
                <w:rFonts w:hint="eastAsia" w:ascii="宋体" w:hAnsi="宋体" w:cs="宋体"/>
                <w:sz w:val="24"/>
              </w:rPr>
              <w:t>质量要求</w:t>
            </w:r>
          </w:p>
        </w:tc>
        <w:tc>
          <w:tcPr>
            <w:tcW w:w="6244" w:type="dxa"/>
            <w:tcBorders>
              <w:top w:val="single" w:color="auto" w:sz="4" w:space="0"/>
              <w:left w:val="nil"/>
              <w:bottom w:val="single" w:color="auto" w:sz="4" w:space="0"/>
              <w:right w:val="single" w:color="auto" w:sz="4" w:space="0"/>
            </w:tcBorders>
          </w:tcPr>
          <w:p w14:paraId="464A70A1">
            <w:pPr>
              <w:topLinePunct/>
              <w:spacing w:line="440" w:lineRule="exact"/>
              <w:rPr>
                <w:rFonts w:ascii="宋体" w:hAnsi="宋体" w:cs="宋体"/>
                <w:sz w:val="24"/>
              </w:rPr>
            </w:pPr>
          </w:p>
        </w:tc>
      </w:tr>
      <w:tr w14:paraId="746BF248">
        <w:tblPrEx>
          <w:tblCellMar>
            <w:top w:w="0" w:type="dxa"/>
            <w:left w:w="108" w:type="dxa"/>
            <w:bottom w:w="0" w:type="dxa"/>
            <w:right w:w="108" w:type="dxa"/>
          </w:tblCellMar>
        </w:tblPrEx>
        <w:trPr>
          <w:trHeight w:val="626"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2372E03D">
            <w:pPr>
              <w:topLinePunct/>
              <w:spacing w:line="440" w:lineRule="exact"/>
              <w:jc w:val="center"/>
              <w:rPr>
                <w:rFonts w:ascii="宋体" w:hAnsi="宋体" w:cs="宋体"/>
                <w:sz w:val="24"/>
              </w:rPr>
            </w:pPr>
            <w:r>
              <w:rPr>
                <w:rFonts w:hint="eastAsia" w:ascii="宋体" w:hAnsi="宋体" w:cs="宋体"/>
                <w:sz w:val="24"/>
              </w:rPr>
              <w:t>备注</w:t>
            </w:r>
          </w:p>
        </w:tc>
        <w:tc>
          <w:tcPr>
            <w:tcW w:w="6244" w:type="dxa"/>
            <w:tcBorders>
              <w:top w:val="single" w:color="auto" w:sz="4" w:space="0"/>
              <w:left w:val="nil"/>
              <w:bottom w:val="single" w:color="auto" w:sz="4" w:space="0"/>
              <w:right w:val="single" w:color="auto" w:sz="4" w:space="0"/>
            </w:tcBorders>
          </w:tcPr>
          <w:p w14:paraId="75489CC7">
            <w:pPr>
              <w:topLinePunct/>
              <w:spacing w:line="440" w:lineRule="exact"/>
              <w:rPr>
                <w:rFonts w:ascii="宋体" w:hAnsi="宋体" w:cs="宋体"/>
                <w:sz w:val="24"/>
              </w:rPr>
            </w:pPr>
          </w:p>
        </w:tc>
      </w:tr>
    </w:tbl>
    <w:p w14:paraId="509C13DE">
      <w:pPr>
        <w:spacing w:line="360" w:lineRule="auto"/>
        <w:rPr>
          <w:rFonts w:ascii="宋体" w:hAnsi="宋体"/>
          <w:b/>
          <w:bCs/>
          <w:sz w:val="24"/>
        </w:rPr>
      </w:pPr>
      <w:r>
        <w:rPr>
          <w:rFonts w:hint="eastAsia" w:ascii="宋体" w:hAnsi="宋体"/>
          <w:b/>
          <w:bCs/>
          <w:sz w:val="24"/>
        </w:rPr>
        <w:t>注：1、后附合同协议书或中标通知书的原件扫描件</w:t>
      </w:r>
    </w:p>
    <w:p w14:paraId="6704D454">
      <w:pPr>
        <w:spacing w:line="360" w:lineRule="auto"/>
        <w:ind w:firstLine="482" w:firstLineChars="200"/>
        <w:rPr>
          <w:rFonts w:ascii="宋体" w:hAnsi="宋体"/>
          <w:b/>
          <w:bCs/>
          <w:sz w:val="24"/>
        </w:rPr>
      </w:pPr>
      <w:r>
        <w:rPr>
          <w:rFonts w:hint="eastAsia" w:ascii="宋体" w:hAnsi="宋体"/>
          <w:b/>
          <w:bCs/>
          <w:sz w:val="24"/>
        </w:rPr>
        <w:t>2、每张表格只填写一个项目。</w:t>
      </w:r>
    </w:p>
    <w:p w14:paraId="0BE4D5CB">
      <w:pPr>
        <w:spacing w:line="360" w:lineRule="auto"/>
        <w:ind w:firstLine="2551" w:firstLineChars="1063"/>
        <w:rPr>
          <w:rFonts w:ascii="宋体" w:hAnsi="宋体"/>
          <w:sz w:val="24"/>
          <w:szCs w:val="21"/>
        </w:rPr>
      </w:pPr>
    </w:p>
    <w:p w14:paraId="4ED192A7">
      <w:pPr>
        <w:spacing w:line="360" w:lineRule="auto"/>
        <w:ind w:firstLine="2551" w:firstLineChars="1063"/>
        <w:rPr>
          <w:rFonts w:ascii="宋体" w:hAnsi="宋体"/>
          <w:sz w:val="24"/>
          <w:szCs w:val="21"/>
        </w:rPr>
      </w:pPr>
    </w:p>
    <w:p w14:paraId="77E60230">
      <w:pPr>
        <w:spacing w:line="360" w:lineRule="auto"/>
        <w:ind w:firstLine="2551" w:firstLineChars="1063"/>
        <w:rPr>
          <w:rFonts w:ascii="宋体" w:hAnsi="宋体"/>
          <w:sz w:val="24"/>
          <w:szCs w:val="21"/>
        </w:rPr>
      </w:pPr>
      <w:r>
        <w:rPr>
          <w:rFonts w:ascii="宋体" w:hAnsi="宋体"/>
          <w:sz w:val="24"/>
          <w:szCs w:val="21"/>
        </w:rPr>
        <w:t>供应商：</w:t>
      </w:r>
      <w:r>
        <w:rPr>
          <w:rFonts w:ascii="宋体" w:hAnsi="宋体"/>
          <w:sz w:val="24"/>
          <w:szCs w:val="21"/>
          <w:u w:val="single"/>
        </w:rPr>
        <w:t xml:space="preserve">                     </w:t>
      </w:r>
      <w:r>
        <w:rPr>
          <w:rFonts w:ascii="宋体" w:hAnsi="宋体"/>
          <w:sz w:val="24"/>
          <w:szCs w:val="21"/>
        </w:rPr>
        <w:t>（盖单位公章）</w:t>
      </w:r>
    </w:p>
    <w:p w14:paraId="3202F2E6">
      <w:pPr>
        <w:spacing w:line="360" w:lineRule="auto"/>
        <w:ind w:firstLine="2551" w:firstLineChars="1063"/>
        <w:rPr>
          <w:rFonts w:ascii="宋体" w:hAnsi="宋体"/>
          <w:sz w:val="24"/>
          <w:szCs w:val="21"/>
        </w:rPr>
      </w:pPr>
      <w:r>
        <w:rPr>
          <w:rFonts w:ascii="宋体" w:hAnsi="宋体"/>
          <w:sz w:val="24"/>
          <w:szCs w:val="21"/>
        </w:rPr>
        <w:t>法定代表人或授权委托人：</w:t>
      </w:r>
      <w:r>
        <w:rPr>
          <w:rFonts w:ascii="宋体" w:hAnsi="宋体"/>
          <w:sz w:val="24"/>
          <w:szCs w:val="21"/>
          <w:u w:val="single"/>
        </w:rPr>
        <w:t xml:space="preserve">        </w:t>
      </w:r>
      <w:r>
        <w:rPr>
          <w:rFonts w:ascii="宋体" w:hAnsi="宋体"/>
          <w:sz w:val="24"/>
          <w:szCs w:val="21"/>
        </w:rPr>
        <w:t>（</w:t>
      </w:r>
      <w:r>
        <w:rPr>
          <w:rFonts w:hint="eastAsia" w:ascii="宋体" w:hAnsi="宋体"/>
          <w:sz w:val="24"/>
          <w:szCs w:val="21"/>
        </w:rPr>
        <w:t>签字或盖章</w:t>
      </w:r>
      <w:r>
        <w:rPr>
          <w:rFonts w:ascii="宋体" w:hAnsi="宋体"/>
          <w:sz w:val="24"/>
          <w:szCs w:val="21"/>
        </w:rPr>
        <w:t>）</w:t>
      </w:r>
    </w:p>
    <w:p w14:paraId="06CD3216">
      <w:pPr>
        <w:spacing w:line="360" w:lineRule="auto"/>
        <w:ind w:right="-147" w:rightChars="-70" w:firstLine="2551" w:firstLineChars="1063"/>
        <w:rPr>
          <w:rFonts w:ascii="宋体" w:hAnsi="宋体"/>
          <w:sz w:val="24"/>
          <w:szCs w:val="21"/>
        </w:rPr>
      </w:pPr>
      <w:r>
        <w:rPr>
          <w:rFonts w:ascii="宋体" w:hAnsi="宋体"/>
          <w:sz w:val="24"/>
          <w:szCs w:val="21"/>
          <w:u w:val="single"/>
        </w:rPr>
        <w:t xml:space="preserve">        </w:t>
      </w:r>
      <w:r>
        <w:rPr>
          <w:rFonts w:ascii="宋体" w:hAnsi="宋体"/>
          <w:sz w:val="24"/>
          <w:szCs w:val="21"/>
        </w:rPr>
        <w:t>年</w:t>
      </w:r>
      <w:r>
        <w:rPr>
          <w:rFonts w:ascii="宋体" w:hAnsi="宋体"/>
          <w:sz w:val="24"/>
          <w:szCs w:val="21"/>
          <w:u w:val="single"/>
        </w:rPr>
        <w:t xml:space="preserve">        </w:t>
      </w:r>
      <w:r>
        <w:rPr>
          <w:rFonts w:ascii="宋体" w:hAnsi="宋体"/>
          <w:sz w:val="24"/>
          <w:szCs w:val="21"/>
        </w:rPr>
        <w:t>月</w:t>
      </w:r>
      <w:r>
        <w:rPr>
          <w:rFonts w:ascii="宋体" w:hAnsi="宋体"/>
          <w:sz w:val="24"/>
          <w:szCs w:val="21"/>
          <w:u w:val="single"/>
        </w:rPr>
        <w:t xml:space="preserve">        </w:t>
      </w:r>
      <w:r>
        <w:rPr>
          <w:rFonts w:ascii="宋体" w:hAnsi="宋体"/>
          <w:sz w:val="24"/>
          <w:szCs w:val="21"/>
        </w:rPr>
        <w:t>日</w:t>
      </w:r>
    </w:p>
    <w:p w14:paraId="31B60C55">
      <w:pPr>
        <w:pStyle w:val="14"/>
        <w:spacing w:line="360" w:lineRule="auto"/>
        <w:rPr>
          <w:rFonts w:ascii="宋体" w:hAnsi="宋体" w:cs="宋体"/>
          <w:color w:val="000000"/>
          <w:kern w:val="0"/>
          <w:sz w:val="24"/>
        </w:rPr>
      </w:pPr>
    </w:p>
    <w:p w14:paraId="0AB61C20">
      <w:pPr>
        <w:pStyle w:val="14"/>
        <w:spacing w:line="360" w:lineRule="auto"/>
        <w:rPr>
          <w:rFonts w:ascii="宋体" w:hAnsi="宋体" w:cs="宋体"/>
          <w:color w:val="000000"/>
          <w:kern w:val="0"/>
          <w:sz w:val="24"/>
        </w:rPr>
      </w:pPr>
    </w:p>
    <w:p w14:paraId="51021ED3">
      <w:pPr>
        <w:pStyle w:val="2"/>
        <w:jc w:val="center"/>
        <w:rPr>
          <w:rFonts w:cs="宋体" w:asciiTheme="minorEastAsia" w:hAnsiTheme="minorEastAsia" w:eastAsiaTheme="minorEastAsia"/>
          <w:color w:val="000000"/>
          <w:kern w:val="0"/>
          <w:szCs w:val="32"/>
        </w:rPr>
      </w:pPr>
      <w:r>
        <w:rPr>
          <w:rFonts w:hint="eastAsia" w:ascii="宋体" w:hAnsi="宋体" w:cs="宋体"/>
          <w:color w:val="000000"/>
          <w:kern w:val="0"/>
          <w:sz w:val="28"/>
          <w:szCs w:val="28"/>
        </w:rPr>
        <w:t>七、</w:t>
      </w:r>
      <w:r>
        <w:rPr>
          <w:rFonts w:hint="eastAsia" w:cs="宋体" w:asciiTheme="minorEastAsia" w:hAnsiTheme="minorEastAsia" w:eastAsiaTheme="minorEastAsia"/>
          <w:color w:val="000000"/>
          <w:kern w:val="0"/>
          <w:szCs w:val="32"/>
        </w:rPr>
        <w:t>拟投入本项目的人员情况</w:t>
      </w:r>
    </w:p>
    <w:p w14:paraId="15110522">
      <w:pPr>
        <w:adjustRightInd w:val="0"/>
        <w:snapToGrid w:val="0"/>
        <w:spacing w:line="360" w:lineRule="auto"/>
        <w:jc w:val="center"/>
        <w:rPr>
          <w:rFonts w:ascii="宋体" w:hAnsi="宋体" w:cs="宋体"/>
          <w:b/>
          <w:color w:val="000000"/>
          <w:kern w:val="0"/>
          <w:sz w:val="28"/>
          <w:szCs w:val="28"/>
          <w:lang w:val="zh-CN"/>
        </w:rPr>
      </w:pPr>
      <w:r>
        <w:rPr>
          <w:rFonts w:hint="eastAsia" w:ascii="宋体" w:hAnsi="宋体" w:cs="宋体"/>
          <w:b/>
          <w:color w:val="000000"/>
          <w:kern w:val="0"/>
          <w:sz w:val="28"/>
          <w:szCs w:val="28"/>
          <w:lang w:val="zh-CN"/>
        </w:rPr>
        <w:t>（一）拟投入本项目的主要人员汇总表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134"/>
        <w:gridCol w:w="1134"/>
        <w:gridCol w:w="1135"/>
        <w:gridCol w:w="1135"/>
        <w:gridCol w:w="1135"/>
        <w:gridCol w:w="1135"/>
      </w:tblGrid>
      <w:tr w14:paraId="3BC9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3E5794B3">
            <w:pPr>
              <w:adjustRightInd w:val="0"/>
              <w:snapToGrid w:val="0"/>
              <w:spacing w:line="360" w:lineRule="auto"/>
              <w:jc w:val="center"/>
              <w:rPr>
                <w:rFonts w:ascii="宋体"/>
                <w:sz w:val="24"/>
              </w:rPr>
            </w:pPr>
            <w:r>
              <w:rPr>
                <w:rFonts w:hint="eastAsia" w:ascii="宋体" w:hAnsi="宋体"/>
                <w:sz w:val="24"/>
              </w:rPr>
              <w:t>本项目中职务</w:t>
            </w:r>
          </w:p>
        </w:tc>
        <w:tc>
          <w:tcPr>
            <w:tcW w:w="1134" w:type="dxa"/>
            <w:tcBorders>
              <w:top w:val="single" w:color="auto" w:sz="4" w:space="0"/>
              <w:left w:val="single" w:color="auto" w:sz="4" w:space="0"/>
              <w:bottom w:val="single" w:color="auto" w:sz="4" w:space="0"/>
              <w:right w:val="single" w:color="auto" w:sz="4" w:space="0"/>
            </w:tcBorders>
            <w:vAlign w:val="center"/>
          </w:tcPr>
          <w:p w14:paraId="2AC5FC6D">
            <w:pPr>
              <w:adjustRightInd w:val="0"/>
              <w:snapToGrid w:val="0"/>
              <w:spacing w:line="360" w:lineRule="auto"/>
              <w:jc w:val="center"/>
              <w:rPr>
                <w:rFonts w:ascii="宋体"/>
                <w:sz w:val="24"/>
              </w:rPr>
            </w:pPr>
            <w:r>
              <w:rPr>
                <w:rFonts w:hint="eastAsia" w:ascii="宋体" w:hAnsi="宋体"/>
                <w:sz w:val="24"/>
              </w:rPr>
              <w:t>姓名</w:t>
            </w:r>
          </w:p>
        </w:tc>
        <w:tc>
          <w:tcPr>
            <w:tcW w:w="1134" w:type="dxa"/>
            <w:tcBorders>
              <w:top w:val="single" w:color="auto" w:sz="4" w:space="0"/>
              <w:left w:val="single" w:color="auto" w:sz="4" w:space="0"/>
              <w:bottom w:val="single" w:color="auto" w:sz="4" w:space="0"/>
              <w:right w:val="single" w:color="auto" w:sz="4" w:space="0"/>
            </w:tcBorders>
            <w:vAlign w:val="center"/>
          </w:tcPr>
          <w:p w14:paraId="01E50457">
            <w:pPr>
              <w:adjustRightInd w:val="0"/>
              <w:snapToGrid w:val="0"/>
              <w:spacing w:line="360" w:lineRule="auto"/>
              <w:jc w:val="center"/>
              <w:rPr>
                <w:rFonts w:ascii="宋体"/>
                <w:sz w:val="24"/>
              </w:rPr>
            </w:pPr>
            <w:r>
              <w:rPr>
                <w:rFonts w:hint="eastAsia" w:ascii="宋体"/>
                <w:sz w:val="24"/>
              </w:rPr>
              <w:t>性别</w:t>
            </w:r>
          </w:p>
        </w:tc>
        <w:tc>
          <w:tcPr>
            <w:tcW w:w="1135" w:type="dxa"/>
            <w:tcBorders>
              <w:top w:val="single" w:color="auto" w:sz="4" w:space="0"/>
              <w:left w:val="single" w:color="auto" w:sz="4" w:space="0"/>
              <w:bottom w:val="single" w:color="auto" w:sz="4" w:space="0"/>
              <w:right w:val="single" w:color="auto" w:sz="4" w:space="0"/>
            </w:tcBorders>
            <w:vAlign w:val="center"/>
          </w:tcPr>
          <w:p w14:paraId="7BA2C651">
            <w:pPr>
              <w:adjustRightInd w:val="0"/>
              <w:snapToGrid w:val="0"/>
              <w:spacing w:line="360" w:lineRule="auto"/>
              <w:jc w:val="center"/>
              <w:rPr>
                <w:rFonts w:ascii="宋体"/>
                <w:sz w:val="24"/>
              </w:rPr>
            </w:pPr>
            <w:r>
              <w:rPr>
                <w:rFonts w:hint="eastAsia" w:ascii="宋体"/>
                <w:sz w:val="24"/>
              </w:rPr>
              <w:t>年龄</w:t>
            </w:r>
          </w:p>
        </w:tc>
        <w:tc>
          <w:tcPr>
            <w:tcW w:w="1135" w:type="dxa"/>
            <w:tcBorders>
              <w:top w:val="single" w:color="auto" w:sz="4" w:space="0"/>
              <w:left w:val="single" w:color="auto" w:sz="4" w:space="0"/>
              <w:bottom w:val="single" w:color="auto" w:sz="4" w:space="0"/>
              <w:right w:val="single" w:color="auto" w:sz="4" w:space="0"/>
            </w:tcBorders>
            <w:vAlign w:val="center"/>
          </w:tcPr>
          <w:p w14:paraId="27A48B2D">
            <w:pPr>
              <w:adjustRightInd w:val="0"/>
              <w:snapToGrid w:val="0"/>
              <w:spacing w:line="360" w:lineRule="auto"/>
              <w:jc w:val="center"/>
              <w:rPr>
                <w:rFonts w:ascii="宋体"/>
                <w:sz w:val="24"/>
              </w:rPr>
            </w:pPr>
            <w:r>
              <w:rPr>
                <w:rFonts w:hint="eastAsia" w:ascii="宋体" w:hAnsi="宋体"/>
                <w:sz w:val="24"/>
              </w:rPr>
              <w:t>身份证号码</w:t>
            </w:r>
          </w:p>
        </w:tc>
        <w:tc>
          <w:tcPr>
            <w:tcW w:w="1135" w:type="dxa"/>
            <w:tcBorders>
              <w:top w:val="single" w:color="auto" w:sz="4" w:space="0"/>
              <w:left w:val="single" w:color="auto" w:sz="4" w:space="0"/>
              <w:bottom w:val="single" w:color="auto" w:sz="4" w:space="0"/>
              <w:right w:val="single" w:color="auto" w:sz="4" w:space="0"/>
            </w:tcBorders>
            <w:vAlign w:val="center"/>
          </w:tcPr>
          <w:p w14:paraId="39244633">
            <w:pPr>
              <w:adjustRightInd w:val="0"/>
              <w:snapToGrid w:val="0"/>
              <w:spacing w:line="360" w:lineRule="auto"/>
              <w:jc w:val="center"/>
              <w:rPr>
                <w:rFonts w:ascii="宋体"/>
                <w:sz w:val="24"/>
              </w:rPr>
            </w:pPr>
            <w:r>
              <w:rPr>
                <w:rFonts w:hint="eastAsia" w:ascii="宋体" w:hAnsi="宋体"/>
                <w:sz w:val="24"/>
              </w:rPr>
              <w:t>健康证有效期</w:t>
            </w:r>
          </w:p>
        </w:tc>
        <w:tc>
          <w:tcPr>
            <w:tcW w:w="1135" w:type="dxa"/>
            <w:tcBorders>
              <w:top w:val="single" w:color="auto" w:sz="4" w:space="0"/>
              <w:left w:val="single" w:color="auto" w:sz="4" w:space="0"/>
              <w:bottom w:val="single" w:color="auto" w:sz="4" w:space="0"/>
              <w:right w:val="single" w:color="auto" w:sz="4" w:space="0"/>
            </w:tcBorders>
            <w:vAlign w:val="center"/>
          </w:tcPr>
          <w:p w14:paraId="3F3C90BE">
            <w:pPr>
              <w:adjustRightInd w:val="0"/>
              <w:snapToGrid w:val="0"/>
              <w:spacing w:line="360" w:lineRule="auto"/>
              <w:jc w:val="center"/>
              <w:rPr>
                <w:rFonts w:ascii="宋体"/>
                <w:sz w:val="24"/>
              </w:rPr>
            </w:pPr>
            <w:r>
              <w:rPr>
                <w:rFonts w:hint="eastAsia" w:ascii="宋体" w:hAnsi="宋体"/>
                <w:sz w:val="24"/>
              </w:rPr>
              <w:t>备注</w:t>
            </w:r>
          </w:p>
        </w:tc>
      </w:tr>
      <w:tr w14:paraId="1C48F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46612E43">
            <w:pPr>
              <w:adjustRightInd w:val="0"/>
              <w:snapToGrid w:val="0"/>
              <w:spacing w:line="360" w:lineRule="auto"/>
              <w:jc w:val="center"/>
              <w:rPr>
                <w:rFonts w:ascii="宋体"/>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52125499">
            <w:pPr>
              <w:adjustRightInd w:val="0"/>
              <w:snapToGrid w:val="0"/>
              <w:spacing w:line="360" w:lineRule="auto"/>
              <w:jc w:val="center"/>
              <w:rPr>
                <w:rFonts w:ascii="宋体"/>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03DDBA15">
            <w:pPr>
              <w:adjustRightInd w:val="0"/>
              <w:snapToGrid w:val="0"/>
              <w:spacing w:line="360" w:lineRule="auto"/>
              <w:jc w:val="center"/>
              <w:rPr>
                <w:rFonts w:ascii="宋体"/>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608311CA">
            <w:pPr>
              <w:adjustRightInd w:val="0"/>
              <w:snapToGrid w:val="0"/>
              <w:spacing w:line="360" w:lineRule="auto"/>
              <w:jc w:val="center"/>
              <w:rPr>
                <w:rFonts w:ascii="宋体"/>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278585B7">
            <w:pPr>
              <w:adjustRightInd w:val="0"/>
              <w:snapToGrid w:val="0"/>
              <w:spacing w:line="360" w:lineRule="auto"/>
              <w:jc w:val="center"/>
              <w:rPr>
                <w:rFonts w:ascii="宋体"/>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471BD21C">
            <w:pPr>
              <w:adjustRightInd w:val="0"/>
              <w:snapToGrid w:val="0"/>
              <w:spacing w:line="360" w:lineRule="auto"/>
              <w:jc w:val="center"/>
              <w:rPr>
                <w:rFonts w:ascii="宋体"/>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63B6FCC4">
            <w:pPr>
              <w:adjustRightInd w:val="0"/>
              <w:snapToGrid w:val="0"/>
              <w:spacing w:line="360" w:lineRule="auto"/>
              <w:jc w:val="center"/>
              <w:rPr>
                <w:rFonts w:ascii="宋体"/>
                <w:sz w:val="24"/>
              </w:rPr>
            </w:pPr>
          </w:p>
        </w:tc>
      </w:tr>
      <w:tr w14:paraId="7321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203DA6B8">
            <w:pPr>
              <w:adjustRightInd w:val="0"/>
              <w:snapToGrid w:val="0"/>
              <w:spacing w:line="360" w:lineRule="auto"/>
              <w:jc w:val="center"/>
              <w:rPr>
                <w:rFonts w:ascii="宋体"/>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07532C0E">
            <w:pPr>
              <w:adjustRightInd w:val="0"/>
              <w:snapToGrid w:val="0"/>
              <w:spacing w:line="360" w:lineRule="auto"/>
              <w:jc w:val="center"/>
              <w:rPr>
                <w:rFonts w:ascii="宋体"/>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68D4DD87">
            <w:pPr>
              <w:adjustRightInd w:val="0"/>
              <w:snapToGrid w:val="0"/>
              <w:spacing w:line="360" w:lineRule="auto"/>
              <w:jc w:val="center"/>
              <w:rPr>
                <w:rFonts w:ascii="宋体"/>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3D4FC66E">
            <w:pPr>
              <w:adjustRightInd w:val="0"/>
              <w:snapToGrid w:val="0"/>
              <w:spacing w:line="360" w:lineRule="auto"/>
              <w:jc w:val="center"/>
              <w:rPr>
                <w:rFonts w:ascii="宋体"/>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089DEC56">
            <w:pPr>
              <w:adjustRightInd w:val="0"/>
              <w:snapToGrid w:val="0"/>
              <w:spacing w:line="360" w:lineRule="auto"/>
              <w:jc w:val="center"/>
              <w:rPr>
                <w:rFonts w:ascii="宋体"/>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0B411973">
            <w:pPr>
              <w:adjustRightInd w:val="0"/>
              <w:snapToGrid w:val="0"/>
              <w:spacing w:line="360" w:lineRule="auto"/>
              <w:jc w:val="center"/>
              <w:rPr>
                <w:rFonts w:ascii="宋体"/>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7CCE2B21">
            <w:pPr>
              <w:adjustRightInd w:val="0"/>
              <w:snapToGrid w:val="0"/>
              <w:spacing w:line="360" w:lineRule="auto"/>
              <w:jc w:val="center"/>
              <w:rPr>
                <w:rFonts w:ascii="宋体"/>
                <w:sz w:val="24"/>
              </w:rPr>
            </w:pPr>
          </w:p>
        </w:tc>
      </w:tr>
      <w:tr w14:paraId="07EE1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10422075">
            <w:pPr>
              <w:adjustRightInd w:val="0"/>
              <w:snapToGrid w:val="0"/>
              <w:spacing w:line="360" w:lineRule="auto"/>
              <w:jc w:val="center"/>
              <w:rPr>
                <w:rFonts w:ascii="宋体"/>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3131AE50">
            <w:pPr>
              <w:adjustRightInd w:val="0"/>
              <w:snapToGrid w:val="0"/>
              <w:spacing w:line="360" w:lineRule="auto"/>
              <w:jc w:val="center"/>
              <w:rPr>
                <w:rFonts w:ascii="宋体"/>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51A92AA3">
            <w:pPr>
              <w:adjustRightInd w:val="0"/>
              <w:snapToGrid w:val="0"/>
              <w:spacing w:line="360" w:lineRule="auto"/>
              <w:jc w:val="center"/>
              <w:rPr>
                <w:rFonts w:ascii="宋体"/>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0B905C7A">
            <w:pPr>
              <w:adjustRightInd w:val="0"/>
              <w:snapToGrid w:val="0"/>
              <w:spacing w:line="360" w:lineRule="auto"/>
              <w:jc w:val="center"/>
              <w:rPr>
                <w:rFonts w:ascii="宋体"/>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5064D5B6">
            <w:pPr>
              <w:adjustRightInd w:val="0"/>
              <w:snapToGrid w:val="0"/>
              <w:spacing w:line="360" w:lineRule="auto"/>
              <w:jc w:val="center"/>
              <w:rPr>
                <w:rFonts w:ascii="宋体"/>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69D8FA85">
            <w:pPr>
              <w:adjustRightInd w:val="0"/>
              <w:snapToGrid w:val="0"/>
              <w:spacing w:line="360" w:lineRule="auto"/>
              <w:jc w:val="center"/>
              <w:rPr>
                <w:rFonts w:ascii="宋体"/>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658DDD64">
            <w:pPr>
              <w:adjustRightInd w:val="0"/>
              <w:snapToGrid w:val="0"/>
              <w:spacing w:line="360" w:lineRule="auto"/>
              <w:jc w:val="center"/>
              <w:rPr>
                <w:rFonts w:ascii="宋体"/>
                <w:sz w:val="24"/>
              </w:rPr>
            </w:pPr>
          </w:p>
        </w:tc>
      </w:tr>
      <w:tr w14:paraId="47128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08E03241">
            <w:pPr>
              <w:adjustRightInd w:val="0"/>
              <w:snapToGrid w:val="0"/>
              <w:spacing w:line="360" w:lineRule="auto"/>
              <w:jc w:val="center"/>
              <w:rPr>
                <w:rFonts w:ascii="宋体"/>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1B85E43C">
            <w:pPr>
              <w:adjustRightInd w:val="0"/>
              <w:snapToGrid w:val="0"/>
              <w:spacing w:line="360" w:lineRule="auto"/>
              <w:jc w:val="center"/>
              <w:rPr>
                <w:rFonts w:ascii="宋体"/>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25A19F91">
            <w:pPr>
              <w:adjustRightInd w:val="0"/>
              <w:snapToGrid w:val="0"/>
              <w:spacing w:line="360" w:lineRule="auto"/>
              <w:jc w:val="center"/>
              <w:rPr>
                <w:rFonts w:ascii="宋体"/>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0FF7A23C">
            <w:pPr>
              <w:adjustRightInd w:val="0"/>
              <w:snapToGrid w:val="0"/>
              <w:spacing w:line="360" w:lineRule="auto"/>
              <w:jc w:val="center"/>
              <w:rPr>
                <w:rFonts w:ascii="宋体"/>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084AF552">
            <w:pPr>
              <w:adjustRightInd w:val="0"/>
              <w:snapToGrid w:val="0"/>
              <w:spacing w:line="360" w:lineRule="auto"/>
              <w:jc w:val="center"/>
              <w:rPr>
                <w:rFonts w:ascii="宋体"/>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47BD440E">
            <w:pPr>
              <w:adjustRightInd w:val="0"/>
              <w:snapToGrid w:val="0"/>
              <w:spacing w:line="360" w:lineRule="auto"/>
              <w:jc w:val="center"/>
              <w:rPr>
                <w:rFonts w:ascii="宋体"/>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3E5ACAD9">
            <w:pPr>
              <w:adjustRightInd w:val="0"/>
              <w:snapToGrid w:val="0"/>
              <w:spacing w:line="360" w:lineRule="auto"/>
              <w:jc w:val="center"/>
              <w:rPr>
                <w:rFonts w:ascii="宋体"/>
                <w:sz w:val="24"/>
              </w:rPr>
            </w:pPr>
          </w:p>
        </w:tc>
      </w:tr>
      <w:tr w14:paraId="7FE8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6292223D">
            <w:pPr>
              <w:adjustRightInd w:val="0"/>
              <w:snapToGrid w:val="0"/>
              <w:spacing w:line="360" w:lineRule="auto"/>
              <w:jc w:val="center"/>
              <w:rPr>
                <w:rFonts w:ascii="宋体"/>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6DC4DD01">
            <w:pPr>
              <w:adjustRightInd w:val="0"/>
              <w:snapToGrid w:val="0"/>
              <w:spacing w:line="360" w:lineRule="auto"/>
              <w:jc w:val="center"/>
              <w:rPr>
                <w:rFonts w:ascii="宋体"/>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187D89D6">
            <w:pPr>
              <w:adjustRightInd w:val="0"/>
              <w:snapToGrid w:val="0"/>
              <w:spacing w:line="360" w:lineRule="auto"/>
              <w:jc w:val="center"/>
              <w:rPr>
                <w:rFonts w:ascii="宋体"/>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56054607">
            <w:pPr>
              <w:adjustRightInd w:val="0"/>
              <w:snapToGrid w:val="0"/>
              <w:spacing w:line="360" w:lineRule="auto"/>
              <w:jc w:val="center"/>
              <w:rPr>
                <w:rFonts w:ascii="宋体"/>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4829058B">
            <w:pPr>
              <w:adjustRightInd w:val="0"/>
              <w:snapToGrid w:val="0"/>
              <w:spacing w:line="360" w:lineRule="auto"/>
              <w:jc w:val="center"/>
              <w:rPr>
                <w:rFonts w:ascii="宋体"/>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7653FB80">
            <w:pPr>
              <w:adjustRightInd w:val="0"/>
              <w:snapToGrid w:val="0"/>
              <w:spacing w:line="360" w:lineRule="auto"/>
              <w:jc w:val="center"/>
              <w:rPr>
                <w:rFonts w:ascii="宋体"/>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56880324">
            <w:pPr>
              <w:adjustRightInd w:val="0"/>
              <w:snapToGrid w:val="0"/>
              <w:spacing w:line="360" w:lineRule="auto"/>
              <w:jc w:val="center"/>
              <w:rPr>
                <w:rFonts w:ascii="宋体"/>
                <w:sz w:val="24"/>
              </w:rPr>
            </w:pPr>
          </w:p>
        </w:tc>
      </w:tr>
      <w:tr w14:paraId="6127D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04E5FDFB">
            <w:pPr>
              <w:adjustRightInd w:val="0"/>
              <w:snapToGrid w:val="0"/>
              <w:spacing w:line="360" w:lineRule="auto"/>
              <w:jc w:val="center"/>
              <w:rPr>
                <w:rFonts w:ascii="宋体"/>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5BE4DEDC">
            <w:pPr>
              <w:adjustRightInd w:val="0"/>
              <w:snapToGrid w:val="0"/>
              <w:spacing w:line="360" w:lineRule="auto"/>
              <w:jc w:val="center"/>
              <w:rPr>
                <w:rFonts w:ascii="宋体"/>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13B5DAD6">
            <w:pPr>
              <w:adjustRightInd w:val="0"/>
              <w:snapToGrid w:val="0"/>
              <w:spacing w:line="360" w:lineRule="auto"/>
              <w:jc w:val="center"/>
              <w:rPr>
                <w:rFonts w:ascii="宋体"/>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42969A39">
            <w:pPr>
              <w:adjustRightInd w:val="0"/>
              <w:snapToGrid w:val="0"/>
              <w:spacing w:line="360" w:lineRule="auto"/>
              <w:jc w:val="center"/>
              <w:rPr>
                <w:rFonts w:ascii="宋体"/>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4328BF28">
            <w:pPr>
              <w:adjustRightInd w:val="0"/>
              <w:snapToGrid w:val="0"/>
              <w:spacing w:line="360" w:lineRule="auto"/>
              <w:jc w:val="center"/>
              <w:rPr>
                <w:rFonts w:ascii="宋体"/>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3D0D4D7F">
            <w:pPr>
              <w:adjustRightInd w:val="0"/>
              <w:snapToGrid w:val="0"/>
              <w:spacing w:line="360" w:lineRule="auto"/>
              <w:jc w:val="center"/>
              <w:rPr>
                <w:rFonts w:ascii="宋体"/>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7EC429FE">
            <w:pPr>
              <w:adjustRightInd w:val="0"/>
              <w:snapToGrid w:val="0"/>
              <w:spacing w:line="360" w:lineRule="auto"/>
              <w:jc w:val="center"/>
              <w:rPr>
                <w:rFonts w:ascii="宋体"/>
                <w:sz w:val="24"/>
              </w:rPr>
            </w:pPr>
          </w:p>
        </w:tc>
      </w:tr>
      <w:tr w14:paraId="6512F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6334B638">
            <w:pPr>
              <w:adjustRightInd w:val="0"/>
              <w:snapToGrid w:val="0"/>
              <w:spacing w:line="360" w:lineRule="auto"/>
              <w:jc w:val="center"/>
              <w:rPr>
                <w:rFonts w:ascii="宋体"/>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088485FE">
            <w:pPr>
              <w:adjustRightInd w:val="0"/>
              <w:snapToGrid w:val="0"/>
              <w:spacing w:line="360" w:lineRule="auto"/>
              <w:jc w:val="center"/>
              <w:rPr>
                <w:rFonts w:ascii="宋体"/>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75ED21C3">
            <w:pPr>
              <w:adjustRightInd w:val="0"/>
              <w:snapToGrid w:val="0"/>
              <w:spacing w:line="360" w:lineRule="auto"/>
              <w:jc w:val="center"/>
              <w:rPr>
                <w:rFonts w:ascii="宋体"/>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59AD7933">
            <w:pPr>
              <w:adjustRightInd w:val="0"/>
              <w:snapToGrid w:val="0"/>
              <w:spacing w:line="360" w:lineRule="auto"/>
              <w:jc w:val="center"/>
              <w:rPr>
                <w:rFonts w:ascii="宋体"/>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30DEDAE0">
            <w:pPr>
              <w:adjustRightInd w:val="0"/>
              <w:snapToGrid w:val="0"/>
              <w:spacing w:line="360" w:lineRule="auto"/>
              <w:jc w:val="center"/>
              <w:rPr>
                <w:rFonts w:ascii="宋体"/>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298A103F">
            <w:pPr>
              <w:adjustRightInd w:val="0"/>
              <w:snapToGrid w:val="0"/>
              <w:spacing w:line="360" w:lineRule="auto"/>
              <w:jc w:val="center"/>
              <w:rPr>
                <w:rFonts w:ascii="宋体"/>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3579E3EB">
            <w:pPr>
              <w:adjustRightInd w:val="0"/>
              <w:snapToGrid w:val="0"/>
              <w:spacing w:line="360" w:lineRule="auto"/>
              <w:jc w:val="center"/>
              <w:rPr>
                <w:rFonts w:ascii="宋体"/>
                <w:sz w:val="24"/>
              </w:rPr>
            </w:pPr>
          </w:p>
        </w:tc>
      </w:tr>
      <w:tr w14:paraId="3B191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7E339710">
            <w:pPr>
              <w:adjustRightInd w:val="0"/>
              <w:snapToGrid w:val="0"/>
              <w:spacing w:line="360" w:lineRule="auto"/>
              <w:jc w:val="center"/>
              <w:rPr>
                <w:rFonts w:ascii="宋体"/>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36ECFA27">
            <w:pPr>
              <w:adjustRightInd w:val="0"/>
              <w:snapToGrid w:val="0"/>
              <w:spacing w:line="360" w:lineRule="auto"/>
              <w:jc w:val="center"/>
              <w:rPr>
                <w:rFonts w:ascii="宋体"/>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25F2126C">
            <w:pPr>
              <w:adjustRightInd w:val="0"/>
              <w:snapToGrid w:val="0"/>
              <w:spacing w:line="360" w:lineRule="auto"/>
              <w:jc w:val="center"/>
              <w:rPr>
                <w:rFonts w:ascii="宋体"/>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6133EFC6">
            <w:pPr>
              <w:adjustRightInd w:val="0"/>
              <w:snapToGrid w:val="0"/>
              <w:spacing w:line="360" w:lineRule="auto"/>
              <w:jc w:val="center"/>
              <w:rPr>
                <w:rFonts w:ascii="宋体"/>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67FF2F6E">
            <w:pPr>
              <w:adjustRightInd w:val="0"/>
              <w:snapToGrid w:val="0"/>
              <w:spacing w:line="360" w:lineRule="auto"/>
              <w:jc w:val="center"/>
              <w:rPr>
                <w:rFonts w:ascii="宋体"/>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23B5F4FD">
            <w:pPr>
              <w:adjustRightInd w:val="0"/>
              <w:snapToGrid w:val="0"/>
              <w:spacing w:line="360" w:lineRule="auto"/>
              <w:jc w:val="center"/>
              <w:rPr>
                <w:rFonts w:ascii="宋体"/>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7F383915">
            <w:pPr>
              <w:adjustRightInd w:val="0"/>
              <w:snapToGrid w:val="0"/>
              <w:spacing w:line="360" w:lineRule="auto"/>
              <w:jc w:val="center"/>
              <w:rPr>
                <w:rFonts w:ascii="宋体"/>
                <w:sz w:val="24"/>
              </w:rPr>
            </w:pPr>
          </w:p>
        </w:tc>
      </w:tr>
    </w:tbl>
    <w:p w14:paraId="60ADF411">
      <w:pPr>
        <w:widowControl/>
        <w:adjustRightInd w:val="0"/>
        <w:snapToGrid w:val="0"/>
        <w:spacing w:line="360" w:lineRule="auto"/>
        <w:ind w:firstLine="482" w:firstLineChars="200"/>
        <w:jc w:val="left"/>
        <w:rPr>
          <w:rFonts w:ascii="宋体" w:hAnsi="宋体" w:cs="宋体"/>
          <w:b/>
          <w:bCs/>
          <w:color w:val="000000"/>
          <w:sz w:val="24"/>
        </w:rPr>
      </w:pPr>
      <w:r>
        <w:rPr>
          <w:rFonts w:hint="eastAsia" w:ascii="宋体" w:hAnsi="宋体" w:cs="宋体"/>
          <w:b/>
          <w:bCs/>
          <w:color w:val="000000"/>
          <w:sz w:val="24"/>
        </w:rPr>
        <w:t>注：1、后附身份证、健康证、劳动合同或</w:t>
      </w:r>
      <w:r>
        <w:rPr>
          <w:rFonts w:hint="eastAsia" w:ascii="宋体" w:hAnsi="宋体" w:cs="宋体"/>
          <w:b/>
          <w:bCs/>
          <w:color w:val="000000"/>
          <w:sz w:val="24"/>
          <w:lang w:val="en-US" w:eastAsia="zh-CN"/>
        </w:rPr>
        <w:t>养老保险</w:t>
      </w:r>
      <w:r>
        <w:rPr>
          <w:rFonts w:hint="eastAsia" w:ascii="宋体" w:hAnsi="宋体" w:cs="宋体"/>
          <w:b/>
          <w:bCs/>
          <w:color w:val="000000"/>
          <w:sz w:val="24"/>
        </w:rPr>
        <w:t>等相关证件资料。</w:t>
      </w:r>
    </w:p>
    <w:p w14:paraId="7E4C6979">
      <w:pPr>
        <w:widowControl/>
        <w:adjustRightInd w:val="0"/>
        <w:snapToGrid w:val="0"/>
        <w:spacing w:line="360" w:lineRule="auto"/>
        <w:ind w:firstLine="964" w:firstLineChars="400"/>
        <w:jc w:val="left"/>
        <w:rPr>
          <w:rFonts w:ascii="宋体" w:hAnsi="宋体" w:cs="宋体"/>
          <w:b/>
          <w:bCs/>
          <w:color w:val="000000"/>
          <w:sz w:val="24"/>
        </w:rPr>
      </w:pPr>
      <w:r>
        <w:rPr>
          <w:rFonts w:hint="eastAsia" w:ascii="宋体" w:hAnsi="宋体"/>
          <w:b/>
          <w:bCs/>
          <w:kern w:val="0"/>
          <w:sz w:val="24"/>
        </w:rPr>
        <w:t>2、</w:t>
      </w:r>
      <w:r>
        <w:rPr>
          <w:rFonts w:ascii="宋体" w:hAnsi="宋体"/>
          <w:b/>
          <w:bCs/>
          <w:kern w:val="0"/>
          <w:sz w:val="24"/>
        </w:rPr>
        <w:t>本页不够请续表</w:t>
      </w:r>
      <w:r>
        <w:rPr>
          <w:rFonts w:hint="eastAsia" w:ascii="宋体" w:hAnsi="宋体"/>
          <w:b/>
          <w:bCs/>
          <w:kern w:val="0"/>
          <w:sz w:val="24"/>
        </w:rPr>
        <w:t>。</w:t>
      </w:r>
    </w:p>
    <w:p w14:paraId="34671C54">
      <w:pPr>
        <w:adjustRightInd w:val="0"/>
        <w:snapToGrid w:val="0"/>
        <w:spacing w:line="360" w:lineRule="auto"/>
        <w:jc w:val="center"/>
        <w:rPr>
          <w:rFonts w:ascii="宋体" w:hAnsi="宋体" w:cs="宋体"/>
          <w:b/>
          <w:color w:val="000000"/>
          <w:kern w:val="0"/>
          <w:sz w:val="28"/>
          <w:szCs w:val="28"/>
        </w:rPr>
      </w:pPr>
    </w:p>
    <w:p w14:paraId="0A56ECCF">
      <w:pPr>
        <w:spacing w:line="360" w:lineRule="auto"/>
        <w:ind w:firstLine="2551" w:firstLineChars="1063"/>
        <w:rPr>
          <w:rFonts w:ascii="宋体" w:hAnsi="宋体"/>
          <w:sz w:val="24"/>
          <w:szCs w:val="21"/>
        </w:rPr>
      </w:pPr>
      <w:r>
        <w:rPr>
          <w:rFonts w:ascii="宋体" w:hAnsi="宋体"/>
          <w:sz w:val="24"/>
          <w:szCs w:val="21"/>
        </w:rPr>
        <w:t>供应商：</w:t>
      </w:r>
      <w:r>
        <w:rPr>
          <w:rFonts w:ascii="宋体" w:hAnsi="宋体"/>
          <w:sz w:val="24"/>
          <w:szCs w:val="21"/>
          <w:u w:val="single"/>
        </w:rPr>
        <w:t xml:space="preserve">                     </w:t>
      </w:r>
      <w:r>
        <w:rPr>
          <w:rFonts w:ascii="宋体" w:hAnsi="宋体"/>
          <w:sz w:val="24"/>
          <w:szCs w:val="21"/>
        </w:rPr>
        <w:t>（盖单位公章）</w:t>
      </w:r>
    </w:p>
    <w:p w14:paraId="0DBC36B6">
      <w:pPr>
        <w:spacing w:line="360" w:lineRule="auto"/>
        <w:ind w:firstLine="2551" w:firstLineChars="1063"/>
        <w:rPr>
          <w:rFonts w:ascii="宋体" w:hAnsi="宋体"/>
          <w:sz w:val="24"/>
          <w:szCs w:val="21"/>
        </w:rPr>
      </w:pPr>
      <w:r>
        <w:rPr>
          <w:rFonts w:ascii="宋体" w:hAnsi="宋体"/>
          <w:sz w:val="24"/>
          <w:szCs w:val="21"/>
        </w:rPr>
        <w:t>法定代表人或授权委托人：</w:t>
      </w:r>
      <w:r>
        <w:rPr>
          <w:rFonts w:ascii="宋体" w:hAnsi="宋体"/>
          <w:sz w:val="24"/>
          <w:szCs w:val="21"/>
          <w:u w:val="single"/>
        </w:rPr>
        <w:t xml:space="preserve">        </w:t>
      </w:r>
      <w:r>
        <w:rPr>
          <w:rFonts w:ascii="宋体" w:hAnsi="宋体"/>
          <w:sz w:val="24"/>
          <w:szCs w:val="21"/>
        </w:rPr>
        <w:t>（</w:t>
      </w:r>
      <w:r>
        <w:rPr>
          <w:rFonts w:hint="eastAsia" w:ascii="宋体" w:hAnsi="宋体"/>
          <w:sz w:val="24"/>
          <w:szCs w:val="21"/>
        </w:rPr>
        <w:t>签字或盖章</w:t>
      </w:r>
      <w:r>
        <w:rPr>
          <w:rFonts w:ascii="宋体" w:hAnsi="宋体"/>
          <w:sz w:val="24"/>
          <w:szCs w:val="21"/>
        </w:rPr>
        <w:t>）</w:t>
      </w:r>
    </w:p>
    <w:p w14:paraId="050FAE44">
      <w:pPr>
        <w:spacing w:line="360" w:lineRule="auto"/>
        <w:ind w:right="-147" w:rightChars="-70" w:firstLine="2551" w:firstLineChars="1063"/>
        <w:rPr>
          <w:rFonts w:ascii="宋体" w:hAnsi="宋体"/>
          <w:sz w:val="24"/>
          <w:szCs w:val="21"/>
        </w:rPr>
      </w:pPr>
      <w:r>
        <w:rPr>
          <w:rFonts w:ascii="宋体" w:hAnsi="宋体"/>
          <w:sz w:val="24"/>
          <w:szCs w:val="21"/>
          <w:u w:val="single"/>
        </w:rPr>
        <w:t xml:space="preserve">        </w:t>
      </w:r>
      <w:r>
        <w:rPr>
          <w:rFonts w:ascii="宋体" w:hAnsi="宋体"/>
          <w:sz w:val="24"/>
          <w:szCs w:val="21"/>
        </w:rPr>
        <w:t>年</w:t>
      </w:r>
      <w:r>
        <w:rPr>
          <w:rFonts w:ascii="宋体" w:hAnsi="宋体"/>
          <w:sz w:val="24"/>
          <w:szCs w:val="21"/>
          <w:u w:val="single"/>
        </w:rPr>
        <w:t xml:space="preserve">        </w:t>
      </w:r>
      <w:r>
        <w:rPr>
          <w:rFonts w:ascii="宋体" w:hAnsi="宋体"/>
          <w:sz w:val="24"/>
          <w:szCs w:val="21"/>
        </w:rPr>
        <w:t>月</w:t>
      </w:r>
      <w:r>
        <w:rPr>
          <w:rFonts w:ascii="宋体" w:hAnsi="宋体"/>
          <w:sz w:val="24"/>
          <w:szCs w:val="21"/>
          <w:u w:val="single"/>
        </w:rPr>
        <w:t xml:space="preserve">        </w:t>
      </w:r>
      <w:r>
        <w:rPr>
          <w:rFonts w:ascii="宋体" w:hAnsi="宋体"/>
          <w:sz w:val="24"/>
          <w:szCs w:val="21"/>
        </w:rPr>
        <w:t>日</w:t>
      </w:r>
    </w:p>
    <w:p w14:paraId="4F56CA0B">
      <w:pPr>
        <w:adjustRightInd w:val="0"/>
        <w:snapToGrid w:val="0"/>
        <w:spacing w:line="360" w:lineRule="auto"/>
        <w:jc w:val="center"/>
        <w:rPr>
          <w:rFonts w:ascii="宋体" w:hAnsi="宋体" w:cs="宋体"/>
          <w:b/>
          <w:color w:val="000000"/>
          <w:kern w:val="0"/>
          <w:sz w:val="28"/>
          <w:szCs w:val="28"/>
        </w:rPr>
      </w:pPr>
    </w:p>
    <w:p w14:paraId="5B25C9AD">
      <w:pPr>
        <w:adjustRightInd w:val="0"/>
        <w:snapToGrid w:val="0"/>
        <w:spacing w:line="360" w:lineRule="auto"/>
        <w:jc w:val="center"/>
        <w:rPr>
          <w:rFonts w:ascii="宋体" w:hAnsi="宋体" w:cs="宋体"/>
          <w:b/>
          <w:color w:val="000000"/>
          <w:kern w:val="0"/>
          <w:sz w:val="28"/>
          <w:szCs w:val="28"/>
        </w:rPr>
      </w:pPr>
    </w:p>
    <w:p w14:paraId="745EB830">
      <w:pPr>
        <w:adjustRightInd w:val="0"/>
        <w:snapToGrid w:val="0"/>
        <w:spacing w:line="360" w:lineRule="auto"/>
        <w:jc w:val="center"/>
        <w:rPr>
          <w:rFonts w:ascii="宋体" w:hAnsi="宋体" w:cs="宋体"/>
          <w:b/>
          <w:color w:val="000000"/>
          <w:kern w:val="0"/>
          <w:sz w:val="28"/>
          <w:szCs w:val="28"/>
        </w:rPr>
      </w:pPr>
    </w:p>
    <w:p w14:paraId="4AA34A1D">
      <w:pPr>
        <w:adjustRightInd w:val="0"/>
        <w:snapToGrid w:val="0"/>
        <w:spacing w:line="360" w:lineRule="auto"/>
        <w:jc w:val="center"/>
        <w:rPr>
          <w:rFonts w:ascii="宋体" w:hAnsi="宋体" w:cs="宋体"/>
          <w:b/>
          <w:color w:val="000000"/>
          <w:kern w:val="0"/>
          <w:sz w:val="28"/>
          <w:szCs w:val="28"/>
        </w:rPr>
      </w:pPr>
    </w:p>
    <w:p w14:paraId="08D6E81A">
      <w:pPr>
        <w:adjustRightInd w:val="0"/>
        <w:snapToGrid w:val="0"/>
        <w:spacing w:line="360" w:lineRule="auto"/>
        <w:jc w:val="center"/>
        <w:rPr>
          <w:rFonts w:ascii="宋体" w:hAnsi="宋体" w:cs="宋体"/>
          <w:b/>
          <w:color w:val="000000"/>
          <w:kern w:val="0"/>
          <w:sz w:val="28"/>
          <w:szCs w:val="28"/>
        </w:rPr>
      </w:pPr>
      <w:r>
        <w:rPr>
          <w:rFonts w:hint="eastAsia" w:ascii="宋体" w:hAnsi="宋体" w:cs="宋体"/>
          <w:color w:val="000000"/>
          <w:kern w:val="0"/>
          <w:sz w:val="24"/>
        </w:rPr>
        <w:t>（二）</w:t>
      </w:r>
      <w:r>
        <w:rPr>
          <w:rFonts w:hint="eastAsia" w:ascii="宋体" w:hAnsi="宋体" w:cs="宋体"/>
          <w:b/>
          <w:color w:val="000000"/>
          <w:kern w:val="0"/>
          <w:sz w:val="28"/>
          <w:szCs w:val="28"/>
          <w:lang w:val="zh-CN"/>
        </w:rPr>
        <w:t>拟投入本项目的主要人员</w:t>
      </w:r>
      <w:r>
        <w:rPr>
          <w:rFonts w:hint="eastAsia" w:ascii="宋体" w:hAnsi="宋体" w:cs="宋体"/>
          <w:b/>
          <w:color w:val="000000"/>
          <w:kern w:val="0"/>
          <w:sz w:val="28"/>
          <w:szCs w:val="28"/>
        </w:rPr>
        <w:t>相关证件</w:t>
      </w:r>
    </w:p>
    <w:p w14:paraId="244DB8EE">
      <w:pPr>
        <w:pStyle w:val="14"/>
        <w:spacing w:line="360" w:lineRule="auto"/>
        <w:rPr>
          <w:rFonts w:ascii="宋体" w:hAnsi="宋体" w:cs="宋体"/>
          <w:color w:val="000000"/>
          <w:kern w:val="0"/>
          <w:sz w:val="24"/>
        </w:rPr>
      </w:pPr>
    </w:p>
    <w:p w14:paraId="5EE5657C">
      <w:pPr>
        <w:pStyle w:val="14"/>
        <w:spacing w:line="360" w:lineRule="auto"/>
        <w:rPr>
          <w:rFonts w:ascii="宋体" w:hAnsi="宋体" w:cs="宋体"/>
          <w:color w:val="000000"/>
          <w:kern w:val="0"/>
          <w:sz w:val="24"/>
        </w:rPr>
      </w:pPr>
    </w:p>
    <w:p w14:paraId="1AEC89AE">
      <w:pPr>
        <w:pStyle w:val="14"/>
        <w:spacing w:line="360" w:lineRule="auto"/>
        <w:rPr>
          <w:rFonts w:ascii="宋体" w:hAnsi="宋体" w:cs="宋体"/>
          <w:color w:val="000000"/>
          <w:kern w:val="0"/>
          <w:sz w:val="24"/>
        </w:rPr>
      </w:pPr>
    </w:p>
    <w:p w14:paraId="736D9EDE">
      <w:pPr>
        <w:pStyle w:val="14"/>
        <w:spacing w:line="360" w:lineRule="auto"/>
        <w:rPr>
          <w:rFonts w:ascii="宋体" w:hAnsi="宋体" w:cs="宋体"/>
          <w:color w:val="000000"/>
          <w:kern w:val="0"/>
          <w:sz w:val="24"/>
        </w:rPr>
      </w:pPr>
    </w:p>
    <w:p w14:paraId="14775BCB">
      <w:pPr>
        <w:pStyle w:val="14"/>
        <w:spacing w:line="360" w:lineRule="auto"/>
        <w:rPr>
          <w:rFonts w:ascii="宋体" w:hAnsi="宋体" w:cs="宋体"/>
          <w:color w:val="000000"/>
          <w:kern w:val="0"/>
          <w:sz w:val="24"/>
        </w:rPr>
      </w:pPr>
    </w:p>
    <w:p w14:paraId="33F285BF">
      <w:pPr>
        <w:pStyle w:val="14"/>
        <w:spacing w:line="360" w:lineRule="auto"/>
        <w:rPr>
          <w:rFonts w:ascii="宋体" w:hAnsi="宋体" w:cs="宋体"/>
          <w:color w:val="000000"/>
          <w:kern w:val="0"/>
          <w:sz w:val="24"/>
        </w:rPr>
      </w:pPr>
    </w:p>
    <w:p w14:paraId="3D54C803">
      <w:pPr>
        <w:pStyle w:val="14"/>
        <w:spacing w:line="360" w:lineRule="auto"/>
        <w:rPr>
          <w:rFonts w:ascii="宋体" w:hAnsi="宋体" w:cs="宋体"/>
          <w:color w:val="000000"/>
          <w:kern w:val="0"/>
          <w:sz w:val="24"/>
        </w:rPr>
      </w:pPr>
    </w:p>
    <w:p w14:paraId="5446739E">
      <w:pPr>
        <w:pStyle w:val="14"/>
        <w:spacing w:line="360" w:lineRule="auto"/>
        <w:rPr>
          <w:rFonts w:ascii="宋体" w:hAnsi="宋体" w:cs="宋体"/>
          <w:color w:val="000000"/>
          <w:kern w:val="0"/>
          <w:sz w:val="24"/>
        </w:rPr>
      </w:pPr>
    </w:p>
    <w:p w14:paraId="60AEFE27">
      <w:pPr>
        <w:pStyle w:val="14"/>
        <w:spacing w:line="360" w:lineRule="auto"/>
        <w:rPr>
          <w:rFonts w:ascii="宋体" w:hAnsi="宋体" w:cs="宋体"/>
          <w:color w:val="000000"/>
          <w:kern w:val="0"/>
          <w:sz w:val="24"/>
        </w:rPr>
      </w:pPr>
    </w:p>
    <w:p w14:paraId="4492F2A2">
      <w:pPr>
        <w:pStyle w:val="14"/>
        <w:spacing w:line="360" w:lineRule="auto"/>
        <w:rPr>
          <w:rFonts w:ascii="宋体" w:hAnsi="宋体" w:cs="宋体"/>
          <w:color w:val="000000"/>
          <w:kern w:val="0"/>
          <w:sz w:val="24"/>
        </w:rPr>
      </w:pPr>
    </w:p>
    <w:p w14:paraId="4EBAC776">
      <w:pPr>
        <w:pStyle w:val="14"/>
        <w:spacing w:line="360" w:lineRule="auto"/>
        <w:rPr>
          <w:rFonts w:ascii="宋体" w:hAnsi="宋体" w:cs="宋体"/>
          <w:color w:val="000000"/>
          <w:kern w:val="0"/>
          <w:sz w:val="24"/>
        </w:rPr>
      </w:pPr>
    </w:p>
    <w:p w14:paraId="69C72034">
      <w:pPr>
        <w:pStyle w:val="14"/>
        <w:spacing w:line="360" w:lineRule="auto"/>
        <w:rPr>
          <w:rFonts w:ascii="宋体" w:hAnsi="宋体" w:cs="宋体"/>
          <w:color w:val="000000"/>
          <w:kern w:val="0"/>
          <w:sz w:val="24"/>
        </w:rPr>
      </w:pPr>
    </w:p>
    <w:p w14:paraId="53919B81">
      <w:pPr>
        <w:pStyle w:val="14"/>
        <w:spacing w:line="360" w:lineRule="auto"/>
        <w:rPr>
          <w:rFonts w:ascii="宋体" w:hAnsi="宋体" w:cs="宋体"/>
          <w:color w:val="000000"/>
          <w:kern w:val="0"/>
          <w:sz w:val="24"/>
        </w:rPr>
      </w:pPr>
    </w:p>
    <w:p w14:paraId="575A07F4">
      <w:pPr>
        <w:pStyle w:val="14"/>
        <w:spacing w:line="360" w:lineRule="auto"/>
        <w:rPr>
          <w:rFonts w:ascii="宋体" w:hAnsi="宋体" w:cs="宋体"/>
          <w:color w:val="000000"/>
          <w:kern w:val="0"/>
          <w:sz w:val="24"/>
        </w:rPr>
      </w:pPr>
    </w:p>
    <w:p w14:paraId="6CABD91B">
      <w:pPr>
        <w:pStyle w:val="14"/>
        <w:spacing w:line="360" w:lineRule="auto"/>
        <w:rPr>
          <w:rFonts w:ascii="宋体" w:hAnsi="宋体" w:cs="宋体"/>
          <w:color w:val="000000"/>
          <w:kern w:val="0"/>
          <w:sz w:val="24"/>
        </w:rPr>
      </w:pPr>
    </w:p>
    <w:p w14:paraId="51E765A3">
      <w:pPr>
        <w:pStyle w:val="14"/>
        <w:spacing w:line="360" w:lineRule="auto"/>
        <w:rPr>
          <w:rFonts w:ascii="宋体" w:hAnsi="宋体" w:cs="宋体"/>
          <w:color w:val="000000"/>
          <w:kern w:val="0"/>
          <w:sz w:val="24"/>
        </w:rPr>
      </w:pPr>
    </w:p>
    <w:p w14:paraId="344E60AA">
      <w:pPr>
        <w:pStyle w:val="14"/>
        <w:spacing w:line="360" w:lineRule="auto"/>
        <w:rPr>
          <w:rFonts w:ascii="宋体" w:hAnsi="宋体" w:cs="宋体"/>
          <w:color w:val="000000"/>
          <w:kern w:val="0"/>
          <w:sz w:val="24"/>
        </w:rPr>
      </w:pPr>
    </w:p>
    <w:p w14:paraId="454A1B2E">
      <w:pPr>
        <w:pStyle w:val="14"/>
        <w:spacing w:line="360" w:lineRule="auto"/>
        <w:rPr>
          <w:rFonts w:ascii="宋体" w:hAnsi="宋体" w:cs="宋体"/>
          <w:color w:val="000000"/>
          <w:kern w:val="0"/>
          <w:sz w:val="24"/>
        </w:rPr>
      </w:pPr>
    </w:p>
    <w:p w14:paraId="71B594B9">
      <w:pPr>
        <w:pStyle w:val="14"/>
        <w:spacing w:line="360" w:lineRule="auto"/>
        <w:rPr>
          <w:rFonts w:ascii="宋体" w:hAnsi="宋体" w:cs="宋体"/>
          <w:color w:val="000000"/>
          <w:kern w:val="0"/>
          <w:sz w:val="24"/>
        </w:rPr>
      </w:pPr>
    </w:p>
    <w:p w14:paraId="488E174A">
      <w:pPr>
        <w:pStyle w:val="14"/>
        <w:spacing w:line="360" w:lineRule="auto"/>
        <w:rPr>
          <w:rFonts w:ascii="宋体" w:hAnsi="宋体" w:cs="宋体"/>
          <w:color w:val="000000"/>
          <w:kern w:val="0"/>
          <w:sz w:val="24"/>
        </w:rPr>
      </w:pPr>
    </w:p>
    <w:p w14:paraId="59D9A812">
      <w:pPr>
        <w:pStyle w:val="14"/>
        <w:spacing w:line="360" w:lineRule="auto"/>
        <w:rPr>
          <w:rFonts w:ascii="宋体" w:hAnsi="宋体" w:cs="宋体"/>
          <w:color w:val="000000"/>
          <w:kern w:val="0"/>
          <w:sz w:val="24"/>
        </w:rPr>
      </w:pPr>
    </w:p>
    <w:p w14:paraId="3FA3A6B7">
      <w:pPr>
        <w:pStyle w:val="14"/>
        <w:spacing w:line="360" w:lineRule="auto"/>
        <w:rPr>
          <w:rFonts w:ascii="宋体" w:hAnsi="宋体" w:cs="宋体"/>
          <w:color w:val="000000"/>
          <w:kern w:val="0"/>
          <w:sz w:val="24"/>
        </w:rPr>
      </w:pPr>
    </w:p>
    <w:p w14:paraId="44E31E15">
      <w:pPr>
        <w:pStyle w:val="14"/>
        <w:spacing w:line="360" w:lineRule="auto"/>
        <w:rPr>
          <w:rFonts w:ascii="宋体" w:hAnsi="宋体" w:cs="宋体"/>
          <w:color w:val="000000"/>
          <w:kern w:val="0"/>
          <w:sz w:val="24"/>
        </w:rPr>
      </w:pPr>
    </w:p>
    <w:p w14:paraId="5D3383BB">
      <w:pPr>
        <w:pStyle w:val="14"/>
        <w:spacing w:line="360" w:lineRule="auto"/>
        <w:rPr>
          <w:rFonts w:ascii="宋体" w:hAnsi="宋体" w:cs="宋体"/>
          <w:color w:val="000000"/>
          <w:kern w:val="0"/>
          <w:sz w:val="24"/>
        </w:rPr>
      </w:pPr>
    </w:p>
    <w:p w14:paraId="0D0D80A5">
      <w:pPr>
        <w:pStyle w:val="14"/>
        <w:spacing w:line="360" w:lineRule="auto"/>
        <w:rPr>
          <w:rFonts w:ascii="宋体" w:hAnsi="宋体" w:cs="宋体"/>
          <w:color w:val="000000"/>
          <w:kern w:val="0"/>
          <w:sz w:val="24"/>
        </w:rPr>
      </w:pPr>
    </w:p>
    <w:p w14:paraId="46CA13BA">
      <w:pPr>
        <w:pStyle w:val="14"/>
        <w:spacing w:line="360" w:lineRule="auto"/>
        <w:rPr>
          <w:rFonts w:ascii="宋体" w:hAnsi="宋体" w:cs="宋体"/>
          <w:color w:val="000000"/>
          <w:kern w:val="0"/>
          <w:sz w:val="24"/>
        </w:rPr>
      </w:pPr>
    </w:p>
    <w:p w14:paraId="314D23CB">
      <w:pPr>
        <w:pStyle w:val="14"/>
        <w:spacing w:line="360" w:lineRule="auto"/>
        <w:rPr>
          <w:rFonts w:ascii="宋体" w:hAnsi="宋体" w:cs="宋体"/>
          <w:color w:val="000000"/>
          <w:kern w:val="0"/>
          <w:sz w:val="24"/>
        </w:rPr>
      </w:pPr>
    </w:p>
    <w:p w14:paraId="14328A2F">
      <w:pPr>
        <w:pStyle w:val="14"/>
        <w:spacing w:line="360" w:lineRule="auto"/>
        <w:rPr>
          <w:rFonts w:ascii="宋体" w:hAnsi="宋体" w:cs="宋体"/>
          <w:color w:val="000000"/>
          <w:kern w:val="0"/>
          <w:sz w:val="24"/>
        </w:rPr>
      </w:pPr>
    </w:p>
    <w:p w14:paraId="22D5D884">
      <w:pPr>
        <w:keepNext/>
        <w:keepLines/>
        <w:spacing w:line="400" w:lineRule="exact"/>
        <w:jc w:val="center"/>
        <w:outlineLvl w:val="2"/>
        <w:rPr>
          <w:rFonts w:ascii="宋体" w:hAnsi="宋体"/>
          <w:b/>
          <w:sz w:val="30"/>
          <w:szCs w:val="30"/>
        </w:rPr>
      </w:pPr>
      <w:r>
        <w:rPr>
          <w:rFonts w:hint="eastAsia" w:ascii="宋体" w:hAnsi="宋体"/>
          <w:b/>
          <w:sz w:val="30"/>
          <w:szCs w:val="30"/>
        </w:rPr>
        <w:t>八、磋商</w:t>
      </w:r>
      <w:r>
        <w:rPr>
          <w:rFonts w:ascii="宋体" w:hAnsi="宋体"/>
          <w:b/>
          <w:sz w:val="30"/>
          <w:szCs w:val="30"/>
        </w:rPr>
        <w:t>承诺函</w:t>
      </w:r>
    </w:p>
    <w:p w14:paraId="30DCC8A8">
      <w:pPr>
        <w:spacing w:line="360" w:lineRule="auto"/>
        <w:ind w:right="-340" w:rightChars="-162"/>
        <w:jc w:val="center"/>
        <w:rPr>
          <w:rFonts w:ascii="宋体" w:hAnsi="宋体"/>
          <w:b/>
          <w:sz w:val="24"/>
        </w:rPr>
      </w:pPr>
      <w:r>
        <w:rPr>
          <w:rFonts w:hint="eastAsia" w:ascii="宋体" w:hAnsi="宋体"/>
          <w:b/>
          <w:sz w:val="24"/>
        </w:rPr>
        <w:t>（自行承诺）</w:t>
      </w:r>
    </w:p>
    <w:p w14:paraId="4CD484BD">
      <w:pPr>
        <w:autoSpaceDE w:val="0"/>
        <w:autoSpaceDN w:val="0"/>
        <w:adjustRightInd w:val="0"/>
        <w:spacing w:line="500" w:lineRule="exact"/>
        <w:jc w:val="left"/>
        <w:rPr>
          <w:rFonts w:ascii="宋体" w:hAnsi="宋体"/>
          <w:color w:val="000000"/>
          <w:sz w:val="24"/>
        </w:rPr>
      </w:pPr>
      <w:r>
        <w:rPr>
          <w:rFonts w:hint="eastAsia" w:ascii="宋体" w:hAnsi="宋体"/>
          <w:color w:val="000000"/>
          <w:sz w:val="24"/>
        </w:rPr>
        <w:t>承诺内容应包含：</w:t>
      </w:r>
    </w:p>
    <w:p w14:paraId="43FAACF9">
      <w:pPr>
        <w:autoSpaceDE w:val="0"/>
        <w:autoSpaceDN w:val="0"/>
        <w:adjustRightInd w:val="0"/>
        <w:spacing w:line="500" w:lineRule="exact"/>
        <w:ind w:firstLine="480" w:firstLineChars="200"/>
        <w:jc w:val="left"/>
        <w:rPr>
          <w:rFonts w:ascii="宋体" w:hAnsi="宋体"/>
          <w:color w:val="000000"/>
          <w:sz w:val="24"/>
        </w:rPr>
      </w:pPr>
      <w:r>
        <w:rPr>
          <w:rFonts w:hint="eastAsia" w:ascii="宋体" w:hAnsi="宋体"/>
          <w:color w:val="000000"/>
          <w:sz w:val="24"/>
        </w:rPr>
        <w:t>1、参加本次磋商活动中申报的所有资料都是真实、准确完整的，如发现带给虚假资料，或与事实不符而导致磋商无效，甚至造成任何法律和经济职责，完全由供应商负责；</w:t>
      </w:r>
    </w:p>
    <w:p w14:paraId="3B0EA415">
      <w:pPr>
        <w:autoSpaceDE w:val="0"/>
        <w:autoSpaceDN w:val="0"/>
        <w:adjustRightInd w:val="0"/>
        <w:spacing w:line="500" w:lineRule="exact"/>
        <w:ind w:firstLine="480" w:firstLineChars="200"/>
        <w:jc w:val="left"/>
        <w:rPr>
          <w:rFonts w:ascii="宋体" w:hAnsi="宋体"/>
          <w:color w:val="000000"/>
          <w:sz w:val="24"/>
        </w:rPr>
      </w:pPr>
      <w:r>
        <w:rPr>
          <w:rFonts w:hint="eastAsia" w:ascii="宋体" w:hAnsi="宋体"/>
          <w:color w:val="000000"/>
          <w:sz w:val="24"/>
        </w:rPr>
        <w:t>2、在本次磋商活动中绝无资质挂靠、串标、围标情形，若经贵方查出，立即取消我方</w:t>
      </w:r>
      <w:r>
        <w:rPr>
          <w:rFonts w:hint="eastAsia" w:ascii="宋体" w:hAnsi="宋体"/>
          <w:color w:val="000000"/>
          <w:sz w:val="24"/>
          <w:lang w:val="en-US" w:eastAsia="zh-CN"/>
        </w:rPr>
        <w:t>磋商</w:t>
      </w:r>
      <w:r>
        <w:rPr>
          <w:rFonts w:hint="eastAsia" w:ascii="宋体" w:hAnsi="宋体"/>
          <w:color w:val="000000"/>
          <w:sz w:val="24"/>
        </w:rPr>
        <w:t>资格并承担相应的法律职责；</w:t>
      </w:r>
    </w:p>
    <w:p w14:paraId="49735CBC">
      <w:pPr>
        <w:autoSpaceDE w:val="0"/>
        <w:autoSpaceDN w:val="0"/>
        <w:adjustRightInd w:val="0"/>
        <w:spacing w:line="500" w:lineRule="exact"/>
        <w:ind w:firstLine="480" w:firstLineChars="200"/>
        <w:jc w:val="left"/>
        <w:rPr>
          <w:rFonts w:ascii="宋体" w:hAnsi="宋体"/>
          <w:color w:val="000000"/>
          <w:sz w:val="24"/>
        </w:rPr>
      </w:pPr>
      <w:r>
        <w:rPr>
          <w:rFonts w:hint="eastAsia" w:ascii="宋体" w:hAnsi="宋体"/>
          <w:color w:val="000000"/>
          <w:sz w:val="24"/>
        </w:rPr>
        <w:t>3、供应商一旦</w:t>
      </w:r>
      <w:r>
        <w:rPr>
          <w:rFonts w:hint="eastAsia" w:ascii="宋体" w:hAnsi="宋体"/>
          <w:color w:val="000000"/>
          <w:sz w:val="24"/>
          <w:lang w:eastAsia="zh-CN"/>
        </w:rPr>
        <w:t>成交</w:t>
      </w:r>
      <w:r>
        <w:rPr>
          <w:rFonts w:hint="eastAsia" w:ascii="宋体" w:hAnsi="宋体"/>
          <w:color w:val="000000"/>
          <w:sz w:val="24"/>
        </w:rPr>
        <w:t>，将严格按照响应文件中所承诺的报价、质量、服务</w:t>
      </w:r>
      <w:r>
        <w:rPr>
          <w:rFonts w:hint="eastAsia" w:ascii="宋体" w:hAnsi="宋体"/>
          <w:color w:val="000000"/>
          <w:sz w:val="24"/>
          <w:lang w:val="en-US" w:eastAsia="zh-CN"/>
        </w:rPr>
        <w:t>周期</w:t>
      </w:r>
      <w:r>
        <w:rPr>
          <w:rFonts w:hint="eastAsia" w:ascii="宋体" w:hAnsi="宋体"/>
          <w:color w:val="000000"/>
          <w:sz w:val="24"/>
        </w:rPr>
        <w:t>、项目负责人等资料组织实施；并按规定及时签订合同；</w:t>
      </w:r>
    </w:p>
    <w:p w14:paraId="51AC1EEA">
      <w:pPr>
        <w:autoSpaceDE w:val="0"/>
        <w:autoSpaceDN w:val="0"/>
        <w:adjustRightInd w:val="0"/>
        <w:spacing w:line="500" w:lineRule="exact"/>
        <w:ind w:firstLine="480" w:firstLineChars="200"/>
        <w:jc w:val="left"/>
        <w:rPr>
          <w:rFonts w:ascii="宋体" w:hAnsi="宋体"/>
          <w:color w:val="000000"/>
          <w:sz w:val="24"/>
        </w:rPr>
      </w:pPr>
      <w:r>
        <w:rPr>
          <w:rFonts w:hint="eastAsia" w:ascii="宋体" w:hAnsi="宋体"/>
          <w:color w:val="000000"/>
          <w:sz w:val="24"/>
        </w:rPr>
        <w:t>4、</w:t>
      </w:r>
      <w:r>
        <w:rPr>
          <w:rFonts w:hint="eastAsia" w:ascii="宋体" w:hAnsi="宋体"/>
          <w:color w:val="000000"/>
          <w:sz w:val="24"/>
          <w:lang w:val="en-US" w:eastAsia="zh-CN"/>
        </w:rPr>
        <w:t>成交供应商</w:t>
      </w:r>
      <w:r>
        <w:rPr>
          <w:rFonts w:hint="eastAsia" w:ascii="宋体" w:hAnsi="宋体"/>
          <w:color w:val="000000"/>
          <w:sz w:val="24"/>
        </w:rPr>
        <w:t>无正当理由拒签合同的，采购人取消其</w:t>
      </w:r>
      <w:r>
        <w:rPr>
          <w:rFonts w:hint="eastAsia" w:ascii="宋体" w:hAnsi="宋体"/>
          <w:color w:val="000000"/>
          <w:sz w:val="24"/>
          <w:lang w:eastAsia="zh-CN"/>
        </w:rPr>
        <w:t>成交</w:t>
      </w:r>
      <w:r>
        <w:rPr>
          <w:rFonts w:hint="eastAsia" w:ascii="宋体" w:hAnsi="宋体"/>
          <w:color w:val="000000"/>
          <w:sz w:val="24"/>
        </w:rPr>
        <w:t>资格；给采购人造成的损失，</w:t>
      </w:r>
      <w:r>
        <w:rPr>
          <w:rFonts w:hint="eastAsia" w:ascii="宋体" w:hAnsi="宋体"/>
          <w:color w:val="000000"/>
          <w:sz w:val="24"/>
          <w:lang w:val="en-US" w:eastAsia="zh-CN"/>
        </w:rPr>
        <w:t>成交供应商</w:t>
      </w:r>
      <w:r>
        <w:rPr>
          <w:rFonts w:hint="eastAsia" w:ascii="宋体" w:hAnsi="宋体"/>
          <w:color w:val="000000"/>
          <w:sz w:val="24"/>
        </w:rPr>
        <w:t>应当对采购人予以赔偿；</w:t>
      </w:r>
    </w:p>
    <w:p w14:paraId="2432D255">
      <w:pPr>
        <w:autoSpaceDE w:val="0"/>
        <w:autoSpaceDN w:val="0"/>
        <w:adjustRightInd w:val="0"/>
        <w:spacing w:line="500" w:lineRule="exact"/>
        <w:ind w:firstLine="480" w:firstLineChars="200"/>
        <w:jc w:val="left"/>
        <w:rPr>
          <w:rFonts w:ascii="宋体" w:hAnsi="宋体"/>
          <w:color w:val="000000"/>
          <w:sz w:val="24"/>
        </w:rPr>
      </w:pPr>
      <w:r>
        <w:rPr>
          <w:rFonts w:hint="eastAsia" w:ascii="宋体" w:hAnsi="宋体"/>
          <w:color w:val="000000"/>
          <w:sz w:val="24"/>
        </w:rPr>
        <w:t>5、供应商如成交后，无故放弃，采购人有权将其列入本单位失信供应商名单，三年内不得参与本单位采购项目。</w:t>
      </w:r>
    </w:p>
    <w:p w14:paraId="17F5A8DE">
      <w:pPr>
        <w:autoSpaceDE w:val="0"/>
        <w:autoSpaceDN w:val="0"/>
        <w:adjustRightInd w:val="0"/>
        <w:spacing w:line="500" w:lineRule="exact"/>
        <w:ind w:firstLine="480" w:firstLineChars="200"/>
        <w:jc w:val="left"/>
        <w:rPr>
          <w:rFonts w:ascii="宋体" w:hAnsi="宋体"/>
          <w:color w:val="000000"/>
          <w:sz w:val="24"/>
        </w:rPr>
      </w:pPr>
      <w:r>
        <w:rPr>
          <w:rFonts w:hint="eastAsia" w:ascii="宋体" w:hAnsi="宋体"/>
          <w:color w:val="000000"/>
          <w:sz w:val="24"/>
        </w:rPr>
        <w:t>6、供应商如成交后，采购产品与评审时的参数出现不一致的情况，或不具备该项目所应有的资质、设备及专业技术能力，采购人有权将其列入本单位失信供应商名单，三年内不得参与本单位采购项目，相关责任和损失由供应商承担。</w:t>
      </w:r>
    </w:p>
    <w:p w14:paraId="456964CC">
      <w:pPr>
        <w:autoSpaceDE w:val="0"/>
        <w:autoSpaceDN w:val="0"/>
        <w:adjustRightInd w:val="0"/>
        <w:spacing w:line="500" w:lineRule="exact"/>
        <w:ind w:firstLine="480" w:firstLineChars="200"/>
        <w:jc w:val="left"/>
        <w:rPr>
          <w:rFonts w:ascii="宋体" w:hAnsi="宋体"/>
          <w:color w:val="000000"/>
          <w:sz w:val="24"/>
        </w:rPr>
      </w:pPr>
      <w:r>
        <w:rPr>
          <w:rFonts w:hint="eastAsia" w:ascii="宋体" w:hAnsi="宋体"/>
          <w:color w:val="000000"/>
          <w:sz w:val="24"/>
        </w:rPr>
        <w:t>7、成交供应商的工作人员，必须严格遵守采购人单位相关规章制度，如出现违反规章制度人员，采购人有权将其列入本单位失信供应商名单，三年内不得参与本单位采购项目。</w:t>
      </w:r>
    </w:p>
    <w:p w14:paraId="0DBAF250">
      <w:pPr>
        <w:autoSpaceDE w:val="0"/>
        <w:autoSpaceDN w:val="0"/>
        <w:adjustRightInd w:val="0"/>
        <w:spacing w:line="500" w:lineRule="exact"/>
        <w:ind w:firstLine="480" w:firstLineChars="200"/>
        <w:jc w:val="left"/>
        <w:outlineLvl w:val="0"/>
        <w:rPr>
          <w:rFonts w:ascii="宋体" w:hAnsi="宋体"/>
          <w:bCs/>
          <w:color w:val="000000"/>
          <w:sz w:val="24"/>
        </w:rPr>
      </w:pPr>
      <w:r>
        <w:rPr>
          <w:rFonts w:hint="eastAsia" w:ascii="宋体" w:hAnsi="宋体"/>
          <w:bCs/>
          <w:color w:val="000000"/>
          <w:sz w:val="24"/>
        </w:rPr>
        <w:t>8、供应商磋商承诺函应明确承诺事项及违背承诺的责任；</w:t>
      </w:r>
    </w:p>
    <w:p w14:paraId="65B8BDC2">
      <w:pPr>
        <w:spacing w:line="360" w:lineRule="auto"/>
        <w:ind w:left="1" w:firstLine="480" w:firstLineChars="200"/>
        <w:rPr>
          <w:rFonts w:ascii="宋体" w:hAnsi="宋体" w:cs="宋体"/>
          <w:sz w:val="24"/>
          <w:szCs w:val="20"/>
        </w:rPr>
      </w:pPr>
      <w:r>
        <w:rPr>
          <w:rFonts w:hint="eastAsia" w:ascii="宋体" w:hAnsi="宋体"/>
          <w:bCs/>
          <w:color w:val="000000"/>
          <w:sz w:val="24"/>
        </w:rPr>
        <w:t>9、其他承诺事项：</w:t>
      </w:r>
      <w:r>
        <w:rPr>
          <w:rFonts w:hint="eastAsia" w:ascii="宋体" w:hAnsi="宋体" w:cs="宋体"/>
          <w:sz w:val="24"/>
          <w:szCs w:val="20"/>
          <w:u w:val="single"/>
        </w:rPr>
        <w:t xml:space="preserve">                            </w:t>
      </w:r>
    </w:p>
    <w:p w14:paraId="2B00C770">
      <w:pPr>
        <w:autoSpaceDE w:val="0"/>
        <w:autoSpaceDN w:val="0"/>
        <w:adjustRightInd w:val="0"/>
        <w:spacing w:line="400" w:lineRule="exact"/>
        <w:ind w:firstLine="480" w:firstLineChars="200"/>
        <w:jc w:val="left"/>
        <w:rPr>
          <w:rFonts w:ascii="宋体" w:hAnsi="宋体"/>
          <w:bCs/>
          <w:color w:val="000000"/>
          <w:sz w:val="24"/>
        </w:rPr>
      </w:pPr>
    </w:p>
    <w:p w14:paraId="72D35EE3">
      <w:pPr>
        <w:spacing w:line="600" w:lineRule="exact"/>
        <w:ind w:firstLine="720" w:firstLineChars="300"/>
        <w:jc w:val="left"/>
        <w:rPr>
          <w:rFonts w:ascii="宋体" w:hAnsi="宋体"/>
          <w:sz w:val="24"/>
        </w:rPr>
      </w:pPr>
      <w:r>
        <w:rPr>
          <w:rFonts w:hint="eastAsia" w:ascii="宋体" w:hAnsi="宋体"/>
          <w:sz w:val="24"/>
        </w:rPr>
        <w:t>供应商：</w:t>
      </w:r>
      <w:r>
        <w:rPr>
          <w:rFonts w:hint="eastAsia" w:ascii="宋体" w:hAnsi="宋体"/>
          <w:sz w:val="24"/>
          <w:u w:val="single"/>
        </w:rPr>
        <w:t xml:space="preserve">                    </w:t>
      </w:r>
      <w:r>
        <w:rPr>
          <w:rFonts w:hint="eastAsia" w:ascii="宋体" w:hAnsi="宋体"/>
          <w:sz w:val="24"/>
        </w:rPr>
        <w:t>（盖单位公章）</w:t>
      </w:r>
    </w:p>
    <w:p w14:paraId="3E84FC30">
      <w:pPr>
        <w:spacing w:line="600" w:lineRule="exact"/>
        <w:ind w:firstLine="720" w:firstLineChars="300"/>
        <w:jc w:val="left"/>
        <w:rPr>
          <w:rFonts w:ascii="宋体" w:hAnsi="宋体"/>
          <w:sz w:val="24"/>
        </w:rPr>
      </w:pPr>
      <w:r>
        <w:rPr>
          <w:rFonts w:hint="eastAsia" w:ascii="宋体" w:hAnsi="宋体"/>
          <w:sz w:val="24"/>
        </w:rPr>
        <w:t>法定代表人或授权委托人：</w:t>
      </w:r>
      <w:r>
        <w:rPr>
          <w:rFonts w:hint="eastAsia" w:ascii="宋体" w:hAnsi="宋体"/>
          <w:sz w:val="24"/>
          <w:u w:val="single"/>
        </w:rPr>
        <w:t xml:space="preserve">                  </w:t>
      </w:r>
      <w:r>
        <w:rPr>
          <w:rFonts w:hint="eastAsia" w:ascii="宋体" w:hAnsi="宋体"/>
          <w:sz w:val="24"/>
        </w:rPr>
        <w:t>（签字或盖章）</w:t>
      </w:r>
    </w:p>
    <w:p w14:paraId="3332E4D0">
      <w:pPr>
        <w:spacing w:line="600" w:lineRule="exact"/>
        <w:ind w:firstLine="720" w:firstLineChars="300"/>
        <w:rPr>
          <w:rFonts w:ascii="宋体" w:hAnsi="宋体"/>
          <w:sz w:val="24"/>
          <w:szCs w:val="20"/>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2FC73CBC">
      <w:pPr>
        <w:pStyle w:val="14"/>
        <w:spacing w:line="360" w:lineRule="auto"/>
        <w:rPr>
          <w:rFonts w:ascii="宋体" w:hAnsi="宋体" w:cs="宋体"/>
          <w:color w:val="000000"/>
          <w:kern w:val="0"/>
          <w:sz w:val="24"/>
        </w:rPr>
      </w:pPr>
    </w:p>
    <w:p w14:paraId="789D9A1A">
      <w:pPr>
        <w:widowControl/>
        <w:jc w:val="center"/>
        <w:rPr>
          <w:rFonts w:ascii="宋体" w:hAnsi="宋体"/>
          <w:b/>
          <w:bCs/>
          <w:color w:val="000000"/>
          <w:kern w:val="0"/>
          <w:sz w:val="32"/>
          <w:szCs w:val="32"/>
        </w:rPr>
      </w:pPr>
      <w:r>
        <w:rPr>
          <w:rFonts w:hint="eastAsia" w:ascii="宋体" w:hAnsi="宋体"/>
          <w:b/>
          <w:bCs/>
          <w:color w:val="000000"/>
          <w:kern w:val="0"/>
          <w:sz w:val="32"/>
          <w:szCs w:val="32"/>
        </w:rPr>
        <w:t>九、供应商资格声明函</w:t>
      </w:r>
    </w:p>
    <w:p w14:paraId="2C458647">
      <w:pPr>
        <w:spacing w:line="600" w:lineRule="exact"/>
        <w:rPr>
          <w:rFonts w:ascii="宋体" w:hAnsi="宋体"/>
          <w:color w:val="000000"/>
          <w:sz w:val="24"/>
        </w:rPr>
      </w:pPr>
    </w:p>
    <w:p w14:paraId="3E84E857">
      <w:pPr>
        <w:spacing w:line="600" w:lineRule="exact"/>
        <w:rPr>
          <w:rFonts w:ascii="宋体" w:hAnsi="宋体"/>
          <w:color w:val="000000"/>
          <w:sz w:val="24"/>
        </w:rPr>
      </w:pPr>
      <w:r>
        <w:rPr>
          <w:rFonts w:hint="eastAsia" w:ascii="宋体" w:hAnsi="宋体"/>
          <w:color w:val="000000"/>
          <w:sz w:val="24"/>
        </w:rPr>
        <w:t>致：（采购人名称）</w:t>
      </w:r>
    </w:p>
    <w:p w14:paraId="66CF6CA4">
      <w:pPr>
        <w:spacing w:line="600" w:lineRule="exact"/>
        <w:ind w:firstLine="480" w:firstLineChars="200"/>
        <w:rPr>
          <w:rFonts w:ascii="宋体" w:hAnsi="宋体"/>
          <w:color w:val="000000"/>
          <w:sz w:val="24"/>
        </w:rPr>
      </w:pPr>
      <w:r>
        <w:rPr>
          <w:rFonts w:hint="eastAsia" w:ascii="宋体" w:hAnsi="宋体"/>
          <w:color w:val="000000"/>
          <w:sz w:val="24"/>
        </w:rPr>
        <w:t>我方在此声明，我方具备并满足《中华人民共和国政府采购法》二十二条及实施条例规定的</w:t>
      </w:r>
      <w:r>
        <w:rPr>
          <w:rFonts w:hint="eastAsia" w:ascii="宋体" w:hAnsi="宋体"/>
          <w:color w:val="000000"/>
          <w:sz w:val="24"/>
          <w:lang w:eastAsia="zh-CN"/>
        </w:rPr>
        <w:t>磋商</w:t>
      </w:r>
      <w:r>
        <w:rPr>
          <w:rFonts w:hint="eastAsia" w:ascii="宋体" w:hAnsi="宋体"/>
          <w:color w:val="000000"/>
          <w:sz w:val="24"/>
        </w:rPr>
        <w:t>供应商的条件：</w:t>
      </w:r>
    </w:p>
    <w:p w14:paraId="1FD46346">
      <w:pPr>
        <w:spacing w:line="600" w:lineRule="exact"/>
        <w:ind w:firstLine="480" w:firstLineChars="200"/>
        <w:rPr>
          <w:rFonts w:ascii="宋体" w:hAnsi="宋体"/>
          <w:color w:val="000000"/>
          <w:sz w:val="24"/>
        </w:rPr>
      </w:pPr>
      <w:r>
        <w:rPr>
          <w:rFonts w:hint="eastAsia" w:ascii="宋体" w:hAnsi="宋体"/>
          <w:color w:val="000000"/>
          <w:sz w:val="24"/>
        </w:rPr>
        <w:t>（1）具有独立承担民事责任的能力；</w:t>
      </w:r>
    </w:p>
    <w:p w14:paraId="6887536C">
      <w:pPr>
        <w:spacing w:line="600" w:lineRule="exact"/>
        <w:ind w:firstLine="480" w:firstLineChars="200"/>
        <w:rPr>
          <w:rFonts w:ascii="宋体" w:hAnsi="宋体"/>
          <w:color w:val="000000"/>
          <w:sz w:val="24"/>
        </w:rPr>
      </w:pPr>
      <w:r>
        <w:rPr>
          <w:rFonts w:hint="eastAsia" w:ascii="宋体" w:hAnsi="宋体"/>
          <w:color w:val="000000"/>
          <w:sz w:val="24"/>
        </w:rPr>
        <w:t>（2）具有良好的商业信誉和健全的财务会计制度；</w:t>
      </w:r>
    </w:p>
    <w:p w14:paraId="767DEECA">
      <w:pPr>
        <w:spacing w:line="600" w:lineRule="exact"/>
        <w:ind w:firstLine="480" w:firstLineChars="200"/>
        <w:rPr>
          <w:rFonts w:ascii="宋体" w:hAnsi="宋体"/>
          <w:color w:val="000000"/>
          <w:sz w:val="24"/>
        </w:rPr>
      </w:pPr>
      <w:r>
        <w:rPr>
          <w:rFonts w:hint="eastAsia" w:ascii="宋体" w:hAnsi="宋体"/>
          <w:color w:val="000000"/>
          <w:sz w:val="24"/>
        </w:rPr>
        <w:t>（3）具有履行合同所必需的设备和专业技术能力；</w:t>
      </w:r>
    </w:p>
    <w:p w14:paraId="589A1878">
      <w:pPr>
        <w:spacing w:line="600" w:lineRule="exact"/>
        <w:ind w:firstLine="480" w:firstLineChars="200"/>
        <w:rPr>
          <w:rFonts w:ascii="宋体" w:hAnsi="宋体"/>
          <w:color w:val="000000"/>
          <w:sz w:val="24"/>
        </w:rPr>
      </w:pPr>
      <w:r>
        <w:rPr>
          <w:rFonts w:hint="eastAsia" w:ascii="宋体" w:hAnsi="宋体"/>
          <w:color w:val="000000"/>
          <w:sz w:val="24"/>
        </w:rPr>
        <w:t>（4）有依法缴纳税收和社会保障资金的良好记录；</w:t>
      </w:r>
    </w:p>
    <w:p w14:paraId="5C7B1E42">
      <w:pPr>
        <w:spacing w:line="600" w:lineRule="exact"/>
        <w:ind w:firstLine="480" w:firstLineChars="200"/>
        <w:rPr>
          <w:rFonts w:ascii="宋体" w:hAnsi="宋体"/>
          <w:color w:val="000000"/>
          <w:sz w:val="24"/>
        </w:rPr>
      </w:pPr>
      <w:r>
        <w:rPr>
          <w:rFonts w:hint="eastAsia" w:ascii="宋体" w:hAnsi="宋体"/>
          <w:color w:val="000000"/>
          <w:sz w:val="24"/>
        </w:rPr>
        <w:t>（5）参加本次政府采购活动前三年内，在经营活动中没有重大违法记录。</w:t>
      </w:r>
    </w:p>
    <w:p w14:paraId="2E048C77">
      <w:pPr>
        <w:spacing w:line="600" w:lineRule="exact"/>
        <w:jc w:val="left"/>
        <w:rPr>
          <w:rFonts w:ascii="宋体" w:hAnsi="宋体" w:cs="宋体"/>
          <w:bCs/>
          <w:sz w:val="24"/>
          <w:u w:color="000000"/>
        </w:rPr>
      </w:pPr>
    </w:p>
    <w:p w14:paraId="5CAA36DD">
      <w:pPr>
        <w:spacing w:line="600" w:lineRule="exact"/>
        <w:jc w:val="left"/>
        <w:rPr>
          <w:rFonts w:ascii="宋体" w:hAnsi="宋体" w:cs="宋体"/>
          <w:bCs/>
          <w:sz w:val="24"/>
          <w:u w:color="000000"/>
        </w:rPr>
      </w:pPr>
    </w:p>
    <w:p w14:paraId="3FD3CF0C">
      <w:pPr>
        <w:spacing w:line="600" w:lineRule="exact"/>
        <w:jc w:val="left"/>
        <w:rPr>
          <w:rFonts w:ascii="宋体" w:hAnsi="宋体" w:cs="宋体"/>
          <w:bCs/>
          <w:sz w:val="24"/>
          <w:u w:color="000000"/>
        </w:rPr>
      </w:pPr>
    </w:p>
    <w:p w14:paraId="0297C764">
      <w:pPr>
        <w:spacing w:line="600" w:lineRule="exact"/>
        <w:ind w:firstLine="720" w:firstLineChars="300"/>
        <w:jc w:val="left"/>
        <w:rPr>
          <w:rFonts w:ascii="宋体" w:hAnsi="宋体"/>
          <w:sz w:val="24"/>
        </w:rPr>
      </w:pPr>
      <w:r>
        <w:rPr>
          <w:rFonts w:hint="eastAsia" w:ascii="宋体" w:hAnsi="宋体"/>
          <w:sz w:val="24"/>
        </w:rPr>
        <w:t>供应商：</w:t>
      </w:r>
      <w:r>
        <w:rPr>
          <w:rFonts w:hint="eastAsia" w:ascii="宋体" w:hAnsi="宋体"/>
          <w:sz w:val="24"/>
          <w:u w:val="single"/>
        </w:rPr>
        <w:t xml:space="preserve">                    </w:t>
      </w:r>
      <w:r>
        <w:rPr>
          <w:rFonts w:hint="eastAsia" w:ascii="宋体" w:hAnsi="宋体"/>
          <w:sz w:val="24"/>
        </w:rPr>
        <w:t>（盖单位公章）</w:t>
      </w:r>
    </w:p>
    <w:p w14:paraId="1C6827E7">
      <w:pPr>
        <w:spacing w:line="600" w:lineRule="exact"/>
        <w:ind w:firstLine="720" w:firstLineChars="300"/>
        <w:jc w:val="left"/>
        <w:rPr>
          <w:rFonts w:ascii="宋体" w:hAnsi="宋体"/>
          <w:sz w:val="24"/>
        </w:rPr>
      </w:pPr>
      <w:r>
        <w:rPr>
          <w:rFonts w:hint="eastAsia" w:ascii="宋体" w:hAnsi="宋体"/>
          <w:sz w:val="24"/>
        </w:rPr>
        <w:t>法定代表人或授权委托人：</w:t>
      </w:r>
      <w:r>
        <w:rPr>
          <w:rFonts w:hint="eastAsia" w:ascii="宋体" w:hAnsi="宋体"/>
          <w:sz w:val="24"/>
          <w:u w:val="single"/>
        </w:rPr>
        <w:t xml:space="preserve">                  </w:t>
      </w:r>
      <w:r>
        <w:rPr>
          <w:rFonts w:hint="eastAsia" w:ascii="宋体" w:hAnsi="宋体"/>
          <w:sz w:val="24"/>
        </w:rPr>
        <w:t>（签字或盖章）</w:t>
      </w:r>
    </w:p>
    <w:p w14:paraId="56CEB7CC">
      <w:pPr>
        <w:spacing w:line="600" w:lineRule="exact"/>
        <w:ind w:firstLine="770" w:firstLineChars="321"/>
        <w:rPr>
          <w:rFonts w:ascii="宋体" w:hAnsi="宋体"/>
          <w:sz w:val="24"/>
          <w:szCs w:val="20"/>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2DB5648A">
      <w:pPr>
        <w:pStyle w:val="14"/>
        <w:spacing w:line="360" w:lineRule="auto"/>
        <w:rPr>
          <w:rFonts w:ascii="宋体" w:hAnsi="宋体" w:cs="宋体"/>
          <w:color w:val="000000"/>
          <w:kern w:val="0"/>
          <w:sz w:val="24"/>
        </w:rPr>
      </w:pPr>
    </w:p>
    <w:p w14:paraId="6EF3CB01">
      <w:pPr>
        <w:pStyle w:val="14"/>
        <w:spacing w:line="360" w:lineRule="auto"/>
        <w:rPr>
          <w:rFonts w:ascii="宋体" w:hAnsi="宋体" w:cs="宋体"/>
          <w:color w:val="000000"/>
          <w:kern w:val="0"/>
          <w:sz w:val="24"/>
        </w:rPr>
      </w:pPr>
    </w:p>
    <w:p w14:paraId="4D47C924">
      <w:pPr>
        <w:pStyle w:val="14"/>
        <w:spacing w:line="360" w:lineRule="auto"/>
        <w:rPr>
          <w:rFonts w:ascii="宋体" w:hAnsi="宋体" w:cs="宋体"/>
          <w:color w:val="000000"/>
          <w:kern w:val="0"/>
          <w:sz w:val="24"/>
        </w:rPr>
      </w:pPr>
    </w:p>
    <w:p w14:paraId="1FAEE0C8">
      <w:pPr>
        <w:pStyle w:val="14"/>
        <w:spacing w:line="360" w:lineRule="auto"/>
        <w:rPr>
          <w:rFonts w:ascii="宋体" w:hAnsi="宋体" w:cs="宋体"/>
          <w:color w:val="000000"/>
          <w:kern w:val="0"/>
          <w:sz w:val="24"/>
        </w:rPr>
      </w:pPr>
    </w:p>
    <w:p w14:paraId="20A27841">
      <w:pPr>
        <w:pStyle w:val="14"/>
        <w:spacing w:line="360" w:lineRule="auto"/>
        <w:rPr>
          <w:rFonts w:ascii="宋体" w:hAnsi="宋体" w:cs="宋体"/>
          <w:color w:val="000000"/>
          <w:kern w:val="0"/>
          <w:sz w:val="24"/>
        </w:rPr>
      </w:pPr>
    </w:p>
    <w:p w14:paraId="0E47F5F1">
      <w:pPr>
        <w:pStyle w:val="14"/>
        <w:spacing w:line="360" w:lineRule="auto"/>
        <w:rPr>
          <w:rFonts w:ascii="宋体" w:hAnsi="宋体" w:cs="宋体"/>
          <w:color w:val="000000"/>
          <w:kern w:val="0"/>
          <w:sz w:val="24"/>
        </w:rPr>
      </w:pPr>
    </w:p>
    <w:p w14:paraId="0D268B2A">
      <w:pPr>
        <w:pStyle w:val="14"/>
        <w:spacing w:line="360" w:lineRule="auto"/>
        <w:rPr>
          <w:rFonts w:ascii="宋体" w:hAnsi="宋体" w:cs="宋体"/>
          <w:color w:val="000000"/>
          <w:kern w:val="0"/>
          <w:sz w:val="24"/>
        </w:rPr>
      </w:pPr>
    </w:p>
    <w:p w14:paraId="5C681484">
      <w:pPr>
        <w:pStyle w:val="14"/>
        <w:spacing w:line="360" w:lineRule="auto"/>
        <w:rPr>
          <w:rFonts w:ascii="宋体" w:hAnsi="宋体" w:cs="宋体"/>
          <w:color w:val="000000"/>
          <w:kern w:val="0"/>
          <w:sz w:val="24"/>
        </w:rPr>
      </w:pPr>
    </w:p>
    <w:p w14:paraId="26C6291E">
      <w:pPr>
        <w:pStyle w:val="14"/>
        <w:spacing w:line="360" w:lineRule="auto"/>
        <w:rPr>
          <w:rFonts w:ascii="宋体" w:hAnsi="宋体" w:cs="宋体"/>
          <w:color w:val="000000"/>
          <w:kern w:val="0"/>
          <w:sz w:val="24"/>
        </w:rPr>
      </w:pPr>
    </w:p>
    <w:p w14:paraId="05F68A14">
      <w:pPr>
        <w:widowControl/>
        <w:jc w:val="center"/>
        <w:rPr>
          <w:rFonts w:ascii="宋体" w:hAnsi="宋体" w:cs="宋体"/>
          <w:b/>
          <w:kern w:val="0"/>
          <w:sz w:val="24"/>
        </w:rPr>
      </w:pPr>
      <w:r>
        <w:rPr>
          <w:rFonts w:hint="eastAsia" w:ascii="宋体" w:hAnsi="宋体" w:cs="宋体"/>
          <w:color w:val="000000"/>
          <w:kern w:val="0"/>
          <w:sz w:val="32"/>
          <w:szCs w:val="32"/>
        </w:rPr>
        <w:t>十、</w:t>
      </w:r>
      <w:r>
        <w:rPr>
          <w:rFonts w:hint="eastAsia" w:ascii="宋体" w:hAnsi="宋体" w:cs="宋体"/>
          <w:b/>
          <w:bCs/>
          <w:kern w:val="0"/>
          <w:sz w:val="32"/>
          <w:szCs w:val="32"/>
        </w:rPr>
        <w:t>供应商认为需要提供的其他材料</w:t>
      </w:r>
    </w:p>
    <w:p w14:paraId="0EC39F83">
      <w:pPr>
        <w:pStyle w:val="14"/>
        <w:spacing w:line="360" w:lineRule="auto"/>
        <w:rPr>
          <w:rFonts w:ascii="宋体" w:hAnsi="宋体" w:cs="宋体"/>
          <w:color w:val="000000"/>
          <w:kern w:val="0"/>
          <w:sz w:val="24"/>
        </w:rPr>
      </w:pPr>
    </w:p>
    <w:p w14:paraId="02BB4ADC">
      <w:pPr>
        <w:pStyle w:val="14"/>
        <w:spacing w:line="360" w:lineRule="auto"/>
        <w:rPr>
          <w:rFonts w:ascii="宋体" w:hAnsi="宋体" w:cs="宋体"/>
          <w:color w:val="000000"/>
          <w:kern w:val="0"/>
          <w:sz w:val="24"/>
        </w:rPr>
      </w:pPr>
    </w:p>
    <w:p w14:paraId="163A55FA">
      <w:pPr>
        <w:pStyle w:val="14"/>
        <w:spacing w:line="360" w:lineRule="auto"/>
        <w:rPr>
          <w:rFonts w:ascii="宋体" w:hAnsi="宋体" w:cs="宋体"/>
          <w:color w:val="000000"/>
          <w:kern w:val="0"/>
          <w:sz w:val="24"/>
        </w:rPr>
      </w:pPr>
    </w:p>
    <w:p w14:paraId="06E33AC3">
      <w:pPr>
        <w:pStyle w:val="14"/>
        <w:spacing w:line="360" w:lineRule="auto"/>
        <w:rPr>
          <w:rFonts w:ascii="宋体" w:hAnsi="宋体" w:cs="宋体"/>
          <w:color w:val="000000"/>
          <w:kern w:val="0"/>
          <w:sz w:val="24"/>
        </w:rPr>
      </w:pPr>
    </w:p>
    <w:p w14:paraId="187A3C2B">
      <w:pPr>
        <w:pStyle w:val="14"/>
        <w:spacing w:line="360" w:lineRule="auto"/>
        <w:rPr>
          <w:rFonts w:ascii="宋体" w:hAnsi="宋体" w:cs="宋体"/>
          <w:color w:val="000000"/>
          <w:kern w:val="0"/>
          <w:sz w:val="24"/>
        </w:rPr>
      </w:pPr>
    </w:p>
    <w:p w14:paraId="6F203E90">
      <w:pPr>
        <w:pStyle w:val="14"/>
        <w:spacing w:line="360" w:lineRule="auto"/>
        <w:rPr>
          <w:rFonts w:ascii="宋体" w:hAnsi="宋体" w:cs="宋体"/>
          <w:color w:val="000000"/>
          <w:kern w:val="0"/>
          <w:sz w:val="24"/>
        </w:rPr>
      </w:pPr>
    </w:p>
    <w:p w14:paraId="423C7B5A">
      <w:pPr>
        <w:pStyle w:val="14"/>
        <w:spacing w:line="360" w:lineRule="auto"/>
        <w:rPr>
          <w:rFonts w:ascii="宋体" w:hAnsi="宋体" w:cs="宋体"/>
          <w:color w:val="000000"/>
          <w:kern w:val="0"/>
          <w:sz w:val="24"/>
        </w:rPr>
      </w:pPr>
    </w:p>
    <w:p w14:paraId="0DA64F5B">
      <w:pPr>
        <w:pStyle w:val="14"/>
        <w:spacing w:line="360" w:lineRule="auto"/>
        <w:rPr>
          <w:rFonts w:ascii="宋体" w:hAnsi="宋体" w:cs="宋体"/>
          <w:color w:val="000000"/>
          <w:kern w:val="0"/>
          <w:sz w:val="24"/>
        </w:rPr>
      </w:pPr>
    </w:p>
    <w:p w14:paraId="6950AA65">
      <w:pPr>
        <w:pStyle w:val="14"/>
        <w:spacing w:line="360" w:lineRule="auto"/>
        <w:rPr>
          <w:rFonts w:ascii="宋体" w:hAnsi="宋体" w:cs="宋体"/>
          <w:color w:val="000000"/>
          <w:kern w:val="0"/>
          <w:sz w:val="24"/>
        </w:rPr>
      </w:pPr>
    </w:p>
    <w:p w14:paraId="28EC0618">
      <w:pPr>
        <w:pStyle w:val="14"/>
        <w:spacing w:line="360" w:lineRule="auto"/>
        <w:rPr>
          <w:rFonts w:ascii="宋体" w:hAnsi="宋体" w:cs="宋体"/>
          <w:color w:val="000000"/>
          <w:kern w:val="0"/>
          <w:sz w:val="24"/>
        </w:rPr>
      </w:pPr>
    </w:p>
    <w:p w14:paraId="05F9B19A">
      <w:pPr>
        <w:pStyle w:val="14"/>
        <w:spacing w:line="360" w:lineRule="auto"/>
        <w:rPr>
          <w:rFonts w:ascii="宋体" w:hAnsi="宋体" w:cs="宋体"/>
          <w:color w:val="000000"/>
          <w:kern w:val="0"/>
          <w:sz w:val="24"/>
        </w:rPr>
      </w:pPr>
    </w:p>
    <w:p w14:paraId="40F81CC5">
      <w:pPr>
        <w:pStyle w:val="14"/>
        <w:spacing w:line="360" w:lineRule="auto"/>
        <w:rPr>
          <w:rFonts w:ascii="宋体" w:hAnsi="宋体" w:cs="宋体"/>
          <w:color w:val="000000"/>
          <w:kern w:val="0"/>
          <w:sz w:val="24"/>
        </w:rPr>
      </w:pPr>
    </w:p>
    <w:p w14:paraId="4A26C347">
      <w:pPr>
        <w:pStyle w:val="14"/>
        <w:spacing w:line="360" w:lineRule="auto"/>
        <w:rPr>
          <w:rFonts w:ascii="宋体" w:hAnsi="宋体" w:cs="宋体"/>
          <w:color w:val="000000"/>
          <w:kern w:val="0"/>
          <w:sz w:val="24"/>
        </w:rPr>
      </w:pPr>
    </w:p>
    <w:p w14:paraId="66345228">
      <w:pPr>
        <w:pStyle w:val="14"/>
        <w:spacing w:line="360" w:lineRule="auto"/>
        <w:rPr>
          <w:rFonts w:ascii="宋体" w:hAnsi="宋体" w:cs="宋体"/>
          <w:color w:val="000000"/>
          <w:kern w:val="0"/>
          <w:sz w:val="24"/>
        </w:rPr>
      </w:pPr>
    </w:p>
    <w:p w14:paraId="3B6E9D8B">
      <w:pPr>
        <w:pStyle w:val="14"/>
        <w:spacing w:line="360" w:lineRule="auto"/>
        <w:rPr>
          <w:rFonts w:ascii="宋体" w:hAnsi="宋体" w:cs="宋体"/>
          <w:color w:val="000000"/>
          <w:kern w:val="0"/>
          <w:sz w:val="24"/>
        </w:rPr>
      </w:pPr>
    </w:p>
    <w:p w14:paraId="77B7B062">
      <w:pPr>
        <w:pStyle w:val="14"/>
        <w:spacing w:line="360" w:lineRule="auto"/>
        <w:rPr>
          <w:rFonts w:ascii="宋体" w:hAnsi="宋体" w:cs="宋体"/>
          <w:color w:val="000000"/>
          <w:kern w:val="0"/>
          <w:sz w:val="24"/>
        </w:rPr>
      </w:pPr>
    </w:p>
    <w:p w14:paraId="0DA0BD2C">
      <w:pPr>
        <w:pStyle w:val="14"/>
        <w:spacing w:line="360" w:lineRule="auto"/>
        <w:rPr>
          <w:rFonts w:ascii="宋体" w:hAnsi="宋体" w:cs="宋体"/>
          <w:color w:val="000000"/>
          <w:kern w:val="0"/>
          <w:sz w:val="24"/>
        </w:rPr>
      </w:pPr>
    </w:p>
    <w:p w14:paraId="35590ECF">
      <w:pPr>
        <w:pStyle w:val="14"/>
        <w:spacing w:line="360" w:lineRule="auto"/>
        <w:rPr>
          <w:rFonts w:ascii="宋体" w:hAnsi="宋体" w:cs="宋体"/>
          <w:color w:val="000000"/>
          <w:kern w:val="0"/>
          <w:sz w:val="24"/>
        </w:rPr>
      </w:pPr>
    </w:p>
    <w:p w14:paraId="5A93C7D7">
      <w:pPr>
        <w:pStyle w:val="14"/>
        <w:spacing w:line="360" w:lineRule="auto"/>
        <w:rPr>
          <w:rFonts w:ascii="宋体" w:hAnsi="宋体" w:cs="宋体"/>
          <w:color w:val="000000"/>
          <w:kern w:val="0"/>
          <w:sz w:val="24"/>
        </w:rPr>
      </w:pPr>
    </w:p>
    <w:p w14:paraId="3FC30F9B">
      <w:pPr>
        <w:pStyle w:val="14"/>
        <w:spacing w:line="360" w:lineRule="auto"/>
        <w:rPr>
          <w:rFonts w:ascii="宋体" w:hAnsi="宋体" w:cs="宋体"/>
          <w:color w:val="000000"/>
          <w:kern w:val="0"/>
          <w:sz w:val="24"/>
        </w:rPr>
      </w:pPr>
    </w:p>
    <w:p w14:paraId="65928960">
      <w:pPr>
        <w:pStyle w:val="14"/>
        <w:spacing w:line="360" w:lineRule="auto"/>
        <w:rPr>
          <w:rFonts w:ascii="宋体" w:hAnsi="宋体" w:cs="宋体"/>
          <w:color w:val="000000"/>
          <w:kern w:val="0"/>
          <w:sz w:val="24"/>
        </w:rPr>
      </w:pPr>
    </w:p>
    <w:p w14:paraId="7D5AB1DB">
      <w:pPr>
        <w:pStyle w:val="14"/>
        <w:spacing w:line="360" w:lineRule="auto"/>
        <w:rPr>
          <w:rFonts w:ascii="宋体" w:hAnsi="宋体" w:cs="宋体"/>
          <w:color w:val="000000"/>
          <w:kern w:val="0"/>
          <w:sz w:val="24"/>
        </w:rPr>
      </w:pPr>
    </w:p>
    <w:p w14:paraId="2ADCD22C">
      <w:pPr>
        <w:pStyle w:val="14"/>
        <w:spacing w:line="360" w:lineRule="auto"/>
        <w:rPr>
          <w:rFonts w:ascii="宋体" w:hAnsi="宋体" w:cs="宋体"/>
          <w:color w:val="000000"/>
          <w:kern w:val="0"/>
          <w:sz w:val="24"/>
        </w:rPr>
      </w:pPr>
    </w:p>
    <w:p w14:paraId="5455AFD0">
      <w:pPr>
        <w:pStyle w:val="14"/>
        <w:spacing w:line="360" w:lineRule="auto"/>
        <w:rPr>
          <w:rFonts w:ascii="宋体" w:hAnsi="宋体" w:cs="宋体"/>
          <w:color w:val="000000"/>
          <w:kern w:val="0"/>
          <w:sz w:val="24"/>
        </w:rPr>
      </w:pPr>
    </w:p>
    <w:p w14:paraId="6EEB0DA0">
      <w:pPr>
        <w:pStyle w:val="14"/>
        <w:spacing w:line="360" w:lineRule="auto"/>
        <w:rPr>
          <w:rFonts w:ascii="宋体" w:hAnsi="宋体" w:cs="宋体"/>
          <w:color w:val="000000"/>
          <w:kern w:val="0"/>
          <w:sz w:val="24"/>
        </w:rPr>
      </w:pPr>
    </w:p>
    <w:p w14:paraId="700878A7">
      <w:pPr>
        <w:pStyle w:val="14"/>
        <w:spacing w:line="360" w:lineRule="auto"/>
        <w:rPr>
          <w:rFonts w:ascii="宋体" w:hAnsi="宋体" w:cs="宋体"/>
          <w:color w:val="000000"/>
          <w:kern w:val="0"/>
          <w:sz w:val="24"/>
        </w:rPr>
      </w:pPr>
    </w:p>
    <w:p w14:paraId="22B9E583">
      <w:pPr>
        <w:pStyle w:val="14"/>
        <w:spacing w:line="360" w:lineRule="auto"/>
        <w:rPr>
          <w:rFonts w:ascii="宋体" w:hAnsi="宋体" w:cs="宋体"/>
          <w:color w:val="000000"/>
          <w:kern w:val="0"/>
          <w:sz w:val="24"/>
        </w:rPr>
      </w:pPr>
    </w:p>
    <w:p w14:paraId="2C32E163">
      <w:pPr>
        <w:pStyle w:val="14"/>
        <w:spacing w:line="360" w:lineRule="auto"/>
        <w:rPr>
          <w:rFonts w:ascii="宋体" w:hAnsi="宋体" w:cs="宋体"/>
          <w:color w:val="000000"/>
          <w:kern w:val="0"/>
          <w:sz w:val="24"/>
        </w:rPr>
      </w:pPr>
    </w:p>
    <w:p w14:paraId="3F9563C6">
      <w:pPr>
        <w:rPr>
          <w:rFonts w:ascii="宋体" w:hAnsi="宋体" w:eastAsia="宋体" w:cs="宋体"/>
          <w:b/>
          <w:bCs/>
          <w:sz w:val="32"/>
          <w:szCs w:val="32"/>
        </w:rPr>
      </w:pPr>
      <w:r>
        <w:rPr>
          <w:rFonts w:hint="eastAsia" w:ascii="宋体" w:hAnsi="宋体" w:cs="宋体"/>
          <w:b/>
          <w:bCs/>
          <w:sz w:val="32"/>
          <w:szCs w:val="32"/>
        </w:rPr>
        <w:t>附件1：</w:t>
      </w:r>
    </w:p>
    <w:p w14:paraId="7BD426E1">
      <w:pPr>
        <w:pStyle w:val="43"/>
      </w:pPr>
    </w:p>
    <w:p w14:paraId="12434A48">
      <w:pPr>
        <w:keepNext/>
        <w:keepLines/>
        <w:widowControl w:val="0"/>
        <w:spacing w:before="260" w:after="260" w:line="416" w:lineRule="auto"/>
        <w:jc w:val="center"/>
        <w:outlineLvl w:val="1"/>
        <w:rPr>
          <w:rFonts w:hint="eastAsia" w:ascii="宋体" w:hAnsi="宋体" w:eastAsia="宋体" w:cs="宋体"/>
          <w:b/>
          <w:bCs/>
          <w:color w:val="auto"/>
          <w:kern w:val="2"/>
          <w:sz w:val="40"/>
          <w:szCs w:val="40"/>
          <w:highlight w:val="none"/>
          <w:lang w:val="en-US" w:eastAsia="zh-CN" w:bidi="ar-SA"/>
        </w:rPr>
      </w:pPr>
      <w:r>
        <w:rPr>
          <w:rFonts w:hint="eastAsia" w:ascii="宋体" w:hAnsi="宋体" w:eastAsia="宋体" w:cs="Times New Roman"/>
          <w:b/>
          <w:bCs/>
          <w:color w:val="auto"/>
          <w:kern w:val="0"/>
          <w:sz w:val="32"/>
          <w:szCs w:val="22"/>
          <w:highlight w:val="none"/>
          <w:lang w:val="zh-CN" w:eastAsia="zh-CN" w:bidi="ar-SA"/>
        </w:rPr>
        <w:t>中小企业声明函</w:t>
      </w:r>
    </w:p>
    <w:p w14:paraId="017E2E1F">
      <w:pPr>
        <w:spacing w:line="360" w:lineRule="auto"/>
        <w:ind w:firstLine="540" w:firstLineChars="22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（单位名称）的</w:t>
      </w:r>
      <w:r>
        <w:rPr>
          <w:rFonts w:hint="eastAsia" w:ascii="宋体" w:hAnsi="宋体" w:eastAsia="宋体" w:cs="宋体"/>
          <w:color w:val="auto"/>
          <w:sz w:val="24"/>
          <w:szCs w:val="24"/>
          <w:highlight w:val="none"/>
          <w:u w:val="single"/>
          <w:lang w:val="en-US" w:eastAsia="zh-CN"/>
        </w:rPr>
        <w:t xml:space="preserve">   （项目名称）  </w:t>
      </w:r>
      <w:r>
        <w:rPr>
          <w:rFonts w:hint="eastAsia" w:ascii="宋体" w:hAnsi="宋体" w:eastAsia="宋体" w:cs="宋体"/>
          <w:color w:val="auto"/>
          <w:sz w:val="24"/>
          <w:szCs w:val="24"/>
          <w:highlight w:val="none"/>
          <w:lang w:val="en-US" w:eastAsia="zh-CN"/>
        </w:rPr>
        <w:t>采购活动，服务全部由符合政策要求的中小企业承接。相关企业（含联合体中的中小企业、签订分包意向协议的中小企业）的具体情况如下：</w:t>
      </w:r>
    </w:p>
    <w:p w14:paraId="2E89EE13">
      <w:pPr>
        <w:numPr>
          <w:ilvl w:val="0"/>
          <w:numId w:val="22"/>
        </w:numPr>
        <w:spacing w:line="360" w:lineRule="auto"/>
        <w:ind w:firstLine="540" w:firstLineChars="225"/>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single"/>
          <w:lang w:val="en-US" w:eastAsia="zh-CN"/>
        </w:rPr>
        <w:t xml:space="preserve">（标的名称） </w:t>
      </w:r>
      <w:r>
        <w:rPr>
          <w:rFonts w:hint="eastAsia" w:ascii="宋体" w:hAnsi="宋体" w:eastAsia="宋体" w:cs="宋体"/>
          <w:color w:val="auto"/>
          <w:sz w:val="24"/>
          <w:szCs w:val="24"/>
          <w:highlight w:val="none"/>
          <w:lang w:val="en-US" w:eastAsia="zh-CN"/>
        </w:rPr>
        <w:t>，属于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（采购文件中明确的所属行业）；承接企业为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万元，属于（中型企业、小型企业、微型企业）；</w:t>
      </w:r>
    </w:p>
    <w:p w14:paraId="7170D2F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p>
    <w:p w14:paraId="58CA163B">
      <w:pPr>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以上企业，不属于大企业的分支机构，不存在控股股东为大企业的情形，也不存在与大企业的负责人为同一人的情形。</w:t>
      </w:r>
    </w:p>
    <w:p w14:paraId="6189D9FC">
      <w:pPr>
        <w:spacing w:line="360" w:lineRule="auto"/>
        <w:ind w:firstLine="540" w:firstLineChars="22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本企业对上述声明内容的真实性负责。如有虚假，将依法承担相应责任。 </w:t>
      </w:r>
    </w:p>
    <w:p w14:paraId="61B7DE7A">
      <w:pPr>
        <w:spacing w:line="360" w:lineRule="auto"/>
        <w:jc w:val="both"/>
        <w:rPr>
          <w:rFonts w:hint="eastAsia" w:ascii="宋体" w:hAnsi="宋体" w:eastAsia="宋体" w:cs="宋体"/>
          <w:color w:val="auto"/>
          <w:sz w:val="24"/>
          <w:szCs w:val="24"/>
          <w:highlight w:val="none"/>
          <w:lang w:val="en-US" w:eastAsia="zh-CN"/>
        </w:rPr>
      </w:pPr>
    </w:p>
    <w:p w14:paraId="19E5C978">
      <w:pPr>
        <w:spacing w:line="360" w:lineRule="auto"/>
        <w:ind w:firstLine="540" w:firstLineChars="22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企业名称（盖章）： </w:t>
      </w:r>
    </w:p>
    <w:p w14:paraId="51A88C4E">
      <w:pPr>
        <w:spacing w:line="360" w:lineRule="auto"/>
        <w:ind w:firstLine="540" w:firstLineChars="22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日 期： </w:t>
      </w:r>
    </w:p>
    <w:p w14:paraId="2085BBF8">
      <w:pPr>
        <w:spacing w:line="360" w:lineRule="auto"/>
        <w:ind w:firstLine="540" w:firstLineChars="225"/>
        <w:rPr>
          <w:rFonts w:hint="eastAsia" w:ascii="宋体" w:hAnsi="宋体" w:eastAsia="宋体" w:cs="宋体"/>
          <w:color w:val="auto"/>
          <w:sz w:val="24"/>
          <w:szCs w:val="24"/>
          <w:highlight w:val="none"/>
          <w:lang w:val="en-US" w:eastAsia="zh-CN"/>
        </w:rPr>
      </w:pPr>
    </w:p>
    <w:p w14:paraId="2CF1F968">
      <w:pPr>
        <w:spacing w:line="360" w:lineRule="auto"/>
        <w:ind w:firstLine="540" w:firstLineChars="225"/>
        <w:rPr>
          <w:rFonts w:hint="eastAsia" w:ascii="Calibri" w:hAnsi="Calibri" w:eastAsia="宋体" w:cs="Times New Roman"/>
          <w:color w:val="auto"/>
          <w:szCs w:val="22"/>
          <w:highlight w:val="none"/>
        </w:rPr>
      </w:pPr>
      <w:r>
        <w:rPr>
          <w:rFonts w:hint="eastAsia" w:ascii="宋体" w:hAnsi="宋体" w:eastAsia="宋体" w:cs="宋体"/>
          <w:color w:val="auto"/>
          <w:sz w:val="24"/>
          <w:szCs w:val="24"/>
          <w:highlight w:val="none"/>
          <w:lang w:val="en-US" w:eastAsia="zh-CN"/>
        </w:rPr>
        <w:t>注：从业人员、营业收入、资产总额填报上一年度数据，无上一年度数据的新成立企业可不填报。</w:t>
      </w:r>
    </w:p>
    <w:p w14:paraId="11F14F4C">
      <w:pPr>
        <w:widowControl/>
        <w:spacing w:line="34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（提醒：</w:t>
      </w:r>
      <w:r>
        <w:rPr>
          <w:rFonts w:hint="eastAsia" w:ascii="宋体" w:hAnsi="宋体" w:eastAsia="宋体" w:cs="宋体"/>
          <w:b/>
          <w:color w:val="auto"/>
          <w:sz w:val="24"/>
          <w:szCs w:val="24"/>
          <w:highlight w:val="none"/>
          <w:lang w:val="en-US" w:eastAsia="zh-CN"/>
        </w:rPr>
        <w:t>1.本项目专门面向中小企业采购，</w:t>
      </w:r>
      <w:r>
        <w:rPr>
          <w:rFonts w:hint="eastAsia" w:ascii="宋体" w:hAnsi="宋体" w:eastAsia="宋体" w:cs="宋体"/>
          <w:b/>
          <w:color w:val="auto"/>
          <w:sz w:val="24"/>
          <w:szCs w:val="24"/>
          <w:highlight w:val="none"/>
        </w:rPr>
        <w:t>参加政府采购活动的中小企业</w:t>
      </w:r>
      <w:r>
        <w:rPr>
          <w:rFonts w:hint="eastAsia" w:ascii="宋体" w:hAnsi="宋体" w:eastAsia="宋体" w:cs="宋体"/>
          <w:b/>
          <w:color w:val="auto"/>
          <w:sz w:val="24"/>
          <w:szCs w:val="24"/>
          <w:highlight w:val="none"/>
          <w:lang w:eastAsia="zh-CN"/>
        </w:rPr>
        <w:t>须</w:t>
      </w:r>
      <w:r>
        <w:rPr>
          <w:rFonts w:hint="eastAsia" w:ascii="宋体" w:hAnsi="宋体" w:eastAsia="宋体" w:cs="宋体"/>
          <w:b/>
          <w:color w:val="auto"/>
          <w:sz w:val="24"/>
          <w:szCs w:val="24"/>
          <w:highlight w:val="none"/>
        </w:rPr>
        <w:t>提供《中小企业声明函》</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2.关于监狱企业：视同小微企业。须提供由省级以上监狱管理局、戒毒管理局（含新疆生产建设兵团）出具的属于监狱企业的证明文件；3.关于残疾人福利性单位：视同小微企业。须提供完整的“残疾人福利性单位声明函”。4.本项目对应的中小企业划分标准所属行业为：批发业</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w:t>
      </w:r>
    </w:p>
    <w:p w14:paraId="16ABE2EA">
      <w:pPr>
        <w:widowControl/>
        <w:spacing w:before="100" w:beforeAutospacing="1" w:after="100" w:afterAutospacing="1" w:line="500" w:lineRule="exact"/>
        <w:jc w:val="center"/>
        <w:rPr>
          <w:rFonts w:hint="eastAsia"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rPr>
        <w:br w:type="page"/>
      </w:r>
      <w:r>
        <w:rPr>
          <w:rFonts w:hint="eastAsia" w:ascii="宋体" w:hAnsi="宋体" w:eastAsia="宋体" w:cs="Times New Roman"/>
          <w:color w:val="auto"/>
          <w:kern w:val="2"/>
          <w:sz w:val="28"/>
          <w:szCs w:val="28"/>
          <w:highlight w:val="none"/>
        </w:rPr>
        <w:t>工业和信息化部、国家统计局、国家发展和改革委员会、财政部</w:t>
      </w:r>
    </w:p>
    <w:p w14:paraId="3C9CE020">
      <w:pPr>
        <w:widowControl/>
        <w:spacing w:line="500" w:lineRule="exact"/>
        <w:jc w:val="center"/>
        <w:rPr>
          <w:rFonts w:hint="eastAsia"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rPr>
        <w:t>《关于印发中小企业划型标准规定的通知》</w:t>
      </w:r>
    </w:p>
    <w:p w14:paraId="430640A4">
      <w:pPr>
        <w:widowControl/>
        <w:spacing w:line="500" w:lineRule="exact"/>
        <w:jc w:val="center"/>
        <w:rPr>
          <w:rFonts w:hint="eastAsia"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rPr>
        <w:t>工信部联企业〔2011〕300号</w:t>
      </w:r>
    </w:p>
    <w:p w14:paraId="1A6C715E">
      <w:pPr>
        <w:widowControl/>
        <w:spacing w:line="500" w:lineRule="exact"/>
        <w:jc w:val="left"/>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 xml:space="preserve">各省、自治区、直辖市人民政府，国务院各部委、各直属机构及有关单位： </w:t>
      </w:r>
    </w:p>
    <w:p w14:paraId="3235B105">
      <w:pPr>
        <w:widowControl/>
        <w:spacing w:line="500" w:lineRule="exact"/>
        <w:ind w:firstLine="480" w:firstLineChars="200"/>
        <w:jc w:val="left"/>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 xml:space="preserve">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 </w:t>
      </w:r>
    </w:p>
    <w:p w14:paraId="391B4B85">
      <w:pPr>
        <w:widowControl/>
        <w:spacing w:line="500" w:lineRule="exact"/>
        <w:jc w:val="right"/>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 xml:space="preserve">工业和信息化部 国家统计局 国家发展和改革委员会 财政部 </w:t>
      </w:r>
    </w:p>
    <w:p w14:paraId="5789E869">
      <w:pPr>
        <w:widowControl/>
        <w:spacing w:line="500" w:lineRule="exact"/>
        <w:jc w:val="right"/>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 xml:space="preserve">二○一一年六月十八日 </w:t>
      </w:r>
    </w:p>
    <w:p w14:paraId="08AD4B4D">
      <w:pPr>
        <w:widowControl/>
        <w:spacing w:line="500" w:lineRule="exact"/>
        <w:jc w:val="center"/>
        <w:rPr>
          <w:rFonts w:hint="eastAsia" w:ascii="宋体" w:hAnsi="宋体" w:eastAsia="宋体" w:cs="Times New Roman"/>
          <w:b/>
          <w:bCs/>
          <w:color w:val="auto"/>
          <w:kern w:val="2"/>
          <w:sz w:val="24"/>
          <w:highlight w:val="none"/>
        </w:rPr>
      </w:pPr>
      <w:r>
        <w:rPr>
          <w:rFonts w:hint="eastAsia" w:ascii="宋体" w:hAnsi="宋体" w:eastAsia="宋体" w:cs="Times New Roman"/>
          <w:b/>
          <w:bCs/>
          <w:color w:val="auto"/>
          <w:kern w:val="2"/>
          <w:sz w:val="24"/>
          <w:highlight w:val="none"/>
        </w:rPr>
        <w:t>中小企业划型标准规定</w:t>
      </w:r>
    </w:p>
    <w:p w14:paraId="185D4FD9">
      <w:pPr>
        <w:widowControl/>
        <w:spacing w:line="500" w:lineRule="exact"/>
        <w:ind w:firstLine="480" w:firstLineChars="200"/>
        <w:jc w:val="left"/>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一、根据《中华人民共和国中小企业促进法》和《国务院关于进一步促进中小企业发展的若干意见》(国发〔2009〕36号)，制定本规定。</w:t>
      </w:r>
    </w:p>
    <w:p w14:paraId="5EACE7EA">
      <w:pPr>
        <w:widowControl/>
        <w:spacing w:line="500" w:lineRule="exact"/>
        <w:ind w:firstLine="480" w:firstLineChars="200"/>
        <w:jc w:val="left"/>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二、中小企业划分为中型、小型、微型三种类型，具体标准根据企业从业人员、营业收入、资产总额等指标，结合行业特点制定。</w:t>
      </w:r>
    </w:p>
    <w:p w14:paraId="4A47B312">
      <w:pPr>
        <w:widowControl/>
        <w:spacing w:line="500" w:lineRule="exact"/>
        <w:ind w:firstLine="480" w:firstLineChars="200"/>
        <w:jc w:val="left"/>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206624A">
      <w:pPr>
        <w:widowControl/>
        <w:spacing w:line="500" w:lineRule="exact"/>
        <w:ind w:firstLine="480" w:firstLineChars="200"/>
        <w:jc w:val="left"/>
        <w:outlineLvl w:val="1"/>
        <w:rPr>
          <w:rFonts w:hint="eastAsia" w:ascii="宋体" w:hAnsi="宋体" w:eastAsia="宋体" w:cs="Times New Roman"/>
          <w:color w:val="auto"/>
          <w:kern w:val="2"/>
          <w:sz w:val="24"/>
          <w:highlight w:val="none"/>
        </w:rPr>
      </w:pPr>
      <w:bookmarkStart w:id="178" w:name="_Toc6010"/>
      <w:bookmarkStart w:id="179" w:name="_Toc17847"/>
      <w:bookmarkStart w:id="180" w:name="_Toc29921"/>
      <w:bookmarkStart w:id="181" w:name="_Toc9135"/>
      <w:r>
        <w:rPr>
          <w:rFonts w:hint="eastAsia" w:ascii="宋体" w:hAnsi="宋体" w:eastAsia="宋体" w:cs="Times New Roman"/>
          <w:color w:val="auto"/>
          <w:kern w:val="2"/>
          <w:sz w:val="24"/>
          <w:highlight w:val="none"/>
        </w:rPr>
        <w:t>四、各行业划型标准为</w:t>
      </w:r>
      <w:bookmarkEnd w:id="178"/>
      <w:bookmarkEnd w:id="179"/>
      <w:bookmarkEnd w:id="180"/>
      <w:bookmarkEnd w:id="181"/>
    </w:p>
    <w:p w14:paraId="1A7437AB">
      <w:pPr>
        <w:widowControl/>
        <w:spacing w:line="500" w:lineRule="exact"/>
        <w:ind w:firstLine="480" w:firstLineChars="200"/>
        <w:jc w:val="left"/>
        <w:rPr>
          <w:rFonts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（一）农、林、牧、渔业。营业收入20000万元以下的为中小微型企业。其中，营业收入500万元及以上的为中型企业，营业收入50万元及以上的为小型企业，营业收入50万元以下的为微型企业。</w:t>
      </w:r>
    </w:p>
    <w:p w14:paraId="794D2633">
      <w:pPr>
        <w:widowControl/>
        <w:spacing w:line="500" w:lineRule="exact"/>
        <w:ind w:firstLine="480" w:firstLineChars="200"/>
        <w:jc w:val="left"/>
        <w:rPr>
          <w:rFonts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6D27B3F">
      <w:pPr>
        <w:widowControl/>
        <w:spacing w:line="500" w:lineRule="exact"/>
        <w:ind w:firstLine="480" w:firstLineChars="200"/>
        <w:jc w:val="left"/>
        <w:rPr>
          <w:rFonts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0381678">
      <w:pPr>
        <w:widowControl/>
        <w:spacing w:line="500" w:lineRule="exact"/>
        <w:ind w:firstLine="480" w:firstLineChars="200"/>
        <w:jc w:val="left"/>
        <w:rPr>
          <w:rFonts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F57F68B">
      <w:pPr>
        <w:widowControl/>
        <w:spacing w:line="500" w:lineRule="exact"/>
        <w:ind w:firstLine="480" w:firstLineChars="200"/>
        <w:jc w:val="left"/>
        <w:rPr>
          <w:rFonts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8649051">
      <w:pPr>
        <w:widowControl/>
        <w:spacing w:line="500" w:lineRule="exact"/>
        <w:ind w:firstLine="480" w:firstLineChars="200"/>
        <w:jc w:val="left"/>
        <w:rPr>
          <w:rFonts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69B5B94">
      <w:pPr>
        <w:widowControl/>
        <w:spacing w:line="500" w:lineRule="exact"/>
        <w:ind w:firstLine="480" w:firstLineChars="200"/>
        <w:jc w:val="left"/>
        <w:rPr>
          <w:rFonts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19DE6B2">
      <w:pPr>
        <w:widowControl/>
        <w:spacing w:line="500" w:lineRule="exact"/>
        <w:ind w:firstLine="480" w:firstLineChars="200"/>
        <w:jc w:val="left"/>
        <w:rPr>
          <w:rFonts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EC9796B">
      <w:pPr>
        <w:widowControl/>
        <w:spacing w:line="500" w:lineRule="exact"/>
        <w:ind w:firstLine="480" w:firstLineChars="200"/>
        <w:jc w:val="left"/>
        <w:rPr>
          <w:rFonts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2E97A6E">
      <w:pPr>
        <w:widowControl/>
        <w:spacing w:line="500" w:lineRule="exact"/>
        <w:ind w:firstLine="480" w:firstLineChars="200"/>
        <w:jc w:val="left"/>
        <w:rPr>
          <w:rFonts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7A6C0DE">
      <w:pPr>
        <w:widowControl/>
        <w:spacing w:line="500" w:lineRule="exact"/>
        <w:ind w:firstLine="480" w:firstLineChars="200"/>
        <w:jc w:val="left"/>
        <w:rPr>
          <w:rFonts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A8CF11B">
      <w:pPr>
        <w:widowControl/>
        <w:spacing w:line="500" w:lineRule="exact"/>
        <w:ind w:firstLine="480" w:firstLineChars="200"/>
        <w:jc w:val="left"/>
        <w:rPr>
          <w:rFonts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C5AD04A">
      <w:pPr>
        <w:widowControl/>
        <w:spacing w:line="500" w:lineRule="exact"/>
        <w:ind w:firstLine="480" w:firstLineChars="200"/>
        <w:jc w:val="left"/>
        <w:rPr>
          <w:rFonts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8A6D6E8">
      <w:pPr>
        <w:widowControl/>
        <w:spacing w:line="500" w:lineRule="exact"/>
        <w:ind w:firstLine="480" w:firstLineChars="200"/>
        <w:jc w:val="left"/>
        <w:rPr>
          <w:rFonts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BAC4D48">
      <w:pPr>
        <w:widowControl/>
        <w:spacing w:line="500" w:lineRule="exact"/>
        <w:ind w:firstLine="480" w:firstLineChars="200"/>
        <w:jc w:val="left"/>
        <w:rPr>
          <w:rFonts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D5A4A89">
      <w:pPr>
        <w:widowControl/>
        <w:spacing w:line="500" w:lineRule="exact"/>
        <w:ind w:firstLine="480" w:firstLineChars="200"/>
        <w:jc w:val="left"/>
        <w:rPr>
          <w:rFonts w:hint="eastAsia" w:ascii="宋体" w:hAnsi="宋体" w:eastAsia="宋体" w:cs="Times New Roman"/>
          <w:color w:val="auto"/>
          <w:kern w:val="2"/>
          <w:sz w:val="24"/>
          <w:highlight w:val="none"/>
        </w:rPr>
      </w:pPr>
      <w:r>
        <w:rPr>
          <w:rFonts w:hint="eastAsia" w:ascii="宋体" w:hAnsi="宋体" w:eastAsia="宋体" w:cs="宋体"/>
          <w:color w:val="auto"/>
          <w:kern w:val="2"/>
          <w:sz w:val="24"/>
          <w:highlight w:val="none"/>
          <w:shd w:val="clear" w:color="auto" w:fill="FFFFFF"/>
        </w:rPr>
        <w:t>（十六）其他未列明行业。从业人员300人以下的为中小微型企业。其中，从业人员100人及以上的为中型企业；从业人员10人及以上的为小型企业；从业人员10人以下的为微型企业。</w:t>
      </w:r>
    </w:p>
    <w:p w14:paraId="42E8BB62">
      <w:pPr>
        <w:widowControl/>
        <w:spacing w:line="500" w:lineRule="exact"/>
        <w:ind w:firstLine="480" w:firstLineChars="200"/>
        <w:jc w:val="left"/>
        <w:outlineLvl w:val="1"/>
        <w:rPr>
          <w:rFonts w:hint="eastAsia" w:ascii="宋体" w:hAnsi="宋体" w:eastAsia="宋体" w:cs="Times New Roman"/>
          <w:color w:val="auto"/>
          <w:kern w:val="2"/>
          <w:sz w:val="24"/>
          <w:highlight w:val="none"/>
        </w:rPr>
      </w:pPr>
      <w:bookmarkStart w:id="182" w:name="_Toc26804"/>
      <w:bookmarkStart w:id="183" w:name="_Toc4712"/>
      <w:bookmarkStart w:id="184" w:name="_Toc32632"/>
      <w:bookmarkStart w:id="185" w:name="_Toc23545"/>
      <w:r>
        <w:rPr>
          <w:rFonts w:hint="eastAsia" w:ascii="宋体" w:hAnsi="宋体" w:eastAsia="宋体" w:cs="Times New Roman"/>
          <w:color w:val="auto"/>
          <w:kern w:val="2"/>
          <w:sz w:val="24"/>
          <w:highlight w:val="none"/>
        </w:rPr>
        <w:t>五、企业类型的划分以统计部门的统计数据为依据。</w:t>
      </w:r>
      <w:bookmarkEnd w:id="182"/>
      <w:bookmarkEnd w:id="183"/>
      <w:bookmarkEnd w:id="184"/>
      <w:bookmarkEnd w:id="185"/>
    </w:p>
    <w:p w14:paraId="4C0D7D93">
      <w:pPr>
        <w:widowControl/>
        <w:spacing w:line="500" w:lineRule="exact"/>
        <w:ind w:firstLine="480" w:firstLineChars="200"/>
        <w:jc w:val="left"/>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六、本规定适用于在中华人民共和国境内依法设立的各类所有制和各种组织形式的企业。个体工商户和本规定以外的行业，参照本规定进行划型。</w:t>
      </w:r>
    </w:p>
    <w:p w14:paraId="051A6C3A">
      <w:pPr>
        <w:widowControl/>
        <w:spacing w:line="500" w:lineRule="exact"/>
        <w:ind w:firstLine="480" w:firstLineChars="200"/>
        <w:jc w:val="left"/>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7B424B73">
      <w:pPr>
        <w:widowControl/>
        <w:spacing w:line="500" w:lineRule="exact"/>
        <w:ind w:firstLine="480" w:firstLineChars="200"/>
        <w:jc w:val="left"/>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八、本规定由工业和信息化部、国家统计局会同有关部门根据《国民经济行业分类》修订情况和企业发展变化情况适时修订。</w:t>
      </w:r>
    </w:p>
    <w:p w14:paraId="7C9C11E5">
      <w:pPr>
        <w:widowControl/>
        <w:spacing w:line="500" w:lineRule="exact"/>
        <w:ind w:firstLine="480" w:firstLineChars="200"/>
        <w:jc w:val="left"/>
        <w:rPr>
          <w:rFonts w:hint="eastAsia" w:ascii="宋体" w:hAnsi="宋体" w:eastAsia="宋体" w:cs="Times New Roman"/>
          <w:color w:val="auto"/>
          <w:kern w:val="2"/>
          <w:sz w:val="24"/>
          <w:highlight w:val="none"/>
        </w:rPr>
      </w:pPr>
      <w:bookmarkStart w:id="186" w:name="_Toc28194"/>
      <w:bookmarkStart w:id="187" w:name="_Toc22247"/>
      <w:r>
        <w:rPr>
          <w:rFonts w:hint="eastAsia" w:ascii="宋体" w:hAnsi="宋体" w:eastAsia="宋体" w:cs="Times New Roman"/>
          <w:color w:val="auto"/>
          <w:kern w:val="2"/>
          <w:sz w:val="24"/>
          <w:highlight w:val="none"/>
        </w:rPr>
        <w:t>九、本规定由工业和信息化部、国家统计局会同有关部门负责解释。</w:t>
      </w:r>
      <w:bookmarkEnd w:id="186"/>
      <w:bookmarkEnd w:id="187"/>
    </w:p>
    <w:p w14:paraId="0DBD6F43">
      <w:pPr>
        <w:bidi w:val="0"/>
        <w:rPr>
          <w:rFonts w:hint="eastAsia" w:ascii="Calibri" w:hAnsi="Calibri" w:eastAsia="宋体" w:cs="Times New Roman"/>
          <w:color w:val="auto"/>
          <w:szCs w:val="22"/>
          <w:highlight w:val="none"/>
          <w:lang w:eastAsia="zh-CN"/>
        </w:rPr>
      </w:pPr>
      <w:r>
        <w:rPr>
          <w:rFonts w:hint="eastAsia" w:ascii="宋体" w:hAnsi="宋体" w:eastAsia="宋体" w:cs="Times New Roman"/>
          <w:color w:val="auto"/>
          <w:kern w:val="2"/>
          <w:sz w:val="24"/>
          <w:highlight w:val="none"/>
        </w:rPr>
        <w:t>十、本规定自发布之日起执行，原国家经贸委、原国家计委、财政部和国家统计局2003年颁布的《中小企业标准暂行规定》同时废止。</w:t>
      </w:r>
    </w:p>
    <w:p w14:paraId="34A747EE">
      <w:pPr>
        <w:adjustRightInd w:val="0"/>
        <w:snapToGrid w:val="0"/>
        <w:spacing w:line="360" w:lineRule="auto"/>
        <w:rPr>
          <w:rFonts w:ascii="宋体" w:hAnsi="宋体" w:eastAsia="宋体" w:cs="宋体"/>
          <w:spacing w:val="6"/>
          <w:kern w:val="0"/>
          <w:sz w:val="24"/>
        </w:rPr>
      </w:pPr>
    </w:p>
    <w:p w14:paraId="2F0D8EF9">
      <w:pPr>
        <w:pStyle w:val="20"/>
        <w:ind w:left="0" w:leftChars="0" w:firstLine="0"/>
        <w:rPr>
          <w:rFonts w:ascii="宋体" w:hAnsi="宋体" w:cs="宋体"/>
          <w:color w:val="auto"/>
          <w:sz w:val="24"/>
          <w:szCs w:val="24"/>
        </w:rPr>
        <w:sectPr>
          <w:footerReference r:id="rId5" w:type="default"/>
          <w:pgSz w:w="11910" w:h="16840"/>
          <w:pgMar w:top="1440" w:right="1380" w:bottom="1780" w:left="1580" w:header="0" w:footer="1595" w:gutter="0"/>
          <w:pgNumType w:fmt="decimal"/>
          <w:cols w:space="720" w:num="1"/>
        </w:sectPr>
      </w:pPr>
    </w:p>
    <w:p w14:paraId="27A7689F">
      <w:pPr>
        <w:pageBreakBefore/>
        <w:rPr>
          <w:rFonts w:eastAsia="宋体"/>
          <w:sz w:val="28"/>
          <w:szCs w:val="28"/>
        </w:rPr>
      </w:pPr>
      <w:r>
        <w:rPr>
          <w:rFonts w:hint="eastAsia"/>
          <w:sz w:val="28"/>
          <w:szCs w:val="28"/>
        </w:rPr>
        <w:t>附件2</w:t>
      </w:r>
    </w:p>
    <w:p w14:paraId="5561CB0D">
      <w:pPr>
        <w:pStyle w:val="2"/>
        <w:numPr>
          <w:ilvl w:val="1"/>
          <w:numId w:val="0"/>
        </w:numPr>
        <w:tabs>
          <w:tab w:val="left" w:pos="840"/>
        </w:tabs>
        <w:jc w:val="center"/>
        <w:rPr>
          <w:rFonts w:hint="eastAsia" w:asciiTheme="minorEastAsia" w:hAnsiTheme="minorEastAsia" w:eastAsiaTheme="minorEastAsia" w:cstheme="minorEastAsia"/>
          <w:sz w:val="28"/>
          <w:szCs w:val="28"/>
          <w:lang w:val="zh-CN" w:eastAsia="zh-CN"/>
        </w:rPr>
      </w:pPr>
      <w:r>
        <w:rPr>
          <w:rFonts w:hint="eastAsia" w:asciiTheme="minorEastAsia" w:hAnsiTheme="minorEastAsia" w:eastAsiaTheme="minorEastAsia" w:cstheme="minorEastAsia"/>
          <w:sz w:val="28"/>
          <w:szCs w:val="28"/>
          <w:lang w:val="zh-CN"/>
        </w:rPr>
        <w:t>监狱企业</w:t>
      </w:r>
      <w:r>
        <w:rPr>
          <w:rFonts w:hint="eastAsia" w:asciiTheme="minorEastAsia" w:hAnsiTheme="minorEastAsia" w:eastAsiaTheme="minorEastAsia" w:cstheme="minorEastAsia"/>
          <w:sz w:val="28"/>
          <w:szCs w:val="28"/>
          <w:lang w:val="en-US" w:eastAsia="zh-CN"/>
        </w:rPr>
        <w:t>声明函</w:t>
      </w:r>
    </w:p>
    <w:p w14:paraId="4C993680">
      <w:pPr>
        <w:widowControl w:val="0"/>
        <w:spacing w:line="312" w:lineRule="auto"/>
        <w:ind w:left="480" w:hanging="480" w:hangingChars="200"/>
        <w:jc w:val="center"/>
        <w:rPr>
          <w:rFonts w:ascii="宋体" w:hAnsi="宋体" w:eastAsia="宋体" w:cs="宋体"/>
          <w:b/>
          <w:color w:val="auto"/>
          <w:spacing w:val="6"/>
          <w:kern w:val="2"/>
          <w:sz w:val="24"/>
          <w:szCs w:val="28"/>
          <w:highlight w:val="none"/>
        </w:rPr>
      </w:pPr>
      <w:r>
        <w:rPr>
          <w:rFonts w:hint="eastAsia" w:ascii="宋体" w:hAnsi="宋体" w:eastAsia="宋体" w:cs="宋体"/>
          <w:color w:val="auto"/>
          <w:kern w:val="2"/>
          <w:sz w:val="24"/>
          <w:szCs w:val="28"/>
          <w:highlight w:val="none"/>
        </w:rPr>
        <w:t>（属于监狱企业的填写，不属于的无需填写此项内容）</w:t>
      </w:r>
    </w:p>
    <w:p w14:paraId="2590269C">
      <w:pPr>
        <w:widowControl w:val="0"/>
        <w:snapToGrid w:val="0"/>
        <w:spacing w:line="312" w:lineRule="auto"/>
        <w:ind w:firstLine="480" w:firstLineChars="200"/>
        <w:jc w:val="both"/>
        <w:rPr>
          <w:rFonts w:ascii="宋体" w:hAnsi="宋体" w:eastAsia="宋体" w:cs="宋体"/>
          <w:color w:val="auto"/>
          <w:kern w:val="2"/>
          <w:sz w:val="24"/>
          <w:szCs w:val="28"/>
          <w:highlight w:val="none"/>
        </w:rPr>
      </w:pPr>
    </w:p>
    <w:p w14:paraId="79C44149">
      <w:pPr>
        <w:widowControl w:val="0"/>
        <w:snapToGrid w:val="0"/>
        <w:spacing w:line="312" w:lineRule="auto"/>
        <w:ind w:firstLine="480" w:firstLineChars="200"/>
        <w:jc w:val="both"/>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本企业（单位）郑重声明下列事项（按照实际情况填写）：</w:t>
      </w:r>
    </w:p>
    <w:p w14:paraId="365194FA">
      <w:pPr>
        <w:widowControl w:val="0"/>
        <w:snapToGrid w:val="0"/>
        <w:spacing w:line="312" w:lineRule="auto"/>
        <w:ind w:firstLine="480" w:firstLineChars="200"/>
        <w:jc w:val="both"/>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本企业（单位）为直接投标人提供本企业（单位）制造的货物。</w:t>
      </w:r>
    </w:p>
    <w:p w14:paraId="4FE3FEA8">
      <w:pPr>
        <w:widowControl w:val="0"/>
        <w:snapToGrid w:val="0"/>
        <w:spacing w:line="312" w:lineRule="auto"/>
        <w:ind w:firstLine="480" w:firstLineChars="200"/>
        <w:jc w:val="both"/>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（1）本企业（单位）_________（请填写：是、不是）监狱企业。后附省级以上监狱管理局、戒毒管理局（含新疆生产建设兵团）出具的属于监狱企业的证明文件。</w:t>
      </w:r>
    </w:p>
    <w:p w14:paraId="37491B6D">
      <w:pPr>
        <w:widowControl w:val="0"/>
        <w:snapToGrid w:val="0"/>
        <w:spacing w:line="312" w:lineRule="auto"/>
        <w:ind w:firstLine="480" w:firstLineChars="200"/>
        <w:jc w:val="both"/>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2）本企业（单位）_________（请填写：是、不是）为联合体一方，提供本企业（单位）制造的货物，由本企业（单位）承担工程、提供服务。本企业（单位）提供协议合同金额占到共同投标协议合同总金额的比例为。（非联合体投标，将本条删除。）</w:t>
      </w:r>
    </w:p>
    <w:p w14:paraId="4A63A005">
      <w:pPr>
        <w:widowControl w:val="0"/>
        <w:snapToGrid w:val="0"/>
        <w:spacing w:line="312" w:lineRule="auto"/>
        <w:ind w:firstLine="480" w:firstLineChars="200"/>
        <w:jc w:val="both"/>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本企业（单位）对上述声明的真实性负责。如有虚假，将依法承担相应责任。</w:t>
      </w:r>
    </w:p>
    <w:p w14:paraId="192E79D7">
      <w:pPr>
        <w:widowControl w:val="0"/>
        <w:snapToGrid w:val="0"/>
        <w:spacing w:line="312" w:lineRule="auto"/>
        <w:ind w:firstLine="480" w:firstLineChars="200"/>
        <w:jc w:val="both"/>
        <w:rPr>
          <w:rFonts w:ascii="宋体" w:hAnsi="宋体" w:eastAsia="宋体" w:cs="宋体"/>
          <w:color w:val="auto"/>
          <w:kern w:val="2"/>
          <w:sz w:val="24"/>
          <w:szCs w:val="28"/>
          <w:highlight w:val="none"/>
        </w:rPr>
      </w:pPr>
    </w:p>
    <w:p w14:paraId="3EB88A85">
      <w:pPr>
        <w:widowControl w:val="0"/>
        <w:snapToGrid w:val="0"/>
        <w:spacing w:line="312" w:lineRule="auto"/>
        <w:ind w:firstLine="480" w:firstLineChars="200"/>
        <w:jc w:val="both"/>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投标人名称：_________（企业电子签章）</w:t>
      </w:r>
    </w:p>
    <w:p w14:paraId="0A2A3706">
      <w:pPr>
        <w:widowControl w:val="0"/>
        <w:snapToGrid w:val="0"/>
        <w:spacing w:line="312" w:lineRule="auto"/>
        <w:ind w:firstLine="480" w:firstLineChars="200"/>
        <w:jc w:val="both"/>
        <w:rPr>
          <w:rFonts w:ascii="宋体" w:hAnsi="宋体" w:eastAsia="宋体" w:cs="宋体"/>
          <w:color w:val="auto"/>
          <w:kern w:val="2"/>
          <w:sz w:val="24"/>
          <w:szCs w:val="28"/>
          <w:highlight w:val="none"/>
        </w:rPr>
      </w:pPr>
    </w:p>
    <w:p w14:paraId="261F24F5">
      <w:pPr>
        <w:widowControl w:val="0"/>
        <w:snapToGrid w:val="0"/>
        <w:spacing w:line="312" w:lineRule="auto"/>
        <w:ind w:firstLine="480" w:firstLineChars="200"/>
        <w:jc w:val="both"/>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lang w:eastAsia="zh-CN"/>
        </w:rPr>
        <w:t>法定代表人（经营者）</w:t>
      </w:r>
      <w:r>
        <w:rPr>
          <w:rFonts w:hint="eastAsia" w:ascii="宋体" w:hAnsi="宋体" w:eastAsia="宋体" w:cs="宋体"/>
          <w:color w:val="auto"/>
          <w:kern w:val="2"/>
          <w:sz w:val="24"/>
          <w:szCs w:val="28"/>
          <w:highlight w:val="none"/>
        </w:rPr>
        <w:t>：_________（个人电子签章）</w:t>
      </w:r>
    </w:p>
    <w:p w14:paraId="2C1468A7">
      <w:pPr>
        <w:widowControl w:val="0"/>
        <w:snapToGrid w:val="0"/>
        <w:spacing w:line="312" w:lineRule="auto"/>
        <w:ind w:firstLine="480" w:firstLineChars="200"/>
        <w:jc w:val="both"/>
        <w:rPr>
          <w:rFonts w:ascii="宋体" w:hAnsi="宋体" w:eastAsia="宋体" w:cs="宋体"/>
          <w:color w:val="auto"/>
          <w:kern w:val="2"/>
          <w:sz w:val="24"/>
          <w:szCs w:val="28"/>
          <w:highlight w:val="none"/>
        </w:rPr>
      </w:pPr>
    </w:p>
    <w:p w14:paraId="29F73C22">
      <w:pPr>
        <w:widowControl w:val="0"/>
        <w:snapToGrid w:val="0"/>
        <w:spacing w:line="312" w:lineRule="auto"/>
        <w:ind w:firstLine="480" w:firstLineChars="200"/>
        <w:jc w:val="right"/>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日期：     年    月     日</w:t>
      </w:r>
    </w:p>
    <w:p w14:paraId="0686BC63">
      <w:pPr>
        <w:widowControl w:val="0"/>
        <w:spacing w:line="420" w:lineRule="auto"/>
        <w:ind w:left="2458" w:leftChars="942" w:hanging="480" w:hangingChars="200"/>
        <w:jc w:val="right"/>
        <w:rPr>
          <w:rFonts w:ascii="宋体" w:hAnsi="宋体" w:eastAsia="宋体" w:cs="楷体_GB2312"/>
          <w:color w:val="auto"/>
          <w:kern w:val="2"/>
          <w:sz w:val="24"/>
          <w:szCs w:val="28"/>
          <w:highlight w:val="none"/>
        </w:rPr>
      </w:pPr>
    </w:p>
    <w:p w14:paraId="4C71327D">
      <w:pPr>
        <w:widowControl w:val="0"/>
        <w:autoSpaceDE w:val="0"/>
        <w:autoSpaceDN w:val="0"/>
        <w:adjustRightInd w:val="0"/>
        <w:jc w:val="left"/>
        <w:rPr>
          <w:rFonts w:ascii="宋体" w:hAnsi="宋体" w:eastAsia="宋体" w:cs="宋体"/>
          <w:color w:val="auto"/>
          <w:kern w:val="0"/>
          <w:sz w:val="24"/>
          <w:szCs w:val="28"/>
          <w:highlight w:val="none"/>
        </w:rPr>
      </w:pPr>
      <w:r>
        <w:rPr>
          <w:rFonts w:hint="eastAsia" w:ascii="宋体" w:hAnsi="宋体" w:eastAsia="宋体" w:cs="黑体"/>
          <w:b/>
          <w:color w:val="auto"/>
          <w:kern w:val="0"/>
          <w:sz w:val="24"/>
          <w:szCs w:val="28"/>
          <w:highlight w:val="none"/>
        </w:rPr>
        <w:t>说明：符合要求的单位，按照上述格式进行填写；不属于监狱企业的无需填写此表。</w:t>
      </w:r>
    </w:p>
    <w:p w14:paraId="0FB9268E">
      <w:pPr>
        <w:spacing w:line="360" w:lineRule="auto"/>
        <w:jc w:val="center"/>
        <w:rPr>
          <w:b/>
          <w:bCs/>
          <w:kern w:val="36"/>
          <w:sz w:val="28"/>
          <w:szCs w:val="28"/>
        </w:rPr>
      </w:pPr>
    </w:p>
    <w:p w14:paraId="3FA73799">
      <w:pPr>
        <w:pStyle w:val="11"/>
        <w:ind w:left="1470" w:right="1470"/>
        <w:rPr>
          <w:b/>
          <w:bCs/>
          <w:kern w:val="36"/>
          <w:sz w:val="22"/>
          <w:szCs w:val="42"/>
        </w:rPr>
      </w:pPr>
    </w:p>
    <w:p w14:paraId="44AE75ED">
      <w:pPr>
        <w:pStyle w:val="11"/>
        <w:ind w:left="1470" w:right="1470"/>
        <w:rPr>
          <w:b/>
          <w:bCs/>
          <w:kern w:val="36"/>
          <w:sz w:val="22"/>
          <w:szCs w:val="42"/>
        </w:rPr>
      </w:pPr>
    </w:p>
    <w:p w14:paraId="40186136">
      <w:pPr>
        <w:pStyle w:val="11"/>
        <w:ind w:left="1470" w:right="1470"/>
        <w:rPr>
          <w:b/>
          <w:bCs/>
          <w:kern w:val="36"/>
          <w:sz w:val="22"/>
          <w:szCs w:val="42"/>
        </w:rPr>
      </w:pPr>
    </w:p>
    <w:p w14:paraId="427CB636">
      <w:pPr>
        <w:pStyle w:val="11"/>
        <w:ind w:left="1470" w:right="1470"/>
        <w:rPr>
          <w:b/>
          <w:bCs/>
          <w:kern w:val="36"/>
          <w:sz w:val="22"/>
          <w:szCs w:val="42"/>
        </w:rPr>
      </w:pPr>
    </w:p>
    <w:p w14:paraId="1EBC2EF1">
      <w:pPr>
        <w:pStyle w:val="11"/>
        <w:ind w:left="1470" w:right="1470"/>
        <w:rPr>
          <w:b/>
          <w:bCs/>
          <w:kern w:val="36"/>
          <w:sz w:val="22"/>
          <w:szCs w:val="42"/>
        </w:rPr>
      </w:pPr>
    </w:p>
    <w:p w14:paraId="3798EBCD">
      <w:pPr>
        <w:pStyle w:val="11"/>
        <w:ind w:left="1470" w:right="1470"/>
        <w:rPr>
          <w:b/>
          <w:bCs/>
          <w:kern w:val="36"/>
          <w:sz w:val="22"/>
          <w:szCs w:val="42"/>
        </w:rPr>
      </w:pPr>
    </w:p>
    <w:p w14:paraId="23CE6FC6">
      <w:pPr>
        <w:pStyle w:val="11"/>
        <w:ind w:left="1470" w:right="1470"/>
        <w:rPr>
          <w:b/>
          <w:bCs/>
          <w:kern w:val="36"/>
          <w:sz w:val="22"/>
          <w:szCs w:val="42"/>
        </w:rPr>
      </w:pPr>
    </w:p>
    <w:p w14:paraId="4CD9EA82">
      <w:pPr>
        <w:pageBreakBefore/>
        <w:rPr>
          <w:rFonts w:eastAsia="宋体"/>
          <w:sz w:val="28"/>
          <w:szCs w:val="28"/>
        </w:rPr>
      </w:pPr>
      <w:r>
        <w:rPr>
          <w:rFonts w:hint="eastAsia"/>
          <w:sz w:val="28"/>
          <w:szCs w:val="28"/>
        </w:rPr>
        <w:t>附件3</w:t>
      </w:r>
    </w:p>
    <w:p w14:paraId="1C306177">
      <w:pPr>
        <w:pStyle w:val="11"/>
        <w:spacing w:line="480" w:lineRule="exact"/>
        <w:ind w:left="0" w:leftChars="0" w:right="0" w:rightChars="0"/>
        <w:jc w:val="center"/>
        <w:rPr>
          <w:b/>
          <w:bCs/>
          <w:kern w:val="36"/>
          <w:sz w:val="28"/>
          <w:szCs w:val="28"/>
        </w:rPr>
      </w:pPr>
      <w:r>
        <w:rPr>
          <w:rFonts w:hint="eastAsia"/>
          <w:b/>
          <w:bCs/>
          <w:kern w:val="36"/>
          <w:sz w:val="28"/>
          <w:szCs w:val="28"/>
        </w:rPr>
        <w:t>残疾人福利性单位声明函（如有）</w:t>
      </w:r>
    </w:p>
    <w:p w14:paraId="32A05D85">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6"/>
          <w:sz w:val="24"/>
          <w:szCs w:val="24"/>
          <w:highlight w:val="none"/>
        </w:rPr>
        <w:t>号）的规定，本单位为符合条件的残疾人福利性单位，且本单位参加</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单位的</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3B752074">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664A0FDA">
      <w:pPr>
        <w:spacing w:line="360" w:lineRule="auto"/>
        <w:ind w:firstLine="504" w:firstLineChars="200"/>
        <w:rPr>
          <w:rFonts w:hint="eastAsia" w:ascii="宋体" w:hAnsi="宋体" w:eastAsia="宋体" w:cs="宋体"/>
          <w:color w:val="auto"/>
          <w:spacing w:val="6"/>
          <w:sz w:val="24"/>
          <w:szCs w:val="24"/>
          <w:highlight w:val="none"/>
        </w:rPr>
      </w:pPr>
    </w:p>
    <w:p w14:paraId="45855795">
      <w:pPr>
        <w:tabs>
          <w:tab w:val="left" w:pos="4860"/>
        </w:tabs>
        <w:spacing w:line="360" w:lineRule="auto"/>
        <w:ind w:right="1560" w:firstLine="504" w:firstLineChars="200"/>
        <w:jc w:val="center"/>
        <w:rPr>
          <w:rFonts w:hint="eastAsia" w:ascii="宋体" w:hAnsi="宋体" w:eastAsia="宋体" w:cs="宋体"/>
          <w:color w:val="auto"/>
          <w:spacing w:val="6"/>
          <w:sz w:val="24"/>
          <w:szCs w:val="24"/>
          <w:highlight w:val="none"/>
          <w:u w:val="single"/>
        </w:rPr>
      </w:pPr>
      <w:r>
        <w:rPr>
          <w:rFonts w:hint="eastAsia" w:ascii="宋体" w:hAnsi="宋体" w:eastAsia="宋体" w:cs="宋体"/>
          <w:color w:val="auto"/>
          <w:spacing w:val="6"/>
          <w:sz w:val="24"/>
          <w:szCs w:val="24"/>
          <w:highlight w:val="none"/>
        </w:rPr>
        <w:t xml:space="preserve">               单位名称（盖章）：</w:t>
      </w:r>
      <w:r>
        <w:rPr>
          <w:rFonts w:hint="eastAsia" w:ascii="宋体" w:hAnsi="宋体" w:eastAsia="宋体" w:cs="宋体"/>
          <w:color w:val="auto"/>
          <w:spacing w:val="6"/>
          <w:sz w:val="24"/>
          <w:szCs w:val="24"/>
          <w:highlight w:val="none"/>
          <w:u w:val="single"/>
        </w:rPr>
        <w:t xml:space="preserve">                </w:t>
      </w:r>
    </w:p>
    <w:p w14:paraId="275C9AFB">
      <w:pPr>
        <w:tabs>
          <w:tab w:val="left" w:pos="4860"/>
        </w:tabs>
        <w:spacing w:line="360" w:lineRule="auto"/>
        <w:ind w:right="156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  期：</w:t>
      </w:r>
    </w:p>
    <w:p w14:paraId="6802A4DC">
      <w:pPr>
        <w:pStyle w:val="14"/>
        <w:spacing w:line="360" w:lineRule="auto"/>
        <w:rPr>
          <w:kern w:val="36"/>
          <w:sz w:val="24"/>
        </w:rPr>
      </w:pPr>
    </w:p>
    <w:p w14:paraId="71BF5C40">
      <w:pPr>
        <w:widowControl/>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（提醒：如果供应商</w:t>
      </w:r>
      <w:r>
        <w:rPr>
          <w:rFonts w:hint="eastAsia" w:ascii="宋体" w:hAnsi="宋体" w:eastAsia="宋体" w:cs="宋体"/>
          <w:b/>
          <w:color w:val="auto"/>
          <w:spacing w:val="10"/>
          <w:kern w:val="0"/>
          <w:sz w:val="24"/>
          <w:szCs w:val="24"/>
          <w:highlight w:val="none"/>
        </w:rPr>
        <w:t>不是残疾人福利性单位</w:t>
      </w:r>
      <w:r>
        <w:rPr>
          <w:rFonts w:hint="eastAsia" w:ascii="宋体" w:hAnsi="宋体" w:eastAsia="宋体" w:cs="宋体"/>
          <w:b/>
          <w:color w:val="auto"/>
          <w:sz w:val="24"/>
          <w:szCs w:val="24"/>
          <w:highlight w:val="none"/>
        </w:rPr>
        <w:t>，则不需要提供《残疾人福利性单位声明函》。否则，因此导致虚假投标的后果由供应商自行承担。）</w:t>
      </w:r>
    </w:p>
    <w:p w14:paraId="70C65D0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《财政部民政部中国残疾人联合会关于促进残疾人就业政府采购政策的通知》（财库2017〔141〕号）的规定：</w:t>
      </w:r>
    </w:p>
    <w:p w14:paraId="420690D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享受政府采购支持政策的残疾人福利性单位应当同时满足以下条件：</w:t>
      </w:r>
    </w:p>
    <w:p w14:paraId="1F42781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（1）安置的残疾人占本单位在职职工人数的比例不低于25%（含25%），并且安置的残疾人人数不少于10人（含10人）；</w:t>
      </w:r>
    </w:p>
    <w:p w14:paraId="5DC83FC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（2）依法与安置的每位残疾人签订了一年以上（含一年）的劳动合同或服务协议；</w:t>
      </w:r>
    </w:p>
    <w:p w14:paraId="2C97BFD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（3）为安置的每位残疾人按月足额缴纳了基本养老保险、基本医疗保险、失业保险、工伤保险和生育保险等社会保险费；</w:t>
      </w:r>
    </w:p>
    <w:p w14:paraId="1C9F816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（4）通过银行等金融机构向安置的每位残疾人，按月支付了不低于单位所在区县适用的经省级人民政府批准的月最低工资标准的工资；</w:t>
      </w:r>
    </w:p>
    <w:p w14:paraId="1232322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（5）提供本单位制造的货物、承担的工程或者服务（以下简称产品），或者提供其他残疾人福利性单位制造的货物（不包括使用非残疾人福利性单位注册商标的货物）。</w:t>
      </w:r>
    </w:p>
    <w:p w14:paraId="631C3F4D">
      <w:pPr>
        <w:pStyle w:val="14"/>
        <w:spacing w:line="360" w:lineRule="auto"/>
        <w:rPr>
          <w:kern w:val="36"/>
          <w:sz w:val="24"/>
        </w:rPr>
      </w:pP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为残疾人福利性单位的，</w:t>
      </w:r>
      <w:r>
        <w:rPr>
          <w:rFonts w:hint="eastAsia" w:ascii="宋体" w:hAnsi="宋体" w:eastAsia="宋体" w:cs="宋体"/>
          <w:color w:val="auto"/>
          <w:sz w:val="24"/>
          <w:szCs w:val="24"/>
          <w:highlight w:val="none"/>
          <w:lang w:eastAsia="zh-CN"/>
        </w:rPr>
        <w:t>征集</w:t>
      </w:r>
      <w:r>
        <w:rPr>
          <w:rFonts w:hint="eastAsia" w:ascii="宋体" w:hAnsi="宋体" w:eastAsia="宋体" w:cs="宋体"/>
          <w:color w:val="auto"/>
          <w:sz w:val="24"/>
          <w:szCs w:val="24"/>
          <w:highlight w:val="none"/>
        </w:rPr>
        <w:t>人或者其委托的采购代理机构应当随</w:t>
      </w:r>
      <w:r>
        <w:rPr>
          <w:rFonts w:hint="eastAsia" w:ascii="宋体" w:hAnsi="宋体" w:eastAsia="宋体" w:cs="宋体"/>
          <w:color w:val="auto"/>
          <w:sz w:val="24"/>
          <w:szCs w:val="24"/>
          <w:highlight w:val="none"/>
          <w:lang w:eastAsia="zh-CN"/>
        </w:rPr>
        <w:t>入围</w:t>
      </w:r>
      <w:r>
        <w:rPr>
          <w:rFonts w:hint="eastAsia" w:ascii="宋体" w:hAnsi="宋体" w:eastAsia="宋体" w:cs="宋体"/>
          <w:color w:val="auto"/>
          <w:sz w:val="24"/>
          <w:szCs w:val="24"/>
          <w:highlight w:val="none"/>
        </w:rPr>
        <w:t xml:space="preserve">结果同时公告其《残疾人福利性单位声明函》，接受社会监督。   </w:t>
      </w:r>
    </w:p>
    <w:p w14:paraId="2868EF46">
      <w:pPr>
        <w:pStyle w:val="14"/>
        <w:spacing w:line="360" w:lineRule="auto"/>
        <w:rPr>
          <w:kern w:val="36"/>
          <w:sz w:val="24"/>
        </w:rPr>
      </w:pPr>
    </w:p>
    <w:p w14:paraId="16D0D09E">
      <w:pPr>
        <w:pStyle w:val="14"/>
        <w:spacing w:line="360" w:lineRule="auto"/>
        <w:rPr>
          <w:kern w:val="36"/>
          <w:sz w:val="24"/>
        </w:rPr>
      </w:pPr>
    </w:p>
    <w:p w14:paraId="07E5F490">
      <w:pPr>
        <w:pStyle w:val="14"/>
        <w:spacing w:line="360" w:lineRule="auto"/>
        <w:rPr>
          <w:kern w:val="36"/>
          <w:sz w:val="24"/>
        </w:rPr>
      </w:pPr>
    </w:p>
    <w:p w14:paraId="732443A3">
      <w:pPr>
        <w:pStyle w:val="14"/>
        <w:spacing w:line="360" w:lineRule="auto"/>
        <w:rPr>
          <w:kern w:val="36"/>
          <w:sz w:val="24"/>
        </w:rPr>
      </w:pPr>
    </w:p>
    <w:p w14:paraId="3A542A33">
      <w:pPr>
        <w:pStyle w:val="14"/>
        <w:spacing w:line="360" w:lineRule="auto"/>
        <w:rPr>
          <w:kern w:val="36"/>
          <w:sz w:val="24"/>
        </w:rPr>
      </w:pPr>
    </w:p>
    <w:sectPr>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MingLiU">
    <w:panose1 w:val="02020509000000000000"/>
    <w:charset w:val="88"/>
    <w:family w:val="modern"/>
    <w:pitch w:val="default"/>
    <w:sig w:usb0="A00002FF" w:usb1="28CFFCFA" w:usb2="00000016" w:usb3="00000000" w:csb0="00100001" w:csb1="00000000"/>
  </w:font>
  <w:font w:name="宋体-18030">
    <w:altName w:val="宋体"/>
    <w:panose1 w:val="00000000000000000000"/>
    <w:charset w:val="86"/>
    <w:family w:val="modern"/>
    <w:pitch w:val="default"/>
    <w:sig w:usb0="00000000" w:usb1="00000000" w:usb2="000A005E" w:usb3="00000000" w:csb0="00040001" w:csb1="00000000"/>
  </w:font>
  <w:font w:name="方正仿宋_GBK">
    <w:altName w:val="微软雅黑"/>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051D7">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45BED42">
                          <w:pPr>
                            <w:pStyle w:val="1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14:paraId="445BED42">
                    <w:pPr>
                      <w:pStyle w:val="1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4D991">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40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10C66D">
                          <w:pPr>
                            <w:pStyle w:val="14"/>
                          </w:pPr>
                          <w:r>
                            <w:fldChar w:fldCharType="begin"/>
                          </w:r>
                          <w:r>
                            <w:instrText xml:space="preserve"> PAGE  \* MERGEFORMAT </w:instrText>
                          </w:r>
                          <w:r>
                            <w:fldChar w:fldCharType="separate"/>
                          </w:r>
                          <w:r>
                            <w:t>59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zSVju0AAAAAUBAAAPAAAAAAAAAAEAIAAA&#10;ACIAAABkcnMvZG93bnJldi54bWxQSwECFAAUAAAACACHTuJAymsI39sBAAC2AwAADgAAAAAAAAAB&#10;ACAAAAAfAQAAZHJzL2Uyb0RvYy54bWxQSwUGAAAAAAYABgBZAQAAbAUAAAAA&#10;">
              <v:fill on="f" focussize="0,0"/>
              <v:stroke on="f" weight="0.5pt"/>
              <v:imagedata o:title=""/>
              <o:lock v:ext="edit" aspectratio="f"/>
              <v:textbox inset="0mm,0mm,0mm,0mm" style="mso-fit-shape-to-text:t;">
                <w:txbxContent>
                  <w:p w14:paraId="4610C66D">
                    <w:pPr>
                      <w:pStyle w:val="14"/>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D9E15">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7732289">
                          <w:pPr>
                            <w:pStyle w:val="14"/>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fill on="f" focussize="0,0"/>
              <v:stroke on="f" weight="0.5pt"/>
              <v:imagedata o:title=""/>
              <o:lock v:ext="edit" aspectratio="f"/>
              <v:textbox inset="0mm,0mm,0mm,0mm" style="mso-fit-shape-to-text:t;">
                <w:txbxContent>
                  <w:p w14:paraId="37732289">
                    <w:pPr>
                      <w:pStyle w:val="14"/>
                    </w:pPr>
                    <w:r>
                      <w:fldChar w:fldCharType="begin"/>
                    </w:r>
                    <w:r>
                      <w:instrText xml:space="preserve"> PAGE  \* MERGEFORMAT </w:instrText>
                    </w:r>
                    <w:r>
                      <w:fldChar w:fldCharType="separate"/>
                    </w:r>
                    <w:r>
                      <w:t>62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13348">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8A8398"/>
    <w:multiLevelType w:val="singleLevel"/>
    <w:tmpl w:val="8F8A8398"/>
    <w:lvl w:ilvl="0" w:tentative="0">
      <w:start w:val="1"/>
      <w:numFmt w:val="decimal"/>
      <w:lvlText w:val="%1."/>
      <w:lvlJc w:val="left"/>
      <w:pPr>
        <w:tabs>
          <w:tab w:val="left" w:pos="312"/>
        </w:tabs>
      </w:pPr>
    </w:lvl>
  </w:abstractNum>
  <w:abstractNum w:abstractNumId="1">
    <w:nsid w:val="A9C7A1F4"/>
    <w:multiLevelType w:val="singleLevel"/>
    <w:tmpl w:val="A9C7A1F4"/>
    <w:lvl w:ilvl="0" w:tentative="0">
      <w:start w:val="1"/>
      <w:numFmt w:val="decimal"/>
      <w:lvlText w:val="%1."/>
      <w:lvlJc w:val="left"/>
      <w:pPr>
        <w:tabs>
          <w:tab w:val="left" w:pos="312"/>
        </w:tabs>
      </w:pPr>
    </w:lvl>
  </w:abstractNum>
  <w:abstractNum w:abstractNumId="2">
    <w:nsid w:val="C79E5E8D"/>
    <w:multiLevelType w:val="singleLevel"/>
    <w:tmpl w:val="C79E5E8D"/>
    <w:lvl w:ilvl="0" w:tentative="0">
      <w:start w:val="1"/>
      <w:numFmt w:val="decimal"/>
      <w:lvlText w:val="%1."/>
      <w:lvlJc w:val="left"/>
      <w:pPr>
        <w:tabs>
          <w:tab w:val="left" w:pos="312"/>
        </w:tabs>
      </w:pPr>
    </w:lvl>
  </w:abstractNum>
  <w:abstractNum w:abstractNumId="3">
    <w:nsid w:val="CA0DDF9B"/>
    <w:multiLevelType w:val="singleLevel"/>
    <w:tmpl w:val="CA0DDF9B"/>
    <w:lvl w:ilvl="0" w:tentative="0">
      <w:start w:val="2"/>
      <w:numFmt w:val="chineseCounting"/>
      <w:suff w:val="nothing"/>
      <w:lvlText w:val="（%1）"/>
      <w:lvlJc w:val="left"/>
      <w:rPr>
        <w:rFonts w:hint="eastAsia"/>
      </w:rPr>
    </w:lvl>
  </w:abstractNum>
  <w:abstractNum w:abstractNumId="4">
    <w:nsid w:val="D23609D8"/>
    <w:multiLevelType w:val="singleLevel"/>
    <w:tmpl w:val="D23609D8"/>
    <w:lvl w:ilvl="0" w:tentative="0">
      <w:start w:val="2"/>
      <w:numFmt w:val="decimal"/>
      <w:suff w:val="nothing"/>
      <w:lvlText w:val="%1、"/>
      <w:lvlJc w:val="left"/>
    </w:lvl>
  </w:abstractNum>
  <w:abstractNum w:abstractNumId="5">
    <w:nsid w:val="D6CC2C1E"/>
    <w:multiLevelType w:val="singleLevel"/>
    <w:tmpl w:val="D6CC2C1E"/>
    <w:lvl w:ilvl="0" w:tentative="0">
      <w:start w:val="6"/>
      <w:numFmt w:val="decimal"/>
      <w:suff w:val="nothing"/>
      <w:lvlText w:val="（%1）"/>
      <w:lvlJc w:val="left"/>
    </w:lvl>
  </w:abstractNum>
  <w:abstractNum w:abstractNumId="6">
    <w:nsid w:val="F27C45A3"/>
    <w:multiLevelType w:val="singleLevel"/>
    <w:tmpl w:val="F27C45A3"/>
    <w:lvl w:ilvl="0" w:tentative="0">
      <w:start w:val="1"/>
      <w:numFmt w:val="decimal"/>
      <w:suff w:val="space"/>
      <w:lvlText w:val="%1."/>
      <w:lvlJc w:val="left"/>
    </w:lvl>
  </w:abstractNum>
  <w:abstractNum w:abstractNumId="7">
    <w:nsid w:val="F6D14886"/>
    <w:multiLevelType w:val="singleLevel"/>
    <w:tmpl w:val="F6D14886"/>
    <w:lvl w:ilvl="0" w:tentative="0">
      <w:start w:val="3"/>
      <w:numFmt w:val="chineseCounting"/>
      <w:suff w:val="nothing"/>
      <w:lvlText w:val="%1、"/>
      <w:lvlJc w:val="left"/>
      <w:rPr>
        <w:rFonts w:hint="eastAsia"/>
      </w:rPr>
    </w:lvl>
  </w:abstractNum>
  <w:abstractNum w:abstractNumId="8">
    <w:nsid w:val="F9C812F1"/>
    <w:multiLevelType w:val="singleLevel"/>
    <w:tmpl w:val="F9C812F1"/>
    <w:lvl w:ilvl="0" w:tentative="0">
      <w:start w:val="1"/>
      <w:numFmt w:val="decimal"/>
      <w:suff w:val="nothing"/>
      <w:lvlText w:val="（%1）"/>
      <w:lvlJc w:val="left"/>
    </w:lvl>
  </w:abstractNum>
  <w:abstractNum w:abstractNumId="9">
    <w:nsid w:val="0A915A81"/>
    <w:multiLevelType w:val="singleLevel"/>
    <w:tmpl w:val="0A915A81"/>
    <w:lvl w:ilvl="0" w:tentative="0">
      <w:start w:val="1"/>
      <w:numFmt w:val="decimal"/>
      <w:lvlText w:val="%1."/>
      <w:lvlJc w:val="left"/>
      <w:pPr>
        <w:tabs>
          <w:tab w:val="left" w:pos="312"/>
        </w:tabs>
      </w:pPr>
    </w:lvl>
  </w:abstractNum>
  <w:abstractNum w:abstractNumId="10">
    <w:nsid w:val="15BE4B79"/>
    <w:multiLevelType w:val="singleLevel"/>
    <w:tmpl w:val="15BE4B79"/>
    <w:lvl w:ilvl="0" w:tentative="0">
      <w:start w:val="3"/>
      <w:numFmt w:val="decimal"/>
      <w:suff w:val="space"/>
      <w:lvlText w:val="%1."/>
      <w:lvlJc w:val="left"/>
    </w:lvl>
  </w:abstractNum>
  <w:abstractNum w:abstractNumId="11">
    <w:nsid w:val="247117B6"/>
    <w:multiLevelType w:val="singleLevel"/>
    <w:tmpl w:val="247117B6"/>
    <w:lvl w:ilvl="0" w:tentative="0">
      <w:start w:val="2"/>
      <w:numFmt w:val="decimal"/>
      <w:suff w:val="nothing"/>
      <w:lvlText w:val="%1、"/>
      <w:lvlJc w:val="left"/>
    </w:lvl>
  </w:abstractNum>
  <w:abstractNum w:abstractNumId="12">
    <w:nsid w:val="257F2F97"/>
    <w:multiLevelType w:val="singleLevel"/>
    <w:tmpl w:val="257F2F97"/>
    <w:lvl w:ilvl="0" w:tentative="0">
      <w:start w:val="4"/>
      <w:numFmt w:val="chineseCounting"/>
      <w:suff w:val="space"/>
      <w:lvlText w:val="第%1章"/>
      <w:lvlJc w:val="left"/>
      <w:rPr>
        <w:rFonts w:hint="eastAsia"/>
      </w:rPr>
    </w:lvl>
  </w:abstractNum>
  <w:abstractNum w:abstractNumId="13">
    <w:nsid w:val="298AF2D8"/>
    <w:multiLevelType w:val="singleLevel"/>
    <w:tmpl w:val="298AF2D8"/>
    <w:lvl w:ilvl="0" w:tentative="0">
      <w:start w:val="1"/>
      <w:numFmt w:val="decimal"/>
      <w:lvlText w:val="%1."/>
      <w:lvlJc w:val="left"/>
      <w:pPr>
        <w:tabs>
          <w:tab w:val="left" w:pos="312"/>
        </w:tabs>
      </w:pPr>
    </w:lvl>
  </w:abstractNum>
  <w:abstractNum w:abstractNumId="14">
    <w:nsid w:val="30E055EC"/>
    <w:multiLevelType w:val="singleLevel"/>
    <w:tmpl w:val="30E055EC"/>
    <w:lvl w:ilvl="0" w:tentative="0">
      <w:start w:val="1"/>
      <w:numFmt w:val="decimal"/>
      <w:lvlText w:val="%1."/>
      <w:lvlJc w:val="left"/>
      <w:pPr>
        <w:tabs>
          <w:tab w:val="left" w:pos="312"/>
        </w:tabs>
      </w:pPr>
    </w:lvl>
  </w:abstractNum>
  <w:abstractNum w:abstractNumId="15">
    <w:nsid w:val="35D3902C"/>
    <w:multiLevelType w:val="singleLevel"/>
    <w:tmpl w:val="35D3902C"/>
    <w:lvl w:ilvl="0" w:tentative="0">
      <w:start w:val="1"/>
      <w:numFmt w:val="decimal"/>
      <w:suff w:val="nothing"/>
      <w:lvlText w:val="%1、"/>
      <w:lvlJc w:val="left"/>
    </w:lvl>
  </w:abstractNum>
  <w:abstractNum w:abstractNumId="16">
    <w:nsid w:val="481DA83E"/>
    <w:multiLevelType w:val="singleLevel"/>
    <w:tmpl w:val="481DA83E"/>
    <w:lvl w:ilvl="0" w:tentative="0">
      <w:start w:val="2"/>
      <w:numFmt w:val="decimal"/>
      <w:suff w:val="nothing"/>
      <w:lvlText w:val="%1、"/>
      <w:lvlJc w:val="left"/>
    </w:lvl>
  </w:abstractNum>
  <w:abstractNum w:abstractNumId="17">
    <w:nsid w:val="4E4D4F62"/>
    <w:multiLevelType w:val="singleLevel"/>
    <w:tmpl w:val="4E4D4F62"/>
    <w:lvl w:ilvl="0" w:tentative="0">
      <w:start w:val="1"/>
      <w:numFmt w:val="decimal"/>
      <w:lvlText w:val="%1."/>
      <w:lvlJc w:val="left"/>
      <w:pPr>
        <w:tabs>
          <w:tab w:val="left" w:pos="312"/>
        </w:tabs>
      </w:pPr>
    </w:lvl>
  </w:abstractNum>
  <w:abstractNum w:abstractNumId="18">
    <w:nsid w:val="68237E89"/>
    <w:multiLevelType w:val="singleLevel"/>
    <w:tmpl w:val="68237E89"/>
    <w:lvl w:ilvl="0" w:tentative="0">
      <w:start w:val="6"/>
      <w:numFmt w:val="decimal"/>
      <w:suff w:val="nothing"/>
      <w:lvlText w:val="%1、"/>
      <w:lvlJc w:val="left"/>
    </w:lvl>
  </w:abstractNum>
  <w:abstractNum w:abstractNumId="19">
    <w:nsid w:val="6A4F9DFD"/>
    <w:multiLevelType w:val="singleLevel"/>
    <w:tmpl w:val="6A4F9DFD"/>
    <w:lvl w:ilvl="0" w:tentative="0">
      <w:start w:val="1"/>
      <w:numFmt w:val="decimal"/>
      <w:lvlText w:val="%1."/>
      <w:lvlJc w:val="left"/>
      <w:pPr>
        <w:tabs>
          <w:tab w:val="left" w:pos="312"/>
        </w:tabs>
      </w:pPr>
    </w:lvl>
  </w:abstractNum>
  <w:abstractNum w:abstractNumId="20">
    <w:nsid w:val="6B500569"/>
    <w:multiLevelType w:val="singleLevel"/>
    <w:tmpl w:val="6B500569"/>
    <w:lvl w:ilvl="0" w:tentative="0">
      <w:start w:val="1"/>
      <w:numFmt w:val="decimal"/>
      <w:lvlText w:val="%1."/>
      <w:lvlJc w:val="left"/>
      <w:pPr>
        <w:tabs>
          <w:tab w:val="left" w:pos="312"/>
        </w:tabs>
      </w:pPr>
    </w:lvl>
  </w:abstractNum>
  <w:abstractNum w:abstractNumId="21">
    <w:nsid w:val="758C7DF3"/>
    <w:multiLevelType w:val="singleLevel"/>
    <w:tmpl w:val="758C7DF3"/>
    <w:lvl w:ilvl="0" w:tentative="0">
      <w:start w:val="1"/>
      <w:numFmt w:val="decimal"/>
      <w:lvlText w:val="%1."/>
      <w:lvlJc w:val="left"/>
      <w:pPr>
        <w:tabs>
          <w:tab w:val="left" w:pos="312"/>
        </w:tabs>
      </w:pPr>
    </w:lvl>
  </w:abstractNum>
  <w:num w:numId="1">
    <w:abstractNumId w:val="18"/>
  </w:num>
  <w:num w:numId="2">
    <w:abstractNumId w:val="16"/>
  </w:num>
  <w:num w:numId="3">
    <w:abstractNumId w:val="5"/>
  </w:num>
  <w:num w:numId="4">
    <w:abstractNumId w:val="8"/>
  </w:num>
  <w:num w:numId="5">
    <w:abstractNumId w:val="15"/>
  </w:num>
  <w:num w:numId="6">
    <w:abstractNumId w:val="9"/>
  </w:num>
  <w:num w:numId="7">
    <w:abstractNumId w:val="13"/>
  </w:num>
  <w:num w:numId="8">
    <w:abstractNumId w:val="17"/>
  </w:num>
  <w:num w:numId="9">
    <w:abstractNumId w:val="19"/>
  </w:num>
  <w:num w:numId="10">
    <w:abstractNumId w:val="21"/>
  </w:num>
  <w:num w:numId="11">
    <w:abstractNumId w:val="2"/>
  </w:num>
  <w:num w:numId="12">
    <w:abstractNumId w:val="0"/>
  </w:num>
  <w:num w:numId="13">
    <w:abstractNumId w:val="14"/>
  </w:num>
  <w:num w:numId="14">
    <w:abstractNumId w:val="1"/>
  </w:num>
  <w:num w:numId="15">
    <w:abstractNumId w:val="20"/>
  </w:num>
  <w:num w:numId="16">
    <w:abstractNumId w:val="12"/>
  </w:num>
  <w:num w:numId="17">
    <w:abstractNumId w:val="7"/>
  </w:num>
  <w:num w:numId="18">
    <w:abstractNumId w:val="4"/>
  </w:num>
  <w:num w:numId="19">
    <w:abstractNumId w:val="11"/>
  </w:num>
  <w:num w:numId="20">
    <w:abstractNumId w:val="10"/>
  </w:num>
  <w:num w:numId="21">
    <w:abstractNumId w:val="3"/>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hLeX6IlkHEO08C1Dno+OCFroT/s=" w:salt="bG4jkKcs+le8Qe7PRFER5Q=="/>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57F"/>
    <w:rsid w:val="00575993"/>
    <w:rsid w:val="006E51A5"/>
    <w:rsid w:val="00714B91"/>
    <w:rsid w:val="008075A2"/>
    <w:rsid w:val="0087167F"/>
    <w:rsid w:val="009D15DF"/>
    <w:rsid w:val="009E757F"/>
    <w:rsid w:val="00AD4305"/>
    <w:rsid w:val="00B46918"/>
    <w:rsid w:val="00CF1A09"/>
    <w:rsid w:val="00D66075"/>
    <w:rsid w:val="00D92260"/>
    <w:rsid w:val="00E767A4"/>
    <w:rsid w:val="00FB79EE"/>
    <w:rsid w:val="01984B01"/>
    <w:rsid w:val="025B4AD9"/>
    <w:rsid w:val="03844968"/>
    <w:rsid w:val="0394079A"/>
    <w:rsid w:val="0399281C"/>
    <w:rsid w:val="047F2D99"/>
    <w:rsid w:val="049E325B"/>
    <w:rsid w:val="04D53AE6"/>
    <w:rsid w:val="052A2F63"/>
    <w:rsid w:val="056A3A4A"/>
    <w:rsid w:val="059211F2"/>
    <w:rsid w:val="05C67A45"/>
    <w:rsid w:val="06034FE3"/>
    <w:rsid w:val="06936FD0"/>
    <w:rsid w:val="06970224"/>
    <w:rsid w:val="06986394"/>
    <w:rsid w:val="069A65B0"/>
    <w:rsid w:val="06C40A7C"/>
    <w:rsid w:val="06E4782C"/>
    <w:rsid w:val="07247C28"/>
    <w:rsid w:val="0728572E"/>
    <w:rsid w:val="08394C0F"/>
    <w:rsid w:val="09166672"/>
    <w:rsid w:val="094927E6"/>
    <w:rsid w:val="0A03621B"/>
    <w:rsid w:val="0A1C5739"/>
    <w:rsid w:val="0A833B0A"/>
    <w:rsid w:val="0B0C10FF"/>
    <w:rsid w:val="0B4500E7"/>
    <w:rsid w:val="0C142961"/>
    <w:rsid w:val="0C8013C6"/>
    <w:rsid w:val="0CE82E9F"/>
    <w:rsid w:val="0D6760E8"/>
    <w:rsid w:val="0D682B88"/>
    <w:rsid w:val="0E19425F"/>
    <w:rsid w:val="0ECC21BA"/>
    <w:rsid w:val="0F5A14BD"/>
    <w:rsid w:val="0FAA03E3"/>
    <w:rsid w:val="0FE67F22"/>
    <w:rsid w:val="0FFF2EBC"/>
    <w:rsid w:val="10231F70"/>
    <w:rsid w:val="10385E15"/>
    <w:rsid w:val="10584B86"/>
    <w:rsid w:val="112A22DF"/>
    <w:rsid w:val="11460BA2"/>
    <w:rsid w:val="114A0BD3"/>
    <w:rsid w:val="114E63FB"/>
    <w:rsid w:val="12394ECF"/>
    <w:rsid w:val="12694AAA"/>
    <w:rsid w:val="12896799"/>
    <w:rsid w:val="129F0AAB"/>
    <w:rsid w:val="12D270D2"/>
    <w:rsid w:val="12F859BA"/>
    <w:rsid w:val="141D6640"/>
    <w:rsid w:val="144162BD"/>
    <w:rsid w:val="147379ED"/>
    <w:rsid w:val="1497793C"/>
    <w:rsid w:val="15E23E69"/>
    <w:rsid w:val="16106529"/>
    <w:rsid w:val="162163A6"/>
    <w:rsid w:val="16612B3B"/>
    <w:rsid w:val="173B5615"/>
    <w:rsid w:val="180807A3"/>
    <w:rsid w:val="18722055"/>
    <w:rsid w:val="18904D76"/>
    <w:rsid w:val="18981B83"/>
    <w:rsid w:val="18AC422A"/>
    <w:rsid w:val="18C272A1"/>
    <w:rsid w:val="1942379C"/>
    <w:rsid w:val="19650358"/>
    <w:rsid w:val="19B47531"/>
    <w:rsid w:val="1A5B218C"/>
    <w:rsid w:val="1A82037F"/>
    <w:rsid w:val="1A9940EB"/>
    <w:rsid w:val="1AF126DD"/>
    <w:rsid w:val="1BBA3594"/>
    <w:rsid w:val="1C136791"/>
    <w:rsid w:val="1C3404B6"/>
    <w:rsid w:val="1C805614"/>
    <w:rsid w:val="1C99656B"/>
    <w:rsid w:val="1CA05B4B"/>
    <w:rsid w:val="1CB2711E"/>
    <w:rsid w:val="1CEC2B3E"/>
    <w:rsid w:val="1D4806BC"/>
    <w:rsid w:val="1D4870A6"/>
    <w:rsid w:val="1D8677F8"/>
    <w:rsid w:val="1DD653E5"/>
    <w:rsid w:val="1DD957B9"/>
    <w:rsid w:val="1DF47EFC"/>
    <w:rsid w:val="1EB45BC4"/>
    <w:rsid w:val="1EC23A92"/>
    <w:rsid w:val="1F1D7927"/>
    <w:rsid w:val="1F9835FA"/>
    <w:rsid w:val="1FA613AA"/>
    <w:rsid w:val="1FF73572"/>
    <w:rsid w:val="1FFC578E"/>
    <w:rsid w:val="201963A7"/>
    <w:rsid w:val="20D34741"/>
    <w:rsid w:val="21DF2C72"/>
    <w:rsid w:val="22761828"/>
    <w:rsid w:val="22AA60A6"/>
    <w:rsid w:val="22E04EF3"/>
    <w:rsid w:val="22EA2BFC"/>
    <w:rsid w:val="236E69A3"/>
    <w:rsid w:val="23D32A15"/>
    <w:rsid w:val="23F450EF"/>
    <w:rsid w:val="24C525F3"/>
    <w:rsid w:val="24D4701B"/>
    <w:rsid w:val="24F24C41"/>
    <w:rsid w:val="25021BC4"/>
    <w:rsid w:val="25A42208"/>
    <w:rsid w:val="25FD4869"/>
    <w:rsid w:val="26B313B3"/>
    <w:rsid w:val="2726312B"/>
    <w:rsid w:val="280653D2"/>
    <w:rsid w:val="283755B5"/>
    <w:rsid w:val="28DA4193"/>
    <w:rsid w:val="29363ABF"/>
    <w:rsid w:val="294949C1"/>
    <w:rsid w:val="29526F4B"/>
    <w:rsid w:val="29527256"/>
    <w:rsid w:val="2A0E67EA"/>
    <w:rsid w:val="2A375D41"/>
    <w:rsid w:val="2A8820F8"/>
    <w:rsid w:val="2ADB7865"/>
    <w:rsid w:val="2B465B0F"/>
    <w:rsid w:val="2B500B79"/>
    <w:rsid w:val="2B514DDE"/>
    <w:rsid w:val="2C610E53"/>
    <w:rsid w:val="2C672279"/>
    <w:rsid w:val="2D0E4409"/>
    <w:rsid w:val="2D131DF4"/>
    <w:rsid w:val="2D4E5A09"/>
    <w:rsid w:val="2DAC0A59"/>
    <w:rsid w:val="2E27375D"/>
    <w:rsid w:val="2E3F6F72"/>
    <w:rsid w:val="2EDA313F"/>
    <w:rsid w:val="2EDF2503"/>
    <w:rsid w:val="2EFF3C8C"/>
    <w:rsid w:val="2F414F6C"/>
    <w:rsid w:val="2FEF392B"/>
    <w:rsid w:val="2FF95D19"/>
    <w:rsid w:val="300202B2"/>
    <w:rsid w:val="30506E25"/>
    <w:rsid w:val="30BD5973"/>
    <w:rsid w:val="30FF7CDA"/>
    <w:rsid w:val="31E54437"/>
    <w:rsid w:val="32364B30"/>
    <w:rsid w:val="32C17E4B"/>
    <w:rsid w:val="33292B1C"/>
    <w:rsid w:val="35721AE4"/>
    <w:rsid w:val="36D4587D"/>
    <w:rsid w:val="37E81E4B"/>
    <w:rsid w:val="38080D1C"/>
    <w:rsid w:val="38934A8A"/>
    <w:rsid w:val="39777BB3"/>
    <w:rsid w:val="39D62AD1"/>
    <w:rsid w:val="3A2B3769"/>
    <w:rsid w:val="3A683CF4"/>
    <w:rsid w:val="3A6A7A6C"/>
    <w:rsid w:val="3A9C399E"/>
    <w:rsid w:val="3AEF1D20"/>
    <w:rsid w:val="3BA53D60"/>
    <w:rsid w:val="3BB05953"/>
    <w:rsid w:val="3C7E77FF"/>
    <w:rsid w:val="3D1E2E1E"/>
    <w:rsid w:val="3D7824A0"/>
    <w:rsid w:val="3D956BAE"/>
    <w:rsid w:val="3DC96858"/>
    <w:rsid w:val="3DFF227A"/>
    <w:rsid w:val="3E6B0D94"/>
    <w:rsid w:val="3E974BA8"/>
    <w:rsid w:val="3F1F4B7D"/>
    <w:rsid w:val="3F2B709E"/>
    <w:rsid w:val="3FA330D9"/>
    <w:rsid w:val="3FCC0881"/>
    <w:rsid w:val="405C1C05"/>
    <w:rsid w:val="40B86738"/>
    <w:rsid w:val="41A07BE8"/>
    <w:rsid w:val="41D37CA5"/>
    <w:rsid w:val="42CA3174"/>
    <w:rsid w:val="470E6AAB"/>
    <w:rsid w:val="47280A93"/>
    <w:rsid w:val="475C24EB"/>
    <w:rsid w:val="48157AE6"/>
    <w:rsid w:val="48727D3D"/>
    <w:rsid w:val="48B034E1"/>
    <w:rsid w:val="48E855EF"/>
    <w:rsid w:val="495055F7"/>
    <w:rsid w:val="4A6718D3"/>
    <w:rsid w:val="4AFD5D93"/>
    <w:rsid w:val="4B95421D"/>
    <w:rsid w:val="4BB60F6D"/>
    <w:rsid w:val="4C0A07FC"/>
    <w:rsid w:val="4D376607"/>
    <w:rsid w:val="4D534390"/>
    <w:rsid w:val="4DC763AF"/>
    <w:rsid w:val="4DD2484C"/>
    <w:rsid w:val="4DFF311A"/>
    <w:rsid w:val="4E352B5E"/>
    <w:rsid w:val="4E616639"/>
    <w:rsid w:val="4FA47125"/>
    <w:rsid w:val="512609C2"/>
    <w:rsid w:val="519578E5"/>
    <w:rsid w:val="51EE6435"/>
    <w:rsid w:val="527F1783"/>
    <w:rsid w:val="5287700B"/>
    <w:rsid w:val="5305333E"/>
    <w:rsid w:val="53C25617"/>
    <w:rsid w:val="547277F2"/>
    <w:rsid w:val="54A75D58"/>
    <w:rsid w:val="54BA2C46"/>
    <w:rsid w:val="54BE59BB"/>
    <w:rsid w:val="54FB6A1D"/>
    <w:rsid w:val="550F3292"/>
    <w:rsid w:val="55280719"/>
    <w:rsid w:val="55B21E97"/>
    <w:rsid w:val="55F72AF6"/>
    <w:rsid w:val="56B8064D"/>
    <w:rsid w:val="57517B92"/>
    <w:rsid w:val="58523BC2"/>
    <w:rsid w:val="58737694"/>
    <w:rsid w:val="587F332E"/>
    <w:rsid w:val="58825B29"/>
    <w:rsid w:val="588C0756"/>
    <w:rsid w:val="58981391"/>
    <w:rsid w:val="58E14F46"/>
    <w:rsid w:val="59F111B9"/>
    <w:rsid w:val="5A2126FC"/>
    <w:rsid w:val="5A4A08C9"/>
    <w:rsid w:val="5A6D6C90"/>
    <w:rsid w:val="5AA131CC"/>
    <w:rsid w:val="5AA4447D"/>
    <w:rsid w:val="5B5E63DA"/>
    <w:rsid w:val="5BC052E6"/>
    <w:rsid w:val="5CF36FF6"/>
    <w:rsid w:val="5D011940"/>
    <w:rsid w:val="5DF27AF2"/>
    <w:rsid w:val="5E3478C6"/>
    <w:rsid w:val="5E742C05"/>
    <w:rsid w:val="5F4668F4"/>
    <w:rsid w:val="5F5C63AA"/>
    <w:rsid w:val="5F7206A6"/>
    <w:rsid w:val="5FA8056B"/>
    <w:rsid w:val="5FBA0699"/>
    <w:rsid w:val="60E86C75"/>
    <w:rsid w:val="61A13C8C"/>
    <w:rsid w:val="625A5E14"/>
    <w:rsid w:val="632C14B3"/>
    <w:rsid w:val="63B12D02"/>
    <w:rsid w:val="63D11782"/>
    <w:rsid w:val="63D735BF"/>
    <w:rsid w:val="64C61C79"/>
    <w:rsid w:val="64E062C8"/>
    <w:rsid w:val="654F4FE5"/>
    <w:rsid w:val="65C15EE3"/>
    <w:rsid w:val="65EE0CA2"/>
    <w:rsid w:val="66061B48"/>
    <w:rsid w:val="667E5B82"/>
    <w:rsid w:val="6715492B"/>
    <w:rsid w:val="67AB0BF9"/>
    <w:rsid w:val="67BD6C63"/>
    <w:rsid w:val="68D67EF7"/>
    <w:rsid w:val="6915329E"/>
    <w:rsid w:val="69653DB6"/>
    <w:rsid w:val="69657E5B"/>
    <w:rsid w:val="69734257"/>
    <w:rsid w:val="6A0817F1"/>
    <w:rsid w:val="6A0B3BD1"/>
    <w:rsid w:val="6A0C1250"/>
    <w:rsid w:val="6A270CE0"/>
    <w:rsid w:val="6A530145"/>
    <w:rsid w:val="6B020CE6"/>
    <w:rsid w:val="6BCB4AEC"/>
    <w:rsid w:val="6D99333A"/>
    <w:rsid w:val="6E673DAF"/>
    <w:rsid w:val="6ECD7ACB"/>
    <w:rsid w:val="70BC197A"/>
    <w:rsid w:val="70E92792"/>
    <w:rsid w:val="70EC47EB"/>
    <w:rsid w:val="71002309"/>
    <w:rsid w:val="72F83160"/>
    <w:rsid w:val="7324707C"/>
    <w:rsid w:val="7371144C"/>
    <w:rsid w:val="737A5A6D"/>
    <w:rsid w:val="73FD7BE9"/>
    <w:rsid w:val="74875B1A"/>
    <w:rsid w:val="7494009E"/>
    <w:rsid w:val="74BB4445"/>
    <w:rsid w:val="74E27C24"/>
    <w:rsid w:val="76966F18"/>
    <w:rsid w:val="774C5829"/>
    <w:rsid w:val="77EB3293"/>
    <w:rsid w:val="77F1209D"/>
    <w:rsid w:val="77F42595"/>
    <w:rsid w:val="784A620C"/>
    <w:rsid w:val="786077DD"/>
    <w:rsid w:val="789F5518"/>
    <w:rsid w:val="791368B8"/>
    <w:rsid w:val="798412AA"/>
    <w:rsid w:val="79867B4E"/>
    <w:rsid w:val="79E65289"/>
    <w:rsid w:val="7A3A18E3"/>
    <w:rsid w:val="7B007056"/>
    <w:rsid w:val="7B63282F"/>
    <w:rsid w:val="7BAD12DF"/>
    <w:rsid w:val="7BF274D9"/>
    <w:rsid w:val="7C151E93"/>
    <w:rsid w:val="7C314BAC"/>
    <w:rsid w:val="7C5A799A"/>
    <w:rsid w:val="7CAA54CB"/>
    <w:rsid w:val="7CDE5175"/>
    <w:rsid w:val="7DBF6F5E"/>
    <w:rsid w:val="7DE23D95"/>
    <w:rsid w:val="7DEE7639"/>
    <w:rsid w:val="7DEF06C0"/>
    <w:rsid w:val="7E3F0FBB"/>
    <w:rsid w:val="7EB75D29"/>
    <w:rsid w:val="7ED11564"/>
    <w:rsid w:val="7EDA418D"/>
    <w:rsid w:val="7F794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qFormat="1" w:unhideWhenUsed="0" w:uiPriority="99"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2">
    <w:name w:val="heading 2"/>
    <w:basedOn w:val="1"/>
    <w:next w:val="1"/>
    <w:qFormat/>
    <w:uiPriority w:val="99"/>
    <w:pPr>
      <w:keepNext/>
      <w:keepLines/>
      <w:spacing w:before="260" w:after="260" w:line="415" w:lineRule="auto"/>
      <w:outlineLvl w:val="1"/>
    </w:pPr>
    <w:rPr>
      <w:rFonts w:ascii="Arial" w:hAnsi="Arial" w:eastAsia="黑体"/>
      <w:b/>
      <w:sz w:val="32"/>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0"/>
    <w:pPr>
      <w:spacing w:before="152" w:after="160"/>
    </w:pPr>
    <w:rPr>
      <w:rFonts w:ascii="Arial" w:hAnsi="Arial" w:eastAsia="黑体" w:cs="Arial"/>
      <w:color w:val="000000"/>
      <w:sz w:val="32"/>
      <w:szCs w:val="20"/>
    </w:rPr>
  </w:style>
  <w:style w:type="paragraph" w:styleId="6">
    <w:name w:val="Document Map"/>
    <w:basedOn w:val="1"/>
    <w:link w:val="47"/>
    <w:qFormat/>
    <w:uiPriority w:val="0"/>
    <w:rPr>
      <w:rFonts w:ascii="宋体" w:eastAsia="宋体"/>
      <w:sz w:val="18"/>
      <w:szCs w:val="18"/>
    </w:rPr>
  </w:style>
  <w:style w:type="paragraph" w:styleId="7">
    <w:name w:val="annotation text"/>
    <w:basedOn w:val="1"/>
    <w:link w:val="44"/>
    <w:qFormat/>
    <w:uiPriority w:val="0"/>
    <w:pPr>
      <w:jc w:val="left"/>
    </w:pPr>
  </w:style>
  <w:style w:type="paragraph" w:styleId="8">
    <w:name w:val="Body Text"/>
    <w:basedOn w:val="1"/>
    <w:qFormat/>
    <w:uiPriority w:val="0"/>
  </w:style>
  <w:style w:type="paragraph" w:styleId="9">
    <w:name w:val="Body Text Indent"/>
    <w:basedOn w:val="1"/>
    <w:next w:val="10"/>
    <w:qFormat/>
    <w:uiPriority w:val="99"/>
    <w:pPr>
      <w:spacing w:after="120"/>
      <w:ind w:left="420" w:leftChars="200"/>
    </w:pPr>
    <w:rPr>
      <w:rFonts w:ascii="Calibri" w:hAnsi="Calibri"/>
      <w:sz w:val="30"/>
      <w:szCs w:val="22"/>
    </w:rPr>
  </w:style>
  <w:style w:type="paragraph" w:styleId="10">
    <w:name w:val="envelope return"/>
    <w:basedOn w:val="1"/>
    <w:unhideWhenUsed/>
    <w:qFormat/>
    <w:uiPriority w:val="99"/>
    <w:pPr>
      <w:snapToGrid w:val="0"/>
    </w:pPr>
    <w:rPr>
      <w:rFonts w:ascii="等线 Light" w:hAnsi="等线 Light" w:eastAsia="等线 Light"/>
    </w:rPr>
  </w:style>
  <w:style w:type="paragraph" w:styleId="11">
    <w:name w:val="Block Text"/>
    <w:basedOn w:val="1"/>
    <w:qFormat/>
    <w:uiPriority w:val="99"/>
    <w:pPr>
      <w:spacing w:after="120"/>
      <w:ind w:left="1440" w:leftChars="700" w:right="1440" w:rightChars="700"/>
    </w:pPr>
  </w:style>
  <w:style w:type="paragraph" w:styleId="12">
    <w:name w:val="Body Text Indent 2"/>
    <w:basedOn w:val="1"/>
    <w:qFormat/>
    <w:uiPriority w:val="99"/>
    <w:pPr>
      <w:spacing w:line="540" w:lineRule="exact"/>
      <w:ind w:firstLine="720" w:firstLineChars="225"/>
      <w:jc w:val="left"/>
    </w:pPr>
    <w:rPr>
      <w:rFonts w:ascii="仿宋_GB2312" w:eastAsia="仿宋_GB2312"/>
      <w:sz w:val="32"/>
    </w:rPr>
  </w:style>
  <w:style w:type="paragraph" w:styleId="13">
    <w:name w:val="Balloon Text"/>
    <w:basedOn w:val="1"/>
    <w:link w:val="46"/>
    <w:qFormat/>
    <w:uiPriority w:val="0"/>
    <w:rPr>
      <w:sz w:val="18"/>
      <w:szCs w:val="18"/>
    </w:rPr>
  </w:style>
  <w:style w:type="paragraph" w:styleId="14">
    <w:name w:val="footer"/>
    <w:basedOn w:val="1"/>
    <w:unhideWhenUsed/>
    <w:qFormat/>
    <w:uiPriority w:val="99"/>
    <w:pPr>
      <w:tabs>
        <w:tab w:val="center" w:pos="4153"/>
        <w:tab w:val="right" w:pos="8306"/>
      </w:tabs>
      <w:snapToGrid w:val="0"/>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qFormat/>
    <w:uiPriority w:val="39"/>
  </w:style>
  <w:style w:type="paragraph" w:styleId="17">
    <w:name w:val="Body Text 2"/>
    <w:basedOn w:val="1"/>
    <w:next w:val="8"/>
    <w:qFormat/>
    <w:uiPriority w:val="0"/>
    <w:pPr>
      <w:spacing w:line="360" w:lineRule="auto"/>
    </w:pPr>
    <w:rPr>
      <w:rFonts w:ascii="Times New Roman" w:hAnsi="Times New Roman" w:eastAsia="宋体" w:cs="Times New Roman"/>
      <w:b/>
      <w:bCs/>
      <w:sz w:val="24"/>
    </w:rPr>
  </w:style>
  <w:style w:type="paragraph" w:styleId="18">
    <w:name w:val="annotation subject"/>
    <w:basedOn w:val="7"/>
    <w:next w:val="7"/>
    <w:link w:val="45"/>
    <w:qFormat/>
    <w:uiPriority w:val="0"/>
    <w:rPr>
      <w:b/>
      <w:bCs/>
    </w:rPr>
  </w:style>
  <w:style w:type="paragraph" w:styleId="19">
    <w:name w:val="Body Text First Indent"/>
    <w:basedOn w:val="8"/>
    <w:qFormat/>
    <w:uiPriority w:val="99"/>
    <w:pPr>
      <w:ind w:firstLine="420" w:firstLineChars="100"/>
    </w:pPr>
    <w:rPr>
      <w:rFonts w:ascii="Times New Roman" w:hAnsi="Times New Roman"/>
    </w:rPr>
  </w:style>
  <w:style w:type="paragraph" w:styleId="20">
    <w:name w:val="Body Text First Indent 2"/>
    <w:basedOn w:val="9"/>
    <w:qFormat/>
    <w:uiPriority w:val="99"/>
    <w:pPr>
      <w:spacing w:before="100" w:beforeAutospacing="1" w:line="360" w:lineRule="auto"/>
      <w:ind w:firstLine="420"/>
    </w:pPr>
    <w:rPr>
      <w:rFonts w:eastAsia="Arial Unicode MS" w:cs="Arial Unicode MS"/>
      <w:color w:val="000000"/>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bCs/>
    </w:rPr>
  </w:style>
  <w:style w:type="character" w:styleId="25">
    <w:name w:val="FollowedHyperlink"/>
    <w:basedOn w:val="23"/>
    <w:qFormat/>
    <w:uiPriority w:val="0"/>
    <w:rPr>
      <w:color w:val="444444"/>
      <w:sz w:val="21"/>
      <w:szCs w:val="21"/>
      <w:u w:val="none"/>
    </w:rPr>
  </w:style>
  <w:style w:type="character" w:styleId="26">
    <w:name w:val="Emphasis"/>
    <w:basedOn w:val="23"/>
    <w:qFormat/>
    <w:uiPriority w:val="0"/>
    <w:rPr>
      <w:b/>
      <w:bCs/>
    </w:rPr>
  </w:style>
  <w:style w:type="character" w:styleId="27">
    <w:name w:val="HTML Definition"/>
    <w:basedOn w:val="23"/>
    <w:qFormat/>
    <w:uiPriority w:val="0"/>
  </w:style>
  <w:style w:type="character" w:styleId="28">
    <w:name w:val="HTML Typewriter"/>
    <w:basedOn w:val="23"/>
    <w:qFormat/>
    <w:uiPriority w:val="0"/>
    <w:rPr>
      <w:rFonts w:hint="default" w:ascii="monospace" w:hAnsi="monospace" w:eastAsia="monospace" w:cs="monospace"/>
      <w:sz w:val="20"/>
    </w:rPr>
  </w:style>
  <w:style w:type="character" w:styleId="29">
    <w:name w:val="HTML Acronym"/>
    <w:basedOn w:val="23"/>
    <w:qFormat/>
    <w:uiPriority w:val="0"/>
  </w:style>
  <w:style w:type="character" w:styleId="30">
    <w:name w:val="HTML Variable"/>
    <w:basedOn w:val="23"/>
    <w:qFormat/>
    <w:uiPriority w:val="0"/>
  </w:style>
  <w:style w:type="character" w:styleId="31">
    <w:name w:val="Hyperlink"/>
    <w:unhideWhenUsed/>
    <w:qFormat/>
    <w:uiPriority w:val="99"/>
    <w:rPr>
      <w:color w:val="0000FF"/>
      <w:u w:val="none"/>
    </w:rPr>
  </w:style>
  <w:style w:type="character" w:styleId="32">
    <w:name w:val="HTML Code"/>
    <w:basedOn w:val="23"/>
    <w:qFormat/>
    <w:uiPriority w:val="0"/>
    <w:rPr>
      <w:rFonts w:ascii="monospace" w:hAnsi="monospace" w:eastAsia="monospace" w:cs="monospace"/>
      <w:sz w:val="20"/>
    </w:rPr>
  </w:style>
  <w:style w:type="character" w:styleId="33">
    <w:name w:val="annotation reference"/>
    <w:basedOn w:val="23"/>
    <w:qFormat/>
    <w:uiPriority w:val="0"/>
    <w:rPr>
      <w:sz w:val="21"/>
      <w:szCs w:val="21"/>
    </w:rPr>
  </w:style>
  <w:style w:type="character" w:styleId="34">
    <w:name w:val="HTML Cite"/>
    <w:basedOn w:val="23"/>
    <w:qFormat/>
    <w:uiPriority w:val="0"/>
  </w:style>
  <w:style w:type="character" w:styleId="35">
    <w:name w:val="HTML Keyboard"/>
    <w:basedOn w:val="23"/>
    <w:qFormat/>
    <w:uiPriority w:val="0"/>
    <w:rPr>
      <w:rFonts w:hint="default" w:ascii="monospace" w:hAnsi="monospace" w:eastAsia="monospace" w:cs="monospace"/>
      <w:sz w:val="20"/>
    </w:rPr>
  </w:style>
  <w:style w:type="character" w:styleId="36">
    <w:name w:val="HTML Sample"/>
    <w:basedOn w:val="23"/>
    <w:qFormat/>
    <w:uiPriority w:val="0"/>
    <w:rPr>
      <w:rFonts w:hint="default" w:ascii="monospace" w:hAnsi="monospace" w:eastAsia="monospace" w:cs="monospace"/>
    </w:rPr>
  </w:style>
  <w:style w:type="paragraph" w:customStyle="1" w:styleId="37">
    <w:name w:val="Default"/>
    <w:basedOn w:val="1"/>
    <w:next w:val="1"/>
    <w:qFormat/>
    <w:uiPriority w:val="99"/>
    <w:pPr>
      <w:autoSpaceDE w:val="0"/>
      <w:autoSpaceDN w:val="0"/>
      <w:adjustRightInd w:val="0"/>
    </w:pPr>
    <w:rPr>
      <w:rFonts w:ascii="宋体" w:hAnsi="Times New Roman" w:eastAsia="宋体" w:cs="宋体"/>
      <w:color w:val="000000"/>
      <w:sz w:val="24"/>
    </w:rPr>
  </w:style>
  <w:style w:type="character" w:customStyle="1" w:styleId="38">
    <w:name w:val="hover16"/>
    <w:basedOn w:val="23"/>
    <w:qFormat/>
    <w:uiPriority w:val="0"/>
  </w:style>
  <w:style w:type="character" w:customStyle="1" w:styleId="39">
    <w:name w:val="hover18"/>
    <w:basedOn w:val="23"/>
    <w:qFormat/>
    <w:uiPriority w:val="0"/>
  </w:style>
  <w:style w:type="paragraph" w:customStyle="1" w:styleId="40">
    <w:name w:val="Body Text First Indent1"/>
    <w:basedOn w:val="8"/>
    <w:qFormat/>
    <w:uiPriority w:val="0"/>
    <w:pPr>
      <w:ind w:firstLine="420" w:firstLineChars="100"/>
    </w:pPr>
    <w:rPr>
      <w:rFonts w:ascii="等线" w:hAnsi="等线" w:eastAsia="等线"/>
    </w:rPr>
  </w:style>
  <w:style w:type="paragraph" w:customStyle="1" w:styleId="41">
    <w:name w:val="Table Text"/>
    <w:basedOn w:val="1"/>
    <w:semiHidden/>
    <w:qFormat/>
    <w:uiPriority w:val="0"/>
    <w:rPr>
      <w:rFonts w:ascii="宋体" w:hAnsi="宋体" w:eastAsia="宋体" w:cs="宋体"/>
      <w:sz w:val="28"/>
      <w:szCs w:val="28"/>
      <w:lang w:eastAsia="en-US"/>
    </w:rPr>
  </w:style>
  <w:style w:type="table" w:customStyle="1" w:styleId="42">
    <w:name w:val="Table Normal"/>
    <w:semiHidden/>
    <w:unhideWhenUsed/>
    <w:qFormat/>
    <w:uiPriority w:val="0"/>
    <w:tblPr>
      <w:tblCellMar>
        <w:top w:w="0" w:type="dxa"/>
        <w:left w:w="0" w:type="dxa"/>
        <w:bottom w:w="0" w:type="dxa"/>
        <w:right w:w="0" w:type="dxa"/>
      </w:tblCellMar>
    </w:tblPr>
  </w:style>
  <w:style w:type="paragraph" w:customStyle="1" w:styleId="43">
    <w:name w:val="无间隔1"/>
    <w:next w:val="5"/>
    <w:qFormat/>
    <w:uiPriority w:val="0"/>
    <w:pPr>
      <w:widowControl w:val="0"/>
      <w:jc w:val="both"/>
    </w:pPr>
    <w:rPr>
      <w:rFonts w:ascii="Calibri" w:hAnsi="Calibri" w:eastAsia="Calibri" w:cs="Times New Roman"/>
      <w:kern w:val="2"/>
      <w:sz w:val="21"/>
      <w:szCs w:val="22"/>
      <w:lang w:val="en-US" w:eastAsia="zh-CN" w:bidi="ar-SA"/>
    </w:rPr>
  </w:style>
  <w:style w:type="character" w:customStyle="1" w:styleId="44">
    <w:name w:val="批注文字 Char"/>
    <w:basedOn w:val="23"/>
    <w:link w:val="7"/>
    <w:qFormat/>
    <w:uiPriority w:val="0"/>
    <w:rPr>
      <w:rFonts w:asciiTheme="minorHAnsi" w:hAnsiTheme="minorHAnsi" w:eastAsiaTheme="minorEastAsia" w:cstheme="minorBidi"/>
      <w:kern w:val="2"/>
      <w:sz w:val="21"/>
      <w:szCs w:val="24"/>
    </w:rPr>
  </w:style>
  <w:style w:type="character" w:customStyle="1" w:styleId="45">
    <w:name w:val="批注主题 Char"/>
    <w:basedOn w:val="44"/>
    <w:link w:val="18"/>
    <w:qFormat/>
    <w:uiPriority w:val="0"/>
    <w:rPr>
      <w:b/>
      <w:bCs/>
    </w:rPr>
  </w:style>
  <w:style w:type="character" w:customStyle="1" w:styleId="46">
    <w:name w:val="批注框文本 Char"/>
    <w:basedOn w:val="23"/>
    <w:link w:val="13"/>
    <w:qFormat/>
    <w:uiPriority w:val="0"/>
    <w:rPr>
      <w:rFonts w:asciiTheme="minorHAnsi" w:hAnsiTheme="minorHAnsi" w:eastAsiaTheme="minorEastAsia" w:cstheme="minorBidi"/>
      <w:kern w:val="2"/>
      <w:sz w:val="18"/>
      <w:szCs w:val="18"/>
    </w:rPr>
  </w:style>
  <w:style w:type="character" w:customStyle="1" w:styleId="47">
    <w:name w:val="文档结构图 Char"/>
    <w:basedOn w:val="23"/>
    <w:link w:val="6"/>
    <w:qFormat/>
    <w:uiPriority w:val="0"/>
    <w:rPr>
      <w:rFonts w:ascii="宋体" w:hAnsiTheme="minorHAnsi" w:cstheme="minorBidi"/>
      <w:kern w:val="2"/>
      <w:sz w:val="18"/>
      <w:szCs w:val="18"/>
    </w:rPr>
  </w:style>
  <w:style w:type="character" w:customStyle="1" w:styleId="48">
    <w:name w:val="first-child"/>
    <w:basedOn w:val="23"/>
    <w:qFormat/>
    <w:uiPriority w:val="0"/>
  </w:style>
  <w:style w:type="character" w:customStyle="1" w:styleId="49">
    <w:name w:val="layui-layer-tabnow"/>
    <w:basedOn w:val="23"/>
    <w:qFormat/>
    <w:uiPriority w:val="0"/>
    <w:rPr>
      <w:bdr w:val="single" w:color="CCCCCC" w:sz="4" w:space="0"/>
      <w:shd w:val="clear" w:fill="FFFFFF"/>
    </w:rPr>
  </w:style>
  <w:style w:type="character" w:customStyle="1" w:styleId="50">
    <w:name w:val="hover1"/>
    <w:basedOn w:val="23"/>
    <w:qFormat/>
    <w:uiPriority w:val="0"/>
  </w:style>
  <w:style w:type="character" w:customStyle="1" w:styleId="51">
    <w:name w:val="hover2"/>
    <w:basedOn w:val="23"/>
    <w:qFormat/>
    <w:uiPriority w:val="0"/>
    <w:rPr>
      <w:color w:val="2590EB"/>
    </w:rPr>
  </w:style>
  <w:style w:type="character" w:customStyle="1" w:styleId="52">
    <w:name w:val="hover3"/>
    <w:basedOn w:val="23"/>
    <w:qFormat/>
    <w:uiPriority w:val="0"/>
    <w:rPr>
      <w:color w:val="2590EB"/>
    </w:rPr>
  </w:style>
  <w:style w:type="character" w:customStyle="1" w:styleId="53">
    <w:name w:val="mini-outputtext1"/>
    <w:basedOn w:val="23"/>
    <w:qFormat/>
    <w:uiPriority w:val="0"/>
  </w:style>
  <w:style w:type="character" w:customStyle="1" w:styleId="54">
    <w:name w:val="hover"/>
    <w:basedOn w:val="23"/>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D73AD0-13AD-419A-9DD4-29349F486AE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67</Pages>
  <Words>20108</Words>
  <Characters>21696</Characters>
  <Lines>242</Lines>
  <Paragraphs>68</Paragraphs>
  <TotalTime>0</TotalTime>
  <ScaleCrop>false</ScaleCrop>
  <LinksUpToDate>false</LinksUpToDate>
  <CharactersWithSpaces>21883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2025-03-18T06:36:00Z</dcterms:created>
  <dc:creator>ASUS</dc:creator>
  <cp:lastModifiedBy>admin</cp:lastModifiedBy>
  <cp:lastPrinted>2025-06-08T23:12:00Z</cp:lastPrinted>
  <dcterms:modified xsi:type="dcterms:W3CDTF">2025-06-10T09:12:43Z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eyJoZGlkIjoiZmUwN2JlYzc4MmYzZDA2MGVlMzFmYjZlZGU5ODRiZDEiLCJ1c2VySWQiOiIyMzMwNzg3MzkifQ==</vt:lpwstr>
  </property>
  <property fmtid="{D5CDD505-2E9C-101B-9397-08002B2CF9AE}" pid="4" name="ICV">
    <vt:lpwstr>0F6B9AE3D03146BC91F6237232D399B2_13</vt:lpwstr>
  </property>
</Properties>
</file>