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F1A9C">
      <w:pPr>
        <w:pStyle w:val="19"/>
        <w:spacing w:line="360" w:lineRule="auto"/>
        <w:jc w:val="center"/>
        <w:rPr>
          <w:rFonts w:hint="eastAsia" w:hAnsi="宋体" w:cs="宋体"/>
          <w:b/>
          <w:bCs/>
          <w:color w:val="auto"/>
          <w:sz w:val="36"/>
          <w:szCs w:val="36"/>
          <w:highlight w:val="none"/>
          <w:lang w:eastAsia="zh-CN"/>
        </w:rPr>
      </w:pPr>
    </w:p>
    <w:p w14:paraId="2DCBC48F">
      <w:pPr>
        <w:pStyle w:val="19"/>
        <w:spacing w:line="360" w:lineRule="auto"/>
        <w:jc w:val="center"/>
        <w:rPr>
          <w:rFonts w:hint="eastAsia" w:hAnsi="宋体" w:eastAsia="宋体" w:cs="宋体"/>
          <w:b/>
          <w:bCs/>
          <w:color w:val="auto"/>
          <w:sz w:val="36"/>
          <w:szCs w:val="36"/>
          <w:highlight w:val="none"/>
          <w:lang w:eastAsia="zh-CN"/>
        </w:rPr>
      </w:pPr>
      <w:bookmarkStart w:id="298" w:name="_GoBack"/>
      <w:r>
        <w:rPr>
          <w:rFonts w:hint="eastAsia" w:hAnsi="宋体" w:cs="宋体"/>
          <w:b/>
          <w:bCs/>
          <w:color w:val="auto"/>
          <w:sz w:val="36"/>
          <w:szCs w:val="36"/>
          <w:highlight w:val="none"/>
          <w:lang w:eastAsia="zh-CN"/>
        </w:rPr>
        <w:t>河南省精神病医院北京大学第六医院河南医院国家区域医疗中心一期项目生物反馈治疗仪采购项目</w:t>
      </w:r>
    </w:p>
    <w:p w14:paraId="175804B2">
      <w:pPr>
        <w:pStyle w:val="19"/>
        <w:spacing w:line="360" w:lineRule="auto"/>
        <w:jc w:val="center"/>
        <w:rPr>
          <w:rFonts w:hint="eastAsia" w:hAnsi="宋体" w:cs="宋体"/>
          <w:b/>
          <w:bCs/>
          <w:color w:val="auto"/>
          <w:sz w:val="44"/>
          <w:szCs w:val="44"/>
          <w:highlight w:val="none"/>
        </w:rPr>
      </w:pPr>
    </w:p>
    <w:p w14:paraId="2E86E5F7">
      <w:pPr>
        <w:pStyle w:val="19"/>
        <w:spacing w:line="360" w:lineRule="auto"/>
        <w:jc w:val="center"/>
        <w:rPr>
          <w:rFonts w:hint="eastAsia" w:hAnsi="宋体" w:cs="宋体"/>
          <w:b/>
          <w:bCs/>
          <w:color w:val="auto"/>
          <w:sz w:val="72"/>
          <w:szCs w:val="72"/>
          <w:highlight w:val="none"/>
        </w:rPr>
      </w:pPr>
      <w:r>
        <w:rPr>
          <w:rFonts w:hint="eastAsia" w:hAnsi="宋体" w:cs="宋体"/>
          <w:b/>
          <w:bCs/>
          <w:color w:val="auto"/>
          <w:sz w:val="72"/>
          <w:szCs w:val="72"/>
          <w:highlight w:val="none"/>
        </w:rPr>
        <w:t>竞争性磋商文件</w:t>
      </w:r>
      <w:bookmarkEnd w:id="298"/>
    </w:p>
    <w:p w14:paraId="3F9735B4">
      <w:pPr>
        <w:pStyle w:val="19"/>
        <w:spacing w:line="360" w:lineRule="auto"/>
        <w:rPr>
          <w:rFonts w:hint="eastAsia" w:hAnsi="宋体" w:cs="宋体"/>
          <w:b/>
          <w:bCs/>
          <w:color w:val="auto"/>
          <w:sz w:val="32"/>
          <w:szCs w:val="32"/>
          <w:highlight w:val="none"/>
        </w:rPr>
      </w:pPr>
    </w:p>
    <w:p w14:paraId="42250B81">
      <w:pPr>
        <w:pStyle w:val="19"/>
        <w:spacing w:line="360" w:lineRule="auto"/>
        <w:jc w:val="center"/>
        <w:rPr>
          <w:rFonts w:hint="default" w:hAnsi="宋体" w:eastAsia="宋体" w:cs="宋体"/>
          <w:b/>
          <w:bCs/>
          <w:color w:val="auto"/>
          <w:sz w:val="32"/>
          <w:szCs w:val="32"/>
          <w:highlight w:val="none"/>
          <w:lang w:val="en-US" w:eastAsia="zh-CN"/>
        </w:rPr>
      </w:pPr>
      <w:r>
        <w:rPr>
          <w:rFonts w:hint="eastAsia" w:hAnsi="宋体" w:cs="宋体"/>
          <w:b/>
          <w:bCs/>
          <w:color w:val="auto"/>
          <w:sz w:val="30"/>
          <w:szCs w:val="30"/>
          <w:highlight w:val="none"/>
        </w:rPr>
        <w:t>采购编号：</w:t>
      </w:r>
      <w:r>
        <w:rPr>
          <w:rFonts w:hint="eastAsia" w:hAnsi="宋体" w:cs="宋体"/>
          <w:b/>
          <w:bCs/>
          <w:color w:val="auto"/>
          <w:sz w:val="30"/>
          <w:szCs w:val="30"/>
          <w:highlight w:val="none"/>
          <w:lang w:eastAsia="zh-CN"/>
        </w:rPr>
        <w:t>豫财磋商采购-2025-</w:t>
      </w:r>
      <w:r>
        <w:rPr>
          <w:rFonts w:hint="eastAsia" w:hAnsi="宋体" w:cs="宋体"/>
          <w:b/>
          <w:bCs/>
          <w:color w:val="auto"/>
          <w:sz w:val="30"/>
          <w:szCs w:val="30"/>
          <w:highlight w:val="none"/>
          <w:lang w:val="en-US" w:eastAsia="zh-CN"/>
        </w:rPr>
        <w:t>1126</w:t>
      </w:r>
    </w:p>
    <w:p w14:paraId="6F7D3FF2">
      <w:pPr>
        <w:autoSpaceDE w:val="0"/>
        <w:autoSpaceDN w:val="0"/>
        <w:adjustRightInd w:val="0"/>
        <w:rPr>
          <w:rFonts w:hint="eastAsia" w:ascii="宋体" w:hAnsi="宋体" w:cs="宋体"/>
          <w:color w:val="auto"/>
          <w:sz w:val="42"/>
          <w:szCs w:val="42"/>
          <w:highlight w:val="none"/>
        </w:rPr>
      </w:pPr>
    </w:p>
    <w:p w14:paraId="3B66939B">
      <w:pPr>
        <w:autoSpaceDE w:val="0"/>
        <w:autoSpaceDN w:val="0"/>
        <w:adjustRightInd w:val="0"/>
        <w:jc w:val="center"/>
        <w:rPr>
          <w:rFonts w:hint="eastAsia" w:ascii="宋体" w:hAnsi="宋体" w:cs="宋体"/>
          <w:color w:val="auto"/>
          <w:sz w:val="42"/>
          <w:szCs w:val="42"/>
          <w:highlight w:val="none"/>
        </w:rPr>
      </w:pPr>
      <w:r>
        <w:rPr>
          <w:color w:val="auto"/>
          <w:sz w:val="15"/>
          <w:szCs w:val="15"/>
          <w:highlight w:val="none"/>
        </w:rPr>
        <w:drawing>
          <wp:inline distT="0" distB="0" distL="114300" distR="114300">
            <wp:extent cx="2140585" cy="2309495"/>
            <wp:effectExtent l="0" t="0" r="12065" b="14605"/>
            <wp:docPr id="1" name="图片 1" descr="诚信监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诚信监理标志"/>
                    <pic:cNvPicPr>
                      <a:picLocks noChangeAspect="1"/>
                    </pic:cNvPicPr>
                  </pic:nvPicPr>
                  <pic:blipFill>
                    <a:blip r:embed="rId11"/>
                    <a:srcRect r="8264" b="18808"/>
                    <a:stretch>
                      <a:fillRect/>
                    </a:stretch>
                  </pic:blipFill>
                  <pic:spPr>
                    <a:xfrm>
                      <a:off x="0" y="0"/>
                      <a:ext cx="2140585" cy="2309495"/>
                    </a:xfrm>
                    <a:prstGeom prst="rect">
                      <a:avLst/>
                    </a:prstGeom>
                    <a:noFill/>
                    <a:ln>
                      <a:noFill/>
                    </a:ln>
                  </pic:spPr>
                </pic:pic>
              </a:graphicData>
            </a:graphic>
          </wp:inline>
        </w:drawing>
      </w:r>
    </w:p>
    <w:p w14:paraId="7200271D">
      <w:pPr>
        <w:autoSpaceDE w:val="0"/>
        <w:autoSpaceDN w:val="0"/>
        <w:adjustRightInd w:val="0"/>
        <w:jc w:val="center"/>
        <w:rPr>
          <w:rFonts w:hint="eastAsia" w:ascii="宋体" w:hAnsi="宋体" w:cs="宋体"/>
          <w:color w:val="auto"/>
          <w:sz w:val="42"/>
          <w:szCs w:val="42"/>
          <w:highlight w:val="none"/>
        </w:rPr>
      </w:pPr>
    </w:p>
    <w:p w14:paraId="16EC5A89">
      <w:pPr>
        <w:pStyle w:val="57"/>
        <w:tabs>
          <w:tab w:val="left" w:pos="8460"/>
        </w:tabs>
        <w:spacing w:line="360" w:lineRule="auto"/>
        <w:rPr>
          <w:rFonts w:hint="eastAsia" w:hAnsi="宋体"/>
          <w:b/>
          <w:color w:val="auto"/>
          <w:sz w:val="31"/>
          <w:szCs w:val="31"/>
          <w:highlight w:val="none"/>
        </w:rPr>
      </w:pPr>
    </w:p>
    <w:p w14:paraId="4BF1F1E8">
      <w:pPr>
        <w:pStyle w:val="57"/>
        <w:tabs>
          <w:tab w:val="left" w:pos="8460"/>
        </w:tabs>
        <w:spacing w:line="360" w:lineRule="auto"/>
        <w:jc w:val="center"/>
        <w:rPr>
          <w:rFonts w:hint="eastAsia" w:hAnsi="宋体" w:cs="宋体"/>
          <w:b/>
          <w:color w:val="auto"/>
          <w:sz w:val="32"/>
          <w:szCs w:val="32"/>
          <w:highlight w:val="none"/>
        </w:rPr>
      </w:pPr>
    </w:p>
    <w:p w14:paraId="01602465">
      <w:pPr>
        <w:pStyle w:val="57"/>
        <w:tabs>
          <w:tab w:val="left" w:pos="8460"/>
        </w:tabs>
        <w:spacing w:line="360" w:lineRule="auto"/>
        <w:jc w:val="center"/>
        <w:rPr>
          <w:rFonts w:hint="eastAsia" w:hAnsi="宋体" w:cs="宋体"/>
          <w:b/>
          <w:color w:val="auto"/>
          <w:sz w:val="32"/>
          <w:szCs w:val="32"/>
          <w:highlight w:val="none"/>
        </w:rPr>
      </w:pPr>
    </w:p>
    <w:p w14:paraId="33E43E33">
      <w:pPr>
        <w:spacing w:line="360" w:lineRule="auto"/>
        <w:ind w:firstLine="1606" w:firstLineChars="500"/>
        <w:rPr>
          <w:rFonts w:hint="eastAsia" w:ascii="宋体" w:hAnsi="宋体"/>
          <w:b/>
          <w:color w:val="auto"/>
          <w:sz w:val="32"/>
          <w:highlight w:val="none"/>
        </w:rPr>
      </w:pPr>
      <w:r>
        <w:rPr>
          <w:rFonts w:hint="eastAsia" w:ascii="宋体" w:hAnsi="宋体"/>
          <w:b/>
          <w:color w:val="auto"/>
          <w:sz w:val="32"/>
          <w:highlight w:val="none"/>
        </w:rPr>
        <w:t>采</w:t>
      </w:r>
      <w:r>
        <w:rPr>
          <w:rFonts w:hint="eastAsia" w:ascii="宋体" w:hAnsi="宋体"/>
          <w:b/>
          <w:color w:val="auto"/>
          <w:sz w:val="32"/>
          <w:highlight w:val="none"/>
          <w:lang w:val="en-US" w:eastAsia="zh-CN"/>
        </w:rPr>
        <w:t xml:space="preserve">   </w:t>
      </w:r>
      <w:r>
        <w:rPr>
          <w:rFonts w:hint="eastAsia" w:ascii="宋体" w:hAnsi="宋体"/>
          <w:b/>
          <w:color w:val="auto"/>
          <w:sz w:val="32"/>
          <w:highlight w:val="none"/>
        </w:rPr>
        <w:t>购</w:t>
      </w:r>
      <w:r>
        <w:rPr>
          <w:rFonts w:hint="eastAsia" w:ascii="宋体" w:hAnsi="宋体"/>
          <w:b/>
          <w:color w:val="auto"/>
          <w:sz w:val="32"/>
          <w:highlight w:val="none"/>
          <w:lang w:val="en-US" w:eastAsia="zh-CN"/>
        </w:rPr>
        <w:t xml:space="preserve">   </w:t>
      </w:r>
      <w:r>
        <w:rPr>
          <w:rFonts w:hint="eastAsia" w:ascii="宋体" w:hAnsi="宋体"/>
          <w:b/>
          <w:color w:val="auto"/>
          <w:sz w:val="32"/>
          <w:highlight w:val="none"/>
        </w:rPr>
        <w:t>人：</w:t>
      </w:r>
      <w:r>
        <w:rPr>
          <w:rFonts w:hint="eastAsia" w:ascii="宋体" w:hAnsi="宋体"/>
          <w:b/>
          <w:color w:val="auto"/>
          <w:sz w:val="32"/>
          <w:highlight w:val="none"/>
          <w:u w:val="single"/>
          <w:lang w:val="en-US" w:eastAsia="zh-CN"/>
        </w:rPr>
        <w:t xml:space="preserve">    </w:t>
      </w:r>
      <w:r>
        <w:rPr>
          <w:rFonts w:hint="eastAsia"/>
          <w:b/>
          <w:color w:val="auto"/>
          <w:sz w:val="32"/>
          <w:szCs w:val="22"/>
          <w:highlight w:val="none"/>
          <w:u w:val="single"/>
          <w:lang w:eastAsia="zh-CN"/>
        </w:rPr>
        <w:t>河南省精神病医院</w:t>
      </w:r>
      <w:r>
        <w:rPr>
          <w:rFonts w:hint="eastAsia"/>
          <w:b/>
          <w:color w:val="auto"/>
          <w:sz w:val="32"/>
          <w:szCs w:val="22"/>
          <w:highlight w:val="none"/>
          <w:u w:val="single"/>
          <w:lang w:val="en-US" w:eastAsia="zh-CN"/>
        </w:rPr>
        <w:t xml:space="preserve">    </w:t>
      </w:r>
    </w:p>
    <w:p w14:paraId="3D15D689">
      <w:pPr>
        <w:ind w:firstLine="1606" w:firstLineChars="500"/>
        <w:rPr>
          <w:rFonts w:hint="eastAsia" w:ascii="宋体" w:hAnsi="宋体" w:cs="宋体"/>
          <w:b/>
          <w:color w:val="auto"/>
          <w:sz w:val="32"/>
          <w:szCs w:val="32"/>
          <w:highlight w:val="none"/>
          <w:u w:val="single"/>
        </w:rPr>
      </w:pPr>
      <w:r>
        <w:rPr>
          <w:rFonts w:hint="eastAsia" w:ascii="宋体" w:hAnsi="宋体"/>
          <w:b/>
          <w:color w:val="auto"/>
          <w:sz w:val="32"/>
          <w:highlight w:val="none"/>
        </w:rPr>
        <w:t>采购代理机构：</w:t>
      </w:r>
      <w:r>
        <w:rPr>
          <w:rFonts w:hint="eastAsia" w:ascii="宋体" w:hAnsi="宋体" w:cs="宋体"/>
          <w:b/>
          <w:color w:val="auto"/>
          <w:sz w:val="32"/>
          <w:szCs w:val="32"/>
          <w:highlight w:val="none"/>
          <w:u w:val="single"/>
        </w:rPr>
        <w:t>河南诚信工程管理有限公司</w:t>
      </w:r>
    </w:p>
    <w:p w14:paraId="744EF43E">
      <w:pPr>
        <w:spacing w:line="360" w:lineRule="auto"/>
        <w:ind w:firstLine="1606" w:firstLineChars="500"/>
        <w:jc w:val="left"/>
        <w:rPr>
          <w:rFonts w:hint="eastAsia" w:ascii="宋体" w:hAnsi="宋体" w:cs="宋体"/>
          <w:b/>
          <w:color w:val="auto"/>
          <w:sz w:val="32"/>
          <w:szCs w:val="32"/>
          <w:highlight w:val="none"/>
        </w:rPr>
      </w:pPr>
      <w:r>
        <w:rPr>
          <w:rFonts w:hint="eastAsia" w:ascii="宋体" w:hAnsi="宋体"/>
          <w:b/>
          <w:color w:val="auto"/>
          <w:sz w:val="32"/>
          <w:highlight w:val="none"/>
        </w:rPr>
        <w:t>日        期：</w:t>
      </w:r>
      <w:r>
        <w:rPr>
          <w:rFonts w:hint="eastAsia" w:ascii="宋体" w:hAnsi="宋体"/>
          <w:b/>
          <w:color w:val="auto"/>
          <w:sz w:val="32"/>
          <w:highlight w:val="none"/>
          <w:u w:val="single"/>
        </w:rPr>
        <w:t xml:space="preserve"> </w:t>
      </w:r>
      <w:r>
        <w:rPr>
          <w:rFonts w:hint="eastAsia" w:ascii="宋体" w:hAnsi="宋体"/>
          <w:b/>
          <w:color w:val="auto"/>
          <w:sz w:val="32"/>
          <w:highlight w:val="none"/>
          <w:u w:val="single"/>
          <w:lang w:val="en-US" w:eastAsia="zh-CN"/>
        </w:rPr>
        <w:t xml:space="preserve">  </w:t>
      </w:r>
      <w:r>
        <w:rPr>
          <w:rFonts w:hint="eastAsia" w:ascii="宋体" w:hAnsi="宋体"/>
          <w:b/>
          <w:color w:val="auto"/>
          <w:sz w:val="32"/>
          <w:highlight w:val="none"/>
          <w:u w:val="single"/>
        </w:rPr>
        <w:t>二O二五年</w:t>
      </w:r>
      <w:r>
        <w:rPr>
          <w:rFonts w:hint="eastAsia" w:ascii="宋体" w:hAnsi="宋体"/>
          <w:b/>
          <w:color w:val="auto"/>
          <w:sz w:val="32"/>
          <w:highlight w:val="none"/>
          <w:u w:val="single"/>
          <w:lang w:val="en-US" w:eastAsia="zh-CN"/>
        </w:rPr>
        <w:t>十</w:t>
      </w:r>
      <w:r>
        <w:rPr>
          <w:rFonts w:hint="eastAsia" w:ascii="宋体" w:hAnsi="宋体"/>
          <w:b/>
          <w:color w:val="auto"/>
          <w:sz w:val="32"/>
          <w:highlight w:val="none"/>
          <w:u w:val="single"/>
        </w:rPr>
        <w:t>月</w:t>
      </w:r>
      <w:r>
        <w:rPr>
          <w:rFonts w:hint="eastAsia" w:ascii="宋体" w:hAnsi="宋体"/>
          <w:b/>
          <w:color w:val="auto"/>
          <w:sz w:val="32"/>
          <w:highlight w:val="none"/>
          <w:u w:val="single"/>
          <w:lang w:val="en-US" w:eastAsia="zh-CN"/>
        </w:rPr>
        <w:t>编制</w:t>
      </w:r>
      <w:r>
        <w:rPr>
          <w:rFonts w:hint="eastAsia" w:ascii="宋体" w:hAnsi="宋体"/>
          <w:b/>
          <w:color w:val="auto"/>
          <w:sz w:val="32"/>
          <w:highlight w:val="none"/>
          <w:u w:val="single"/>
        </w:rPr>
        <w:t xml:space="preserve">   </w:t>
      </w:r>
    </w:p>
    <w:p w14:paraId="7A212883">
      <w:pPr>
        <w:ind w:firstLine="422"/>
        <w:rPr>
          <w:color w:val="auto"/>
          <w:highlight w:val="none"/>
        </w:rPr>
      </w:pPr>
    </w:p>
    <w:p w14:paraId="52334913">
      <w:pPr>
        <w:spacing w:line="520" w:lineRule="exact"/>
        <w:ind w:firstLine="640"/>
        <w:jc w:val="center"/>
        <w:rPr>
          <w:rFonts w:hint="eastAsia" w:asciiTheme="minorEastAsia" w:hAnsiTheme="minorEastAsia" w:eastAsiaTheme="minorEastAsia" w:cstheme="minorEastAsia"/>
          <w:b/>
          <w:bCs/>
          <w:color w:val="auto"/>
          <w:sz w:val="44"/>
          <w:szCs w:val="44"/>
          <w:highlight w:val="none"/>
          <w:lang w:bidi="zh-CN"/>
        </w:rPr>
        <w:sectPr>
          <w:headerReference r:id="rId4" w:type="first"/>
          <w:footerReference r:id="rId6" w:type="first"/>
          <w:headerReference r:id="rId3" w:type="default"/>
          <w:footerReference r:id="rId5" w:type="default"/>
          <w:pgSz w:w="11906" w:h="16838"/>
          <w:pgMar w:top="1418" w:right="1418" w:bottom="1134" w:left="1418" w:header="851" w:footer="992" w:gutter="0"/>
          <w:pgBorders>
            <w:top w:val="none" w:sz="0" w:space="0"/>
            <w:left w:val="none" w:sz="0" w:space="0"/>
            <w:bottom w:val="none" w:sz="0" w:space="0"/>
            <w:right w:val="none" w:sz="0" w:space="0"/>
          </w:pgBorders>
          <w:pgNumType w:start="1"/>
          <w:cols w:space="720" w:num="1"/>
          <w:titlePg/>
          <w:docGrid w:type="lines" w:linePitch="312" w:charSpace="0"/>
        </w:sectPr>
      </w:pPr>
    </w:p>
    <w:p w14:paraId="46FF531B">
      <w:pPr>
        <w:spacing w:line="520" w:lineRule="exact"/>
        <w:ind w:firstLine="640"/>
        <w:jc w:val="center"/>
        <w:rPr>
          <w:rFonts w:hint="eastAsia" w:asciiTheme="minorEastAsia" w:hAnsiTheme="minorEastAsia" w:eastAsiaTheme="minorEastAsia" w:cstheme="minorEastAsia"/>
          <w:b/>
          <w:bCs/>
          <w:color w:val="auto"/>
          <w:sz w:val="44"/>
          <w:szCs w:val="44"/>
          <w:highlight w:val="none"/>
          <w:lang w:bidi="zh-CN"/>
        </w:rPr>
      </w:pPr>
      <w:r>
        <w:rPr>
          <w:rFonts w:hint="eastAsia" w:asciiTheme="minorEastAsia" w:hAnsiTheme="minorEastAsia" w:eastAsiaTheme="minorEastAsia" w:cstheme="minorEastAsia"/>
          <w:b/>
          <w:bCs/>
          <w:color w:val="auto"/>
          <w:sz w:val="44"/>
          <w:szCs w:val="44"/>
          <w:highlight w:val="none"/>
          <w:lang w:bidi="zh-CN"/>
        </w:rPr>
        <w:t>河南省政府采购合同融资政策告知函</w:t>
      </w:r>
    </w:p>
    <w:p w14:paraId="4F9C1D62">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p>
    <w:p w14:paraId="5C4A93CC">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各供应商：</w:t>
      </w:r>
    </w:p>
    <w:p w14:paraId="62491785">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欢迎贵公司参与河南省政府采购活动！</w:t>
      </w:r>
    </w:p>
    <w:p w14:paraId="27C0D241">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政府采购合同融资是河南省财政厅支持中小微企业发展，针对参与政府采购活动的供应商融资难、融资贵问题推出的一项融资政策。贵公司若成为本次政府采购项目的成交供应商，可持政府采购合同向金融机构申请贷款，无需抵押、担保，融资机构将根据《河南省政府采购合同融资工作实施方案》（豫财购【2017】10号），按照双方自愿的原则提供便捷、优惠的贷款服务。</w:t>
      </w:r>
    </w:p>
    <w:p w14:paraId="1D30D026">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贷款渠道和提供贷款的金融机构，可在河南省政府采购网“河南省政府采购合同融资平台”查询联系。</w:t>
      </w:r>
    </w:p>
    <w:p w14:paraId="218E4AE3">
      <w:pPr>
        <w:pageBreakBefore w:val="0"/>
        <w:overflowPunct/>
        <w:topLinePunct w:val="0"/>
        <w:bidi w:val="0"/>
        <w:spacing w:line="360" w:lineRule="auto"/>
        <w:ind w:firstLine="422"/>
        <w:jc w:val="center"/>
        <w:rPr>
          <w:rFonts w:hint="eastAsia" w:asciiTheme="minorEastAsia" w:hAnsiTheme="minorEastAsia" w:eastAsiaTheme="minorEastAsia" w:cstheme="minorEastAsia"/>
          <w:color w:val="auto"/>
          <w:sz w:val="21"/>
          <w:szCs w:val="21"/>
          <w:highlight w:val="none"/>
        </w:rPr>
      </w:pPr>
    </w:p>
    <w:p w14:paraId="68346AD3">
      <w:pPr>
        <w:pageBreakBefore w:val="0"/>
        <w:overflowPunct/>
        <w:topLinePunct w:val="0"/>
        <w:bidi w:val="0"/>
        <w:spacing w:after="120" w:line="360" w:lineRule="auto"/>
        <w:ind w:firstLine="422"/>
        <w:rPr>
          <w:rFonts w:hint="eastAsia" w:asciiTheme="minorEastAsia" w:hAnsiTheme="minorEastAsia" w:eastAsiaTheme="minorEastAsia" w:cstheme="minorEastAsia"/>
          <w:color w:val="auto"/>
          <w:sz w:val="21"/>
          <w:szCs w:val="21"/>
          <w:highlight w:val="none"/>
        </w:rPr>
      </w:pPr>
    </w:p>
    <w:p w14:paraId="2320875B">
      <w:pPr>
        <w:pageBreakBefore w:val="0"/>
        <w:overflowPunct/>
        <w:topLinePunct w:val="0"/>
        <w:bidi w:val="0"/>
        <w:spacing w:after="120" w:line="360" w:lineRule="auto"/>
        <w:ind w:firstLine="422"/>
        <w:rPr>
          <w:rFonts w:hint="eastAsia" w:asciiTheme="minorEastAsia" w:hAnsiTheme="minorEastAsia" w:eastAsiaTheme="minorEastAsia" w:cstheme="minorEastAsia"/>
          <w:color w:val="auto"/>
          <w:sz w:val="21"/>
          <w:szCs w:val="21"/>
          <w:highlight w:val="none"/>
        </w:rPr>
      </w:pPr>
    </w:p>
    <w:p w14:paraId="0840FA4E">
      <w:pPr>
        <w:pageBreakBefore w:val="0"/>
        <w:overflowPunct/>
        <w:topLinePunct w:val="0"/>
        <w:bidi w:val="0"/>
        <w:spacing w:after="120" w:line="360" w:lineRule="auto"/>
        <w:ind w:firstLine="422"/>
        <w:rPr>
          <w:rFonts w:hint="eastAsia" w:asciiTheme="minorEastAsia" w:hAnsiTheme="minorEastAsia" w:eastAsiaTheme="minorEastAsia" w:cstheme="minorEastAsia"/>
          <w:color w:val="auto"/>
          <w:sz w:val="21"/>
          <w:szCs w:val="21"/>
          <w:highlight w:val="none"/>
        </w:rPr>
      </w:pPr>
    </w:p>
    <w:p w14:paraId="0B14DD3A">
      <w:pPr>
        <w:pageBreakBefore w:val="0"/>
        <w:widowControl/>
        <w:overflowPunct/>
        <w:topLinePunct w:val="0"/>
        <w:bidi w:val="0"/>
        <w:spacing w:line="360" w:lineRule="auto"/>
        <w:ind w:firstLine="422"/>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283FFEA9">
      <w:pPr>
        <w:pageBreakBefore w:val="0"/>
        <w:overflowPunct/>
        <w:topLinePunct w:val="0"/>
        <w:bidi w:val="0"/>
        <w:spacing w:line="360" w:lineRule="auto"/>
        <w:ind w:right="-334" w:rightChars="-159" w:firstLine="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目  录</w:t>
      </w:r>
    </w:p>
    <w:p w14:paraId="0A154496">
      <w:pPr>
        <w:pStyle w:val="25"/>
        <w:pageBreakBefore w:val="0"/>
        <w:tabs>
          <w:tab w:val="right" w:leader="dot" w:pos="9070"/>
        </w:tabs>
        <w:overflowPunct/>
        <w:topLinePunct w:val="0"/>
        <w:bidi w:val="0"/>
        <w:spacing w:line="360" w:lineRule="auto"/>
        <w:ind w:firstLine="480"/>
        <w:rPr>
          <w:rFonts w:hint="eastAsia" w:asciiTheme="minorEastAsia" w:hAnsiTheme="minorEastAsia" w:eastAsiaTheme="minorEastAsia" w:cstheme="minorEastAsia"/>
          <w:b/>
          <w:color w:val="auto"/>
          <w:sz w:val="21"/>
          <w:szCs w:val="21"/>
          <w:highlight w:val="none"/>
        </w:rPr>
      </w:pPr>
    </w:p>
    <w:p w14:paraId="38F989DD">
      <w:pPr>
        <w:pStyle w:val="25"/>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fldChar w:fldCharType="begin"/>
      </w:r>
      <w:r>
        <w:rPr>
          <w:rFonts w:hint="eastAsia" w:ascii="宋体" w:hAnsi="宋体" w:eastAsia="宋体" w:cs="宋体"/>
          <w:b/>
          <w:color w:val="auto"/>
          <w:sz w:val="21"/>
          <w:szCs w:val="21"/>
          <w:highlight w:val="none"/>
        </w:rPr>
        <w:instrText xml:space="preserve">TOC \o "1-4" \h \u </w:instrText>
      </w:r>
      <w:r>
        <w:rPr>
          <w:rFonts w:hint="eastAsia" w:ascii="宋体" w:hAnsi="宋体" w:eastAsia="宋体" w:cs="宋体"/>
          <w:b/>
          <w:color w:val="auto"/>
          <w:sz w:val="21"/>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_Toc12754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第一章  竞争性磋商公告</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_Toc12754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222582A3">
      <w:pPr>
        <w:pStyle w:val="25"/>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_Toc4663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第二章  供应商须知</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_Toc4663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95008C7">
      <w:pPr>
        <w:pStyle w:val="29"/>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_Toc5774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供应商须知前附表</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_Toc5774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077B8D5">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_Toc11876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1、总则</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_Toc11876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18</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1795BD30">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_Toc30717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2、采购文件</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_Toc30717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10FB63DA">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_Toc10448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3、响应文件编制</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_Toc10448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DE08FE5">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_Toc27310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4、响应文件的提交</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_Toc27310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24</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19B988B">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_Toc28798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5、磋商及评审</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_Toc28798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24</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2F9929E4">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_Toc25473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6、确定成交供应商</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_Toc25473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30DAB4BE">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_Toc2321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7、签订合同</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_Toc2321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676F2884">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_Toc14535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8、履约保证金</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_Toc14535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6C90B0A">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_Toc13287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9、预付款</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_Toc13287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1A5990DD">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_Toc8556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10、采购代理服务费</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_Toc8556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C407B44">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_Toc799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11、政府采购信用担保</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_Toc799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F162B00">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_Toc19059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12、质疑的提出与接收</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_Toc19059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73AEA60">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_Toc11681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13、知识产权</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_Toc11681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ED97C6B">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_Toc7496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14、供应商的赔偿责任</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_Toc7496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01F1B7E">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_Toc29864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15、廉洁自律规定</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_Toc29864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159F244C">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_Toc26043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16、人员回避</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_Toc26043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AFE9840">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_Toc11869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17、纪律和监督</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_Toc11869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3A697090">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_Toc15509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18、履约验收</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_Toc15509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CA68199">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_Toc26241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19、合同分包</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_Toc26241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D4B776B">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_Toc1071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20、合同转包</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_Toc1071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290E97AB">
      <w:pPr>
        <w:pStyle w:val="18"/>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_Toc19774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21、需要补充的其他内容</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_Toc19774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D8D67DD">
      <w:pPr>
        <w:pStyle w:val="25"/>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_Toc28279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第三章  货物需求及技术要求</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_Toc28279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72955844">
      <w:pPr>
        <w:pStyle w:val="25"/>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_Toc11662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zCs w:val="21"/>
          <w:highlight w:val="none"/>
        </w:rPr>
        <w:t>第四章 磋商内容、磋商过程中可能实质性变动的内容</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_Toc11662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39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434944BF">
      <w:pPr>
        <w:pStyle w:val="25"/>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_Toc55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zCs w:val="21"/>
          <w:highlight w:val="none"/>
        </w:rPr>
        <w:t>第五章 磋商程序、评审方法及评审标准</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_Toc55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40</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C23B41A">
      <w:pPr>
        <w:pStyle w:val="25"/>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_Toc12256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第六章 合同条款及格式</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_Toc12256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48</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51293878">
      <w:pPr>
        <w:pStyle w:val="29"/>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_Toc25515 </w:instrText>
      </w:r>
      <w:r>
        <w:rPr>
          <w:rFonts w:hint="eastAsia" w:ascii="宋体" w:hAnsi="宋体" w:eastAsia="宋体" w:cs="宋体"/>
          <w:color w:val="auto"/>
          <w:szCs w:val="21"/>
          <w:highlight w:val="none"/>
        </w:rPr>
        <w:fldChar w:fldCharType="separate"/>
      </w:r>
      <w:r>
        <w:rPr>
          <w:rFonts w:hint="eastAsia" w:ascii="宋体" w:hAnsi="宋体" w:eastAsia="宋体" w:cs="宋体"/>
          <w:bCs w:val="0"/>
          <w:color w:val="auto"/>
          <w:szCs w:val="21"/>
          <w:highlight w:val="none"/>
        </w:rPr>
        <w:t>第一节 政府采购合同协议书</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_Toc25515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49</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82B44A1">
      <w:pPr>
        <w:pStyle w:val="29"/>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_Toc4835 </w:instrText>
      </w:r>
      <w:r>
        <w:rPr>
          <w:rFonts w:hint="eastAsia" w:ascii="宋体" w:hAnsi="宋体" w:eastAsia="宋体" w:cs="宋体"/>
          <w:color w:val="auto"/>
          <w:szCs w:val="21"/>
          <w:highlight w:val="none"/>
        </w:rPr>
        <w:fldChar w:fldCharType="separate"/>
      </w:r>
      <w:r>
        <w:rPr>
          <w:rFonts w:hint="eastAsia" w:ascii="宋体" w:hAnsi="宋体" w:eastAsia="宋体" w:cs="宋体"/>
          <w:bCs w:val="0"/>
          <w:color w:val="auto"/>
          <w:szCs w:val="21"/>
          <w:highlight w:val="none"/>
        </w:rPr>
        <w:t>第二节 政府采购合同通用条款</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_Toc4835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53</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091FBB43">
      <w:pPr>
        <w:pStyle w:val="29"/>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_Toc11428 </w:instrText>
      </w:r>
      <w:r>
        <w:rPr>
          <w:rFonts w:hint="eastAsia" w:ascii="宋体" w:hAnsi="宋体" w:eastAsia="宋体" w:cs="宋体"/>
          <w:color w:val="auto"/>
          <w:szCs w:val="21"/>
          <w:highlight w:val="none"/>
        </w:rPr>
        <w:fldChar w:fldCharType="separate"/>
      </w:r>
      <w:r>
        <w:rPr>
          <w:rFonts w:hint="eastAsia" w:ascii="宋体" w:hAnsi="宋体" w:eastAsia="宋体" w:cs="宋体"/>
          <w:bCs w:val="0"/>
          <w:color w:val="auto"/>
          <w:szCs w:val="21"/>
          <w:highlight w:val="none"/>
          <w:lang w:val="en-US" w:eastAsia="zh-CN"/>
        </w:rPr>
        <w:t xml:space="preserve">12.2 </w:t>
      </w:r>
      <w:r>
        <w:rPr>
          <w:rFonts w:hint="eastAsia" w:ascii="宋体" w:hAnsi="宋体" w:eastAsia="宋体" w:cs="宋体"/>
          <w:bCs w:val="0"/>
          <w:color w:val="auto"/>
          <w:kern w:val="2"/>
          <w:szCs w:val="21"/>
          <w:highlight w:val="none"/>
        </w:rPr>
        <w:t>对于满足合同约定支付条件的，</w:t>
      </w:r>
      <w:r>
        <w:rPr>
          <w:rFonts w:hint="eastAsia" w:ascii="宋体" w:hAnsi="宋体" w:eastAsia="宋体" w:cs="宋体"/>
          <w:bCs w:val="0"/>
          <w:color w:val="auto"/>
          <w:kern w:val="2"/>
          <w:szCs w:val="21"/>
          <w:highlight w:val="none"/>
          <w:lang w:val="en-US" w:eastAsia="zh-CN"/>
        </w:rPr>
        <w:t>甲方</w:t>
      </w:r>
      <w:r>
        <w:rPr>
          <w:rFonts w:hint="eastAsia" w:ascii="宋体" w:hAnsi="宋体" w:eastAsia="宋体" w:cs="宋体"/>
          <w:bCs w:val="0"/>
          <w:i w:val="0"/>
          <w:iCs w:val="0"/>
          <w:caps w:val="0"/>
          <w:color w:val="auto"/>
          <w:spacing w:val="0"/>
          <w:szCs w:val="21"/>
          <w:highlight w:val="none"/>
          <w:shd w:val="clear" w:color="auto" w:fill="auto"/>
          <w:vertAlign w:val="baseline"/>
        </w:rPr>
        <w:t>原则上应当自收到发票后10个工作日内</w:t>
      </w:r>
      <w:r>
        <w:rPr>
          <w:rFonts w:hint="eastAsia" w:ascii="宋体" w:hAnsi="宋体" w:eastAsia="宋体" w:cs="宋体"/>
          <w:bCs w:val="0"/>
          <w:color w:val="auto"/>
          <w:kern w:val="2"/>
          <w:szCs w:val="21"/>
          <w:highlight w:val="none"/>
        </w:rPr>
        <w:t>将资金支付到合同约定的</w:t>
      </w:r>
      <w:r>
        <w:rPr>
          <w:rFonts w:hint="eastAsia" w:ascii="宋体" w:hAnsi="宋体" w:eastAsia="宋体" w:cs="宋体"/>
          <w:bCs w:val="0"/>
          <w:color w:val="auto"/>
          <w:kern w:val="2"/>
          <w:szCs w:val="21"/>
          <w:highlight w:val="none"/>
          <w:lang w:eastAsia="zh-CN"/>
        </w:rPr>
        <w:t>乙方</w:t>
      </w:r>
      <w:r>
        <w:rPr>
          <w:rFonts w:hint="eastAsia" w:ascii="宋体" w:hAnsi="宋体" w:eastAsia="宋体" w:cs="宋体"/>
          <w:bCs w:val="0"/>
          <w:color w:val="auto"/>
          <w:kern w:val="2"/>
          <w:szCs w:val="21"/>
          <w:highlight w:val="none"/>
        </w:rPr>
        <w:t>账户，不得以机构变动、人员更替、政策调整等为由迟延付款，不得将采购文件和合同中未规定的义务作为向</w:t>
      </w:r>
      <w:r>
        <w:rPr>
          <w:rFonts w:hint="eastAsia" w:ascii="宋体" w:hAnsi="宋体" w:eastAsia="宋体" w:cs="宋体"/>
          <w:bCs w:val="0"/>
          <w:color w:val="auto"/>
          <w:kern w:val="2"/>
          <w:szCs w:val="21"/>
          <w:highlight w:val="none"/>
          <w:lang w:val="en-US" w:eastAsia="zh-CN"/>
        </w:rPr>
        <w:t>乙方</w:t>
      </w:r>
      <w:r>
        <w:rPr>
          <w:rFonts w:hint="eastAsia" w:ascii="宋体" w:hAnsi="宋体" w:eastAsia="宋体" w:cs="宋体"/>
          <w:bCs w:val="0"/>
          <w:color w:val="auto"/>
          <w:kern w:val="2"/>
          <w:szCs w:val="21"/>
          <w:highlight w:val="none"/>
        </w:rPr>
        <w:t>付款的条件。具体合同价款支付时间在【</w:t>
      </w:r>
      <w:r>
        <w:rPr>
          <w:rFonts w:hint="eastAsia" w:ascii="宋体" w:hAnsi="宋体" w:eastAsia="宋体" w:cs="宋体"/>
          <w:bCs/>
          <w:color w:val="auto"/>
          <w:kern w:val="2"/>
          <w:szCs w:val="21"/>
          <w:highlight w:val="none"/>
        </w:rPr>
        <w:t>政府采购合同专用条款</w:t>
      </w:r>
      <w:r>
        <w:rPr>
          <w:rFonts w:hint="eastAsia" w:ascii="宋体" w:hAnsi="宋体" w:eastAsia="宋体" w:cs="宋体"/>
          <w:bCs w:val="0"/>
          <w:color w:val="auto"/>
          <w:kern w:val="2"/>
          <w:szCs w:val="21"/>
          <w:highlight w:val="none"/>
        </w:rPr>
        <w:t>】中</w:t>
      </w:r>
      <w:r>
        <w:rPr>
          <w:rFonts w:hint="eastAsia" w:ascii="宋体" w:hAnsi="宋体" w:eastAsia="宋体" w:cs="宋体"/>
          <w:bCs w:val="0"/>
          <w:color w:val="auto"/>
          <w:kern w:val="2"/>
          <w:szCs w:val="21"/>
          <w:highlight w:val="none"/>
          <w:lang w:eastAsia="zh-CN"/>
        </w:rPr>
        <w:t>约</w:t>
      </w:r>
      <w:r>
        <w:rPr>
          <w:rFonts w:hint="eastAsia" w:ascii="宋体" w:hAnsi="宋体" w:eastAsia="宋体" w:cs="宋体"/>
          <w:bCs w:val="0"/>
          <w:color w:val="auto"/>
          <w:kern w:val="2"/>
          <w:szCs w:val="21"/>
          <w:highlight w:val="none"/>
        </w:rPr>
        <w:t>定。</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_Toc11428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56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2409C695">
      <w:pPr>
        <w:pStyle w:val="25"/>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_Toc5017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第七章 响应文件格式</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_Toc5017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62</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2DE5B092">
      <w:pPr>
        <w:pStyle w:val="25"/>
        <w:tabs>
          <w:tab w:val="right" w:leader="dot" w:pos="9070"/>
        </w:tabs>
        <w:snapToGrid w:val="0"/>
        <w:spacing w:line="312"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_Toc703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供应商认为有必要的其它资料（如有）</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PAGEREF _Toc703 \h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76</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fldChar w:fldCharType="end"/>
      </w:r>
    </w:p>
    <w:p w14:paraId="65DF0380">
      <w:pPr>
        <w:pageBreakBefore w:val="0"/>
        <w:overflowPunct/>
        <w:topLinePunct w:val="0"/>
        <w:bidi w:val="0"/>
        <w:snapToGrid w:val="0"/>
        <w:spacing w:line="312" w:lineRule="auto"/>
        <w:ind w:right="-334" w:rightChars="-159" w:firstLine="482"/>
        <w:jc w:val="center"/>
        <w:rPr>
          <w:rFonts w:hint="eastAsia" w:ascii="宋体" w:hAnsi="宋体" w:eastAsia="宋体" w:cs="宋体"/>
          <w:b/>
          <w:color w:val="auto"/>
          <w:sz w:val="21"/>
          <w:szCs w:val="21"/>
          <w:highlight w:val="none"/>
        </w:rPr>
      </w:pPr>
      <w:r>
        <w:rPr>
          <w:rFonts w:hint="eastAsia" w:ascii="宋体" w:hAnsi="宋体" w:eastAsia="宋体" w:cs="宋体"/>
          <w:color w:val="auto"/>
          <w:szCs w:val="21"/>
          <w:highlight w:val="none"/>
        </w:rPr>
        <w:fldChar w:fldCharType="end"/>
      </w:r>
    </w:p>
    <w:p w14:paraId="00EFB5AD">
      <w:pPr>
        <w:pStyle w:val="2"/>
        <w:pageBreakBefore w:val="0"/>
        <w:overflowPunct/>
        <w:topLinePunct w:val="0"/>
        <w:bidi w:val="0"/>
        <w:snapToGrid w:val="0"/>
        <w:spacing w:line="312" w:lineRule="auto"/>
        <w:ind w:firstLine="643"/>
        <w:rPr>
          <w:rFonts w:hint="eastAsia" w:ascii="宋体" w:hAnsi="宋体" w:eastAsia="宋体" w:cs="宋体"/>
          <w:color w:val="auto"/>
          <w:sz w:val="21"/>
          <w:szCs w:val="21"/>
          <w:highlight w:val="none"/>
        </w:rPr>
        <w:sectPr>
          <w:footerReference r:id="rId7" w:type="first"/>
          <w:pgSz w:w="11906" w:h="16838"/>
          <w:pgMar w:top="1418" w:right="1418" w:bottom="1134" w:left="1418" w:header="851" w:footer="992" w:gutter="0"/>
          <w:pgBorders>
            <w:top w:val="none" w:sz="0" w:space="0"/>
            <w:left w:val="none" w:sz="0" w:space="0"/>
            <w:bottom w:val="none" w:sz="0" w:space="0"/>
            <w:right w:val="none" w:sz="0" w:space="0"/>
          </w:pgBorders>
          <w:pgNumType w:start="1"/>
          <w:cols w:space="720" w:num="1"/>
          <w:docGrid w:type="lines" w:linePitch="312" w:charSpace="0"/>
        </w:sectPr>
      </w:pPr>
      <w:bookmarkStart w:id="0" w:name="_Toc433093351"/>
      <w:bookmarkStart w:id="1" w:name="_Toc13450"/>
    </w:p>
    <w:p w14:paraId="5F3B3C9E">
      <w:pPr>
        <w:pStyle w:val="2"/>
        <w:pageBreakBefore w:val="0"/>
        <w:overflowPunct/>
        <w:topLinePunct w:val="0"/>
        <w:bidi w:val="0"/>
        <w:spacing w:line="360" w:lineRule="auto"/>
        <w:ind w:firstLine="643"/>
        <w:rPr>
          <w:rFonts w:hint="eastAsia" w:asciiTheme="minorEastAsia" w:hAnsiTheme="minorEastAsia" w:eastAsiaTheme="minorEastAsia" w:cstheme="minorEastAsia"/>
          <w:color w:val="auto"/>
          <w:sz w:val="44"/>
          <w:szCs w:val="44"/>
          <w:highlight w:val="none"/>
        </w:rPr>
      </w:pPr>
      <w:bookmarkStart w:id="2" w:name="_Toc7670"/>
      <w:bookmarkStart w:id="3" w:name="_Toc8142"/>
      <w:bookmarkStart w:id="4" w:name="_Toc32002"/>
      <w:bookmarkStart w:id="5" w:name="_Toc1950"/>
      <w:bookmarkStart w:id="6" w:name="_Toc15685"/>
      <w:bookmarkStart w:id="7" w:name="_Toc12754"/>
      <w:r>
        <w:rPr>
          <w:rFonts w:hint="eastAsia" w:asciiTheme="minorEastAsia" w:hAnsiTheme="minorEastAsia" w:eastAsiaTheme="minorEastAsia" w:cstheme="minorEastAsia"/>
          <w:color w:val="auto"/>
          <w:sz w:val="44"/>
          <w:szCs w:val="44"/>
          <w:highlight w:val="none"/>
        </w:rPr>
        <w:t>第一章  竞争性磋商公告</w:t>
      </w:r>
      <w:bookmarkEnd w:id="0"/>
      <w:bookmarkEnd w:id="1"/>
      <w:bookmarkEnd w:id="2"/>
      <w:bookmarkEnd w:id="3"/>
      <w:bookmarkEnd w:id="4"/>
      <w:bookmarkEnd w:id="5"/>
      <w:bookmarkEnd w:id="6"/>
      <w:bookmarkEnd w:id="7"/>
    </w:p>
    <w:p w14:paraId="01273C5D">
      <w:pPr>
        <w:pStyle w:val="36"/>
        <w:spacing w:after="0" w:line="360" w:lineRule="auto"/>
        <w:ind w:firstLine="0" w:firstLineChars="0"/>
        <w:jc w:val="center"/>
        <w:rPr>
          <w:rFonts w:hint="eastAsia" w:ascii="宋体" w:hAnsi="宋体" w:cs="宋体"/>
          <w:b/>
          <w:bCs/>
          <w:color w:val="auto"/>
          <w:highlight w:val="none"/>
        </w:rPr>
      </w:pPr>
      <w:bookmarkStart w:id="8" w:name="_Toc15172"/>
      <w:bookmarkStart w:id="9" w:name="_Toc20198"/>
      <w:bookmarkStart w:id="10" w:name="_Toc433093352"/>
      <w:bookmarkStart w:id="11" w:name="_Toc30764"/>
      <w:bookmarkStart w:id="12" w:name="_Toc20110"/>
      <w:r>
        <w:rPr>
          <w:rFonts w:hint="eastAsia" w:ascii="宋体" w:hAnsi="宋体" w:cs="宋体"/>
          <w:b/>
          <w:bCs/>
          <w:color w:val="auto"/>
          <w:sz w:val="28"/>
          <w:szCs w:val="21"/>
          <w:highlight w:val="none"/>
          <w:lang w:eastAsia="zh-CN"/>
        </w:rPr>
        <w:t>河南省精神病医院北京大学第六医院河南医院国家区域医疗中心一期项目生物反馈治疗仪采购项目竞争性磋商公告</w:t>
      </w:r>
    </w:p>
    <w:p w14:paraId="6F25ACF2">
      <w:pPr>
        <w:pStyle w:val="36"/>
        <w:spacing w:after="0" w:line="360" w:lineRule="auto"/>
        <w:ind w:firstLine="24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项目概况</w:t>
      </w:r>
    </w:p>
    <w:p w14:paraId="0A1F291D">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河南省精神病医院北京大学第六医院河南医院国家区域医疗中心一期项目生物反馈治疗仪采购项目</w:t>
      </w:r>
      <w:r>
        <w:rPr>
          <w:rFonts w:hint="eastAsia" w:ascii="宋体" w:hAnsi="宋体" w:cs="宋体"/>
          <w:color w:val="auto"/>
          <w:sz w:val="21"/>
          <w:szCs w:val="21"/>
          <w:highlight w:val="none"/>
        </w:rPr>
        <w:t>的潜在供应商应在河南省公共资源交易中心（http://hnsggzyjy.henan.gov.cn/）获取采购文件</w:t>
      </w:r>
      <w:r>
        <w:rPr>
          <w:rFonts w:hint="eastAsia" w:ascii="宋体" w:hAnsi="宋体" w:cs="宋体"/>
          <w:color w:val="auto"/>
          <w:sz w:val="21"/>
          <w:szCs w:val="21"/>
          <w:highlight w:val="none"/>
          <w:u w:val="none"/>
        </w:rPr>
        <w:t>，并于</w:t>
      </w:r>
      <w:r>
        <w:rPr>
          <w:rFonts w:hint="eastAsia" w:ascii="宋体" w:hAnsi="宋体" w:cs="宋体"/>
          <w:b w:val="0"/>
          <w:bCs w:val="0"/>
          <w:color w:val="auto"/>
          <w:sz w:val="21"/>
          <w:szCs w:val="21"/>
          <w:highlight w:val="none"/>
          <w:lang w:val="en-US" w:eastAsia="zh-CN"/>
        </w:rPr>
        <w:t>2025</w:t>
      </w:r>
      <w:r>
        <w:rPr>
          <w:rFonts w:hint="eastAsia" w:ascii="宋体" w:hAnsi="宋体" w:cs="宋体"/>
          <w:b w:val="0"/>
          <w:bCs w:val="0"/>
          <w:color w:val="auto"/>
          <w:sz w:val="21"/>
          <w:szCs w:val="21"/>
          <w:highlight w:val="none"/>
        </w:rPr>
        <w:t>年</w:t>
      </w:r>
      <w:r>
        <w:rPr>
          <w:rFonts w:hint="eastAsia" w:ascii="宋体" w:hAnsi="宋体" w:cs="宋体"/>
          <w:b w:val="0"/>
          <w:bCs w:val="0"/>
          <w:color w:val="auto"/>
          <w:sz w:val="21"/>
          <w:szCs w:val="21"/>
          <w:highlight w:val="none"/>
          <w:lang w:val="en-US" w:eastAsia="zh-CN"/>
        </w:rPr>
        <w:t>11</w:t>
      </w:r>
      <w:r>
        <w:rPr>
          <w:rFonts w:hint="eastAsia" w:ascii="宋体" w:hAnsi="宋体" w:cs="宋体"/>
          <w:b w:val="0"/>
          <w:bCs w:val="0"/>
          <w:color w:val="auto"/>
          <w:sz w:val="21"/>
          <w:szCs w:val="21"/>
          <w:highlight w:val="none"/>
        </w:rPr>
        <w:t>月</w:t>
      </w:r>
      <w:r>
        <w:rPr>
          <w:rFonts w:hint="eastAsia" w:ascii="宋体" w:hAnsi="宋体" w:cs="宋体"/>
          <w:b w:val="0"/>
          <w:bCs w:val="0"/>
          <w:color w:val="auto"/>
          <w:sz w:val="21"/>
          <w:szCs w:val="21"/>
          <w:highlight w:val="none"/>
          <w:lang w:val="en-US" w:eastAsia="zh-CN"/>
        </w:rPr>
        <w:t>6</w:t>
      </w:r>
      <w:r>
        <w:rPr>
          <w:rFonts w:hint="eastAsia" w:ascii="宋体" w:hAnsi="宋体" w:cs="宋体"/>
          <w:b w:val="0"/>
          <w:bCs w:val="0"/>
          <w:color w:val="auto"/>
          <w:sz w:val="21"/>
          <w:szCs w:val="21"/>
          <w:highlight w:val="none"/>
        </w:rPr>
        <w:t>日9点00分</w:t>
      </w:r>
      <w:r>
        <w:rPr>
          <w:rFonts w:hint="eastAsia" w:ascii="宋体" w:hAnsi="宋体" w:cs="宋体"/>
          <w:color w:val="auto"/>
          <w:sz w:val="21"/>
          <w:szCs w:val="21"/>
          <w:highlight w:val="none"/>
          <w:u w:val="none"/>
        </w:rPr>
        <w:t>（</w:t>
      </w:r>
      <w:r>
        <w:rPr>
          <w:rFonts w:hint="eastAsia" w:ascii="宋体" w:hAnsi="宋体" w:cs="宋体"/>
          <w:color w:val="auto"/>
          <w:sz w:val="21"/>
          <w:szCs w:val="21"/>
          <w:highlight w:val="none"/>
        </w:rPr>
        <w:t>北京时间）前</w:t>
      </w:r>
      <w:r>
        <w:rPr>
          <w:rFonts w:hint="eastAsia" w:ascii="宋体" w:hAnsi="宋体" w:cs="宋体"/>
          <w:color w:val="auto"/>
          <w:sz w:val="21"/>
          <w:szCs w:val="21"/>
          <w:highlight w:val="none"/>
          <w:lang w:val="en-US" w:eastAsia="zh-CN"/>
        </w:rPr>
        <w:t>递</w:t>
      </w:r>
      <w:r>
        <w:rPr>
          <w:rFonts w:hint="eastAsia" w:ascii="宋体" w:hAnsi="宋体" w:cs="宋体"/>
          <w:color w:val="auto"/>
          <w:sz w:val="21"/>
          <w:szCs w:val="21"/>
          <w:highlight w:val="none"/>
        </w:rPr>
        <w:t>交响应文件。</w:t>
      </w:r>
    </w:p>
    <w:p w14:paraId="7FB58C4A">
      <w:pPr>
        <w:pStyle w:val="36"/>
        <w:spacing w:after="0" w:line="360" w:lineRule="auto"/>
        <w:ind w:firstLine="422" w:firstLineChars="200"/>
        <w:rPr>
          <w:rFonts w:hint="eastAsia" w:ascii="宋体" w:hAnsi="宋体" w:cs="宋体"/>
          <w:b/>
          <w:bCs/>
          <w:color w:val="auto"/>
          <w:sz w:val="21"/>
          <w:szCs w:val="21"/>
          <w:highlight w:val="none"/>
        </w:rPr>
      </w:pPr>
      <w:bookmarkStart w:id="13" w:name="_Toc28359012"/>
      <w:bookmarkStart w:id="14" w:name="_Toc28359089"/>
      <w:bookmarkStart w:id="15" w:name="_Toc35393798"/>
      <w:bookmarkStart w:id="16" w:name="_Toc35393629"/>
      <w:r>
        <w:rPr>
          <w:rFonts w:hint="eastAsia" w:ascii="宋体" w:hAnsi="宋体" w:cs="宋体"/>
          <w:b/>
          <w:bCs/>
          <w:color w:val="auto"/>
          <w:sz w:val="21"/>
          <w:szCs w:val="21"/>
          <w:highlight w:val="none"/>
        </w:rPr>
        <w:t>一、项目基本情况</w:t>
      </w:r>
      <w:bookmarkEnd w:id="13"/>
      <w:bookmarkEnd w:id="14"/>
      <w:bookmarkEnd w:id="15"/>
      <w:bookmarkEnd w:id="16"/>
    </w:p>
    <w:p w14:paraId="6128CDD6">
      <w:pPr>
        <w:pStyle w:val="36"/>
        <w:spacing w:after="0"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1、项目编号：</w:t>
      </w:r>
      <w:r>
        <w:rPr>
          <w:rFonts w:hint="eastAsia" w:ascii="宋体" w:hAnsi="宋体" w:cs="宋体"/>
          <w:color w:val="auto"/>
          <w:sz w:val="21"/>
          <w:szCs w:val="21"/>
          <w:highlight w:val="none"/>
          <w:lang w:eastAsia="zh-CN"/>
        </w:rPr>
        <w:t>豫财磋商采购-2025-</w:t>
      </w:r>
      <w:r>
        <w:rPr>
          <w:rFonts w:hint="eastAsia" w:ascii="宋体" w:hAnsi="宋体" w:cs="宋体"/>
          <w:color w:val="auto"/>
          <w:sz w:val="21"/>
          <w:szCs w:val="21"/>
          <w:highlight w:val="none"/>
          <w:lang w:val="en-US" w:eastAsia="zh-CN"/>
        </w:rPr>
        <w:t>1126</w:t>
      </w:r>
    </w:p>
    <w:p w14:paraId="120C6C82">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2、项目名称：</w:t>
      </w:r>
      <w:r>
        <w:rPr>
          <w:rFonts w:hint="eastAsia" w:ascii="宋体" w:hAnsi="宋体" w:cs="宋体"/>
          <w:color w:val="auto"/>
          <w:sz w:val="21"/>
          <w:szCs w:val="21"/>
          <w:highlight w:val="none"/>
          <w:lang w:eastAsia="zh-CN"/>
        </w:rPr>
        <w:t>河南省精神病医院北京大学第六医院河南医院国家区域医疗中心一期项目生物反馈治疗仪采购项目</w:t>
      </w:r>
    </w:p>
    <w:p w14:paraId="4824DB93">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3、采购方式：竞争性磋商</w:t>
      </w:r>
    </w:p>
    <w:p w14:paraId="32739388">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4、预算金额：</w:t>
      </w:r>
      <w:r>
        <w:rPr>
          <w:rFonts w:hint="eastAsia" w:ascii="宋体" w:hAnsi="宋体" w:cs="宋体"/>
          <w:color w:val="auto"/>
          <w:sz w:val="21"/>
          <w:szCs w:val="21"/>
          <w:highlight w:val="none"/>
          <w:lang w:val="en-US" w:eastAsia="zh-CN"/>
        </w:rPr>
        <w:t>1280000</w:t>
      </w:r>
      <w:r>
        <w:rPr>
          <w:rFonts w:hint="eastAsia" w:ascii="宋体" w:hAnsi="宋体" w:cs="宋体"/>
          <w:color w:val="auto"/>
          <w:sz w:val="21"/>
          <w:szCs w:val="21"/>
          <w:highlight w:val="none"/>
        </w:rPr>
        <w:t>元，最高限价：</w:t>
      </w:r>
      <w:r>
        <w:rPr>
          <w:rFonts w:hint="eastAsia" w:ascii="宋体" w:hAnsi="宋体" w:cs="宋体"/>
          <w:color w:val="auto"/>
          <w:sz w:val="21"/>
          <w:szCs w:val="21"/>
          <w:highlight w:val="none"/>
          <w:lang w:val="en-US" w:eastAsia="zh-CN"/>
        </w:rPr>
        <w:t>1280000</w:t>
      </w:r>
      <w:r>
        <w:rPr>
          <w:rFonts w:hint="eastAsia" w:ascii="宋体" w:hAnsi="宋体" w:cs="宋体"/>
          <w:color w:val="auto"/>
          <w:sz w:val="21"/>
          <w:szCs w:val="21"/>
          <w:highlight w:val="none"/>
        </w:rPr>
        <w:t>元</w:t>
      </w:r>
    </w:p>
    <w:tbl>
      <w:tblPr>
        <w:tblStyle w:val="3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661"/>
        <w:gridCol w:w="1950"/>
        <w:gridCol w:w="1993"/>
        <w:gridCol w:w="2070"/>
      </w:tblGrid>
      <w:tr w14:paraId="24E0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55" w:type="dxa"/>
            <w:vAlign w:val="center"/>
          </w:tcPr>
          <w:p w14:paraId="22EE541C">
            <w:pPr>
              <w:widowControl/>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序号</w:t>
            </w:r>
          </w:p>
        </w:tc>
        <w:tc>
          <w:tcPr>
            <w:tcW w:w="1661" w:type="dxa"/>
            <w:vAlign w:val="center"/>
          </w:tcPr>
          <w:p w14:paraId="11A10267">
            <w:pPr>
              <w:widowControl/>
              <w:wordWrap w:val="0"/>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包号</w:t>
            </w:r>
          </w:p>
        </w:tc>
        <w:tc>
          <w:tcPr>
            <w:tcW w:w="1950" w:type="dxa"/>
            <w:vAlign w:val="center"/>
          </w:tcPr>
          <w:p w14:paraId="174751A3">
            <w:pPr>
              <w:widowControl/>
              <w:wordWrap w:val="0"/>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包名称</w:t>
            </w:r>
          </w:p>
        </w:tc>
        <w:tc>
          <w:tcPr>
            <w:tcW w:w="1993" w:type="dxa"/>
            <w:vAlign w:val="center"/>
          </w:tcPr>
          <w:p w14:paraId="6D3C6181">
            <w:pPr>
              <w:widowControl/>
              <w:wordWrap w:val="0"/>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包预算（元）</w:t>
            </w:r>
          </w:p>
        </w:tc>
        <w:tc>
          <w:tcPr>
            <w:tcW w:w="2070" w:type="dxa"/>
            <w:vAlign w:val="center"/>
          </w:tcPr>
          <w:p w14:paraId="09AA4E3C">
            <w:pPr>
              <w:widowControl/>
              <w:wordWrap w:val="0"/>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包最高限价（元）</w:t>
            </w:r>
          </w:p>
        </w:tc>
      </w:tr>
      <w:tr w14:paraId="6930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55" w:type="dxa"/>
            <w:vAlign w:val="center"/>
          </w:tcPr>
          <w:p w14:paraId="42CE4C9E">
            <w:pPr>
              <w:widowControl/>
              <w:wordWrap w:val="0"/>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1</w:t>
            </w:r>
          </w:p>
        </w:tc>
        <w:tc>
          <w:tcPr>
            <w:tcW w:w="1661" w:type="dxa"/>
            <w:vAlign w:val="center"/>
          </w:tcPr>
          <w:p w14:paraId="6C76B633">
            <w:pPr>
              <w:widowControl/>
              <w:wordWrap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豫政采(2)20251871-1</w:t>
            </w:r>
          </w:p>
        </w:tc>
        <w:tc>
          <w:tcPr>
            <w:tcW w:w="1950" w:type="dxa"/>
            <w:vAlign w:val="center"/>
          </w:tcPr>
          <w:p w14:paraId="0883B0AE">
            <w:pPr>
              <w:widowControl/>
              <w:wordWrap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河南省精神病医院北京大学第六医院河南医院国家区域医疗中心一期项目生物反馈治疗仪采购项目</w:t>
            </w:r>
          </w:p>
        </w:tc>
        <w:tc>
          <w:tcPr>
            <w:tcW w:w="1993" w:type="dxa"/>
            <w:vAlign w:val="center"/>
          </w:tcPr>
          <w:p w14:paraId="060B52C6">
            <w:pPr>
              <w:widowControl/>
              <w:wordWrap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1280000</w:t>
            </w:r>
          </w:p>
        </w:tc>
        <w:tc>
          <w:tcPr>
            <w:tcW w:w="2070" w:type="dxa"/>
            <w:vAlign w:val="center"/>
          </w:tcPr>
          <w:p w14:paraId="519E49D6">
            <w:pPr>
              <w:widowControl/>
              <w:wordWrap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1280000</w:t>
            </w:r>
          </w:p>
        </w:tc>
      </w:tr>
    </w:tbl>
    <w:p w14:paraId="1E9273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5、采购需求（包括但不限于标的的名称、数量、简要技术需求或服务要求等）</w:t>
      </w:r>
      <w:bookmarkStart w:id="17" w:name="_Toc28359013"/>
      <w:bookmarkStart w:id="18" w:name="_Toc35393799"/>
      <w:bookmarkStart w:id="19" w:name="_Toc28359090"/>
      <w:bookmarkStart w:id="20" w:name="_Toc35393630"/>
    </w:p>
    <w:p w14:paraId="3FF20C6D">
      <w:pPr>
        <w:spacing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5.1采购内容：</w:t>
      </w:r>
    </w:p>
    <w:p w14:paraId="3E5D2FFC">
      <w:pPr>
        <w:pStyle w:val="36"/>
        <w:spacing w:after="0" w:line="360" w:lineRule="auto"/>
        <w:ind w:firstLine="420" w:firstLineChars="200"/>
        <w:rPr>
          <w:rFonts w:hint="eastAsia" w:ascii="宋体" w:hAnsi="宋体" w:cs="宋体"/>
          <w:b w:val="0"/>
          <w:bCs w:val="0"/>
          <w:color w:val="auto"/>
          <w:sz w:val="21"/>
          <w:szCs w:val="21"/>
          <w:highlight w:val="none"/>
          <w:lang w:eastAsia="zh-CN"/>
        </w:rPr>
      </w:pPr>
      <w:r>
        <w:rPr>
          <w:rFonts w:hint="eastAsia" w:ascii="宋体" w:hAnsi="宋体" w:cs="宋体"/>
          <w:color w:val="auto"/>
          <w:sz w:val="21"/>
          <w:szCs w:val="21"/>
          <w:highlight w:val="none"/>
          <w:lang w:eastAsia="zh-CN"/>
        </w:rPr>
        <w:t>河南省精神病医院北京大学第六医院河南医院国家区域医疗中心一期项目生物反馈治疗仪采购项目</w:t>
      </w:r>
      <w:r>
        <w:rPr>
          <w:rFonts w:hint="eastAsia" w:ascii="宋体" w:hAnsi="宋体" w:cs="宋体"/>
          <w:b w:val="0"/>
          <w:bCs w:val="0"/>
          <w:color w:val="auto"/>
          <w:sz w:val="21"/>
          <w:szCs w:val="21"/>
          <w:highlight w:val="none"/>
        </w:rPr>
        <w:t>主要采购</w:t>
      </w:r>
      <w:r>
        <w:rPr>
          <w:rFonts w:hint="eastAsia" w:ascii="宋体" w:hAnsi="宋体" w:cs="宋体"/>
          <w:b w:val="0"/>
          <w:bCs w:val="0"/>
          <w:color w:val="auto"/>
          <w:sz w:val="21"/>
          <w:szCs w:val="21"/>
          <w:highlight w:val="none"/>
          <w:lang w:val="en-US" w:eastAsia="zh-CN"/>
        </w:rPr>
        <w:t>内容</w:t>
      </w:r>
      <w:r>
        <w:rPr>
          <w:rFonts w:hint="eastAsia" w:ascii="宋体" w:hAnsi="宋体" w:cs="宋体"/>
          <w:b w:val="0"/>
          <w:bCs w:val="0"/>
          <w:color w:val="auto"/>
          <w:sz w:val="21"/>
          <w:szCs w:val="21"/>
          <w:highlight w:val="none"/>
        </w:rPr>
        <w:t>为</w:t>
      </w:r>
      <w:r>
        <w:rPr>
          <w:rFonts w:hint="eastAsia" w:ascii="宋体" w:hAnsi="宋体" w:cs="宋体"/>
          <w:b w:val="0"/>
          <w:bCs w:val="0"/>
          <w:color w:val="auto"/>
          <w:sz w:val="21"/>
          <w:szCs w:val="21"/>
          <w:highlight w:val="none"/>
          <w:lang w:eastAsia="zh-CN"/>
        </w:rPr>
        <w:t>生物反馈治疗仪（10人台）4套</w:t>
      </w:r>
      <w:r>
        <w:rPr>
          <w:rFonts w:hint="eastAsia" w:ascii="宋体" w:hAnsi="宋体" w:cs="宋体"/>
          <w:b w:val="0"/>
          <w:bCs w:val="0"/>
          <w:color w:val="auto"/>
          <w:sz w:val="21"/>
          <w:szCs w:val="21"/>
          <w:highlight w:val="none"/>
        </w:rPr>
        <w:t>（详见第</w:t>
      </w:r>
      <w:r>
        <w:rPr>
          <w:rFonts w:hint="eastAsia" w:ascii="宋体" w:hAnsi="宋体" w:cs="宋体"/>
          <w:b w:val="0"/>
          <w:bCs w:val="0"/>
          <w:color w:val="auto"/>
          <w:sz w:val="21"/>
          <w:szCs w:val="21"/>
          <w:highlight w:val="none"/>
          <w:lang w:val="en-US" w:eastAsia="zh-CN"/>
        </w:rPr>
        <w:t xml:space="preserve">三章 </w:t>
      </w:r>
      <w:r>
        <w:rPr>
          <w:rFonts w:hint="eastAsia" w:ascii="宋体" w:hAnsi="宋体" w:cs="宋体"/>
          <w:b w:val="0"/>
          <w:bCs w:val="0"/>
          <w:color w:val="auto"/>
          <w:sz w:val="21"/>
          <w:szCs w:val="21"/>
          <w:highlight w:val="none"/>
        </w:rPr>
        <w:t>货物需求及技术要求）</w:t>
      </w:r>
      <w:r>
        <w:rPr>
          <w:rFonts w:hint="eastAsia" w:ascii="宋体" w:hAnsi="宋体" w:cs="宋体"/>
          <w:b w:val="0"/>
          <w:bCs w:val="0"/>
          <w:color w:val="auto"/>
          <w:sz w:val="21"/>
          <w:szCs w:val="21"/>
          <w:highlight w:val="none"/>
          <w:lang w:eastAsia="zh-CN"/>
        </w:rPr>
        <w:t>；</w:t>
      </w:r>
    </w:p>
    <w:p w14:paraId="2F1BA0B8">
      <w:pPr>
        <w:pStyle w:val="36"/>
        <w:spacing w:after="0" w:line="360" w:lineRule="auto"/>
        <w:ind w:firstLine="420" w:firstLineChars="200"/>
        <w:rPr>
          <w:rFonts w:hint="eastAsia" w:ascii="宋体" w:hAnsi="宋体" w:cs="宋体"/>
          <w:b w:val="0"/>
          <w:bCs w:val="0"/>
          <w:color w:val="auto"/>
          <w:sz w:val="21"/>
          <w:szCs w:val="21"/>
          <w:highlight w:val="none"/>
          <w:lang w:eastAsia="zh-CN"/>
        </w:rPr>
      </w:pPr>
      <w:r>
        <w:rPr>
          <w:rFonts w:hint="eastAsia" w:ascii="宋体" w:hAnsi="宋体" w:cs="宋体"/>
          <w:b w:val="0"/>
          <w:bCs w:val="0"/>
          <w:color w:val="auto"/>
          <w:sz w:val="21"/>
          <w:szCs w:val="21"/>
          <w:highlight w:val="none"/>
        </w:rPr>
        <w:t>5.2交货期：合同生效后</w:t>
      </w:r>
      <w:r>
        <w:rPr>
          <w:rFonts w:hint="eastAsia" w:ascii="宋体" w:hAnsi="宋体" w:cs="宋体"/>
          <w:b w:val="0"/>
          <w:bCs w:val="0"/>
          <w:color w:val="auto"/>
          <w:sz w:val="21"/>
          <w:szCs w:val="21"/>
          <w:highlight w:val="none"/>
          <w:lang w:val="en-US" w:eastAsia="zh-CN"/>
        </w:rPr>
        <w:t>60</w:t>
      </w:r>
      <w:r>
        <w:rPr>
          <w:rFonts w:hint="eastAsia" w:ascii="宋体" w:hAnsi="宋体" w:cs="宋体"/>
          <w:b w:val="0"/>
          <w:bCs w:val="0"/>
          <w:color w:val="auto"/>
          <w:sz w:val="21"/>
          <w:szCs w:val="21"/>
          <w:highlight w:val="none"/>
        </w:rPr>
        <w:t>日历天内交货安装调试完毕,达到验收条件</w:t>
      </w:r>
      <w:r>
        <w:rPr>
          <w:rFonts w:hint="eastAsia" w:ascii="宋体" w:hAnsi="宋体" w:cs="宋体"/>
          <w:b w:val="0"/>
          <w:bCs w:val="0"/>
          <w:color w:val="auto"/>
          <w:sz w:val="21"/>
          <w:szCs w:val="21"/>
          <w:highlight w:val="none"/>
          <w:lang w:eastAsia="zh-CN"/>
        </w:rPr>
        <w:t>；</w:t>
      </w:r>
    </w:p>
    <w:p w14:paraId="4591883C">
      <w:pPr>
        <w:pStyle w:val="36"/>
        <w:spacing w:after="0"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5.3交货地点：采购人指定地点；</w:t>
      </w:r>
    </w:p>
    <w:p w14:paraId="35AFEDB1">
      <w:pPr>
        <w:pStyle w:val="36"/>
        <w:spacing w:after="0"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5.4质量要求：符合国家或行业规定的合格标准，满足采购人提出的技术标准及要求；</w:t>
      </w:r>
    </w:p>
    <w:p w14:paraId="4C5C409B">
      <w:pPr>
        <w:pStyle w:val="36"/>
        <w:spacing w:after="0" w:line="360" w:lineRule="auto"/>
        <w:ind w:firstLine="420" w:firstLineChars="200"/>
        <w:rPr>
          <w:rFonts w:hint="eastAsia" w:ascii="宋体" w:hAnsi="宋体" w:cs="宋体"/>
          <w:b w:val="0"/>
          <w:bCs w:val="0"/>
          <w:color w:val="auto"/>
          <w:sz w:val="21"/>
          <w:szCs w:val="21"/>
          <w:highlight w:val="none"/>
          <w:lang w:eastAsia="zh-CN"/>
        </w:rPr>
      </w:pPr>
      <w:r>
        <w:rPr>
          <w:rFonts w:hint="eastAsia" w:ascii="宋体" w:hAnsi="宋体" w:cs="宋体"/>
          <w:b w:val="0"/>
          <w:bCs w:val="0"/>
          <w:color w:val="auto"/>
          <w:sz w:val="21"/>
          <w:szCs w:val="21"/>
          <w:highlight w:val="none"/>
        </w:rPr>
        <w:t>5.5质保期：自全部设备验收合格之日起</w:t>
      </w:r>
      <w:r>
        <w:rPr>
          <w:rFonts w:hint="eastAsia" w:ascii="宋体" w:hAnsi="宋体" w:cs="宋体"/>
          <w:b w:val="0"/>
          <w:bCs w:val="0"/>
          <w:color w:val="auto"/>
          <w:sz w:val="21"/>
          <w:szCs w:val="21"/>
          <w:highlight w:val="none"/>
          <w:lang w:val="en-US" w:eastAsia="zh-CN"/>
        </w:rPr>
        <w:t>五年整机原厂质保</w:t>
      </w:r>
      <w:r>
        <w:rPr>
          <w:rFonts w:hint="eastAsia" w:ascii="宋体" w:hAnsi="宋体" w:cs="宋体"/>
          <w:b w:val="0"/>
          <w:bCs w:val="0"/>
          <w:color w:val="auto"/>
          <w:sz w:val="21"/>
          <w:szCs w:val="21"/>
          <w:highlight w:val="none"/>
          <w:lang w:eastAsia="zh-CN"/>
        </w:rPr>
        <w:t>；</w:t>
      </w:r>
    </w:p>
    <w:p w14:paraId="7BF7FBC5">
      <w:pPr>
        <w:pStyle w:val="36"/>
        <w:spacing w:after="0" w:line="360" w:lineRule="auto"/>
        <w:ind w:firstLine="420" w:firstLineChars="20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rPr>
        <w:t>5.</w:t>
      </w:r>
      <w:r>
        <w:rPr>
          <w:rFonts w:hint="eastAsia" w:ascii="宋体" w:hAnsi="宋体" w:cs="宋体"/>
          <w:b w:val="0"/>
          <w:bCs w:val="0"/>
          <w:color w:val="auto"/>
          <w:sz w:val="21"/>
          <w:szCs w:val="21"/>
          <w:highlight w:val="none"/>
          <w:lang w:val="en-US" w:eastAsia="zh-CN"/>
        </w:rPr>
        <w:t>6</w:t>
      </w:r>
      <w:r>
        <w:rPr>
          <w:rFonts w:hint="eastAsia" w:ascii="宋体" w:hAnsi="宋体" w:cs="宋体"/>
          <w:b w:val="0"/>
          <w:bCs w:val="0"/>
          <w:color w:val="auto"/>
          <w:sz w:val="21"/>
          <w:szCs w:val="21"/>
          <w:highlight w:val="none"/>
        </w:rPr>
        <w:t>包段划分：</w:t>
      </w:r>
      <w:r>
        <w:rPr>
          <w:rFonts w:hint="eastAsia" w:ascii="宋体" w:hAnsi="宋体" w:cs="宋体"/>
          <w:b w:val="0"/>
          <w:bCs w:val="0"/>
          <w:color w:val="auto"/>
          <w:sz w:val="21"/>
          <w:szCs w:val="21"/>
          <w:highlight w:val="none"/>
          <w:lang w:val="en-US" w:eastAsia="zh-CN"/>
        </w:rPr>
        <w:t>一个标段</w:t>
      </w:r>
    </w:p>
    <w:p w14:paraId="727FA19A">
      <w:pPr>
        <w:pStyle w:val="36"/>
        <w:spacing w:after="0"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6</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rPr>
        <w:t>合同履约期限：自合同签订至质保期结束；</w:t>
      </w:r>
    </w:p>
    <w:p w14:paraId="2091709F">
      <w:pPr>
        <w:pStyle w:val="36"/>
        <w:spacing w:after="0"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7</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rPr>
        <w:t>是否接受进口产品：</w:t>
      </w:r>
      <w:r>
        <w:rPr>
          <w:rFonts w:hint="eastAsia" w:ascii="宋体" w:hAnsi="宋体" w:cs="宋体"/>
          <w:b w:val="0"/>
          <w:bCs w:val="0"/>
          <w:color w:val="auto"/>
          <w:sz w:val="21"/>
          <w:szCs w:val="21"/>
          <w:highlight w:val="none"/>
          <w:lang w:val="en-US" w:eastAsia="zh-CN"/>
        </w:rPr>
        <w:t>否</w:t>
      </w:r>
      <w:r>
        <w:rPr>
          <w:rFonts w:hint="eastAsia" w:ascii="宋体" w:hAnsi="宋体" w:cs="宋体"/>
          <w:b w:val="0"/>
          <w:bCs w:val="0"/>
          <w:color w:val="auto"/>
          <w:sz w:val="21"/>
          <w:szCs w:val="21"/>
          <w:highlight w:val="none"/>
        </w:rPr>
        <w:t>；</w:t>
      </w:r>
    </w:p>
    <w:p w14:paraId="092E1196">
      <w:pPr>
        <w:pStyle w:val="36"/>
        <w:spacing w:after="0"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8</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rPr>
        <w:t>本项目是否接受联合体投标：否；</w:t>
      </w:r>
    </w:p>
    <w:p w14:paraId="3D19EB69">
      <w:pPr>
        <w:pStyle w:val="36"/>
        <w:spacing w:after="0" w:line="360" w:lineRule="auto"/>
        <w:ind w:firstLine="420" w:firstLineChars="200"/>
        <w:rPr>
          <w:rFonts w:hint="eastAsia" w:ascii="宋体" w:hAnsi="宋体" w:cs="宋体"/>
          <w:b/>
          <w:bCs/>
          <w:color w:val="auto"/>
          <w:sz w:val="21"/>
          <w:szCs w:val="21"/>
          <w:highlight w:val="none"/>
        </w:rPr>
      </w:pPr>
      <w:r>
        <w:rPr>
          <w:rFonts w:hint="eastAsia" w:ascii="宋体" w:hAnsi="宋体" w:cs="宋体"/>
          <w:b w:val="0"/>
          <w:bCs w:val="0"/>
          <w:color w:val="auto"/>
          <w:sz w:val="21"/>
          <w:szCs w:val="21"/>
          <w:highlight w:val="none"/>
        </w:rPr>
        <w:t>9</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rPr>
        <w:t>是否专门面向中小企业：否。</w:t>
      </w:r>
    </w:p>
    <w:p w14:paraId="318023F4">
      <w:pPr>
        <w:pStyle w:val="36"/>
        <w:spacing w:after="0" w:line="360" w:lineRule="auto"/>
        <w:ind w:firstLine="24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7"/>
      <w:bookmarkEnd w:id="18"/>
      <w:bookmarkEnd w:id="19"/>
      <w:bookmarkEnd w:id="20"/>
    </w:p>
    <w:p w14:paraId="119630E0">
      <w:pPr>
        <w:snapToGrid w:val="0"/>
        <w:spacing w:line="360" w:lineRule="auto"/>
        <w:ind w:firstLine="420" w:firstLineChars="200"/>
        <w:rPr>
          <w:rFonts w:hint="eastAsia" w:ascii="宋体" w:hAnsi="宋体" w:eastAsia="宋体" w:cs="宋体"/>
          <w:color w:val="auto"/>
          <w:sz w:val="21"/>
          <w:szCs w:val="21"/>
          <w:highlight w:val="none"/>
        </w:rPr>
      </w:pPr>
      <w:bookmarkStart w:id="21" w:name="_Toc28359014"/>
      <w:bookmarkStart w:id="22" w:name="_Toc28359091"/>
      <w:r>
        <w:rPr>
          <w:rFonts w:hint="eastAsia" w:ascii="宋体" w:hAnsi="宋体" w:eastAsia="宋体" w:cs="宋体"/>
          <w:color w:val="auto"/>
          <w:sz w:val="21"/>
          <w:szCs w:val="21"/>
          <w:highlight w:val="none"/>
        </w:rPr>
        <w:t>1.满足《中华人民共和国政府采购法》第二十二条规定；</w:t>
      </w:r>
    </w:p>
    <w:p w14:paraId="73D793A2">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2.落实政府采购政策需满足的资格要求：无；</w:t>
      </w:r>
    </w:p>
    <w:p w14:paraId="373FF4CA">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w:t>
      </w:r>
    </w:p>
    <w:p w14:paraId="63CBB85C">
      <w:pPr>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3.1响应产品须符合中华人民共和国国务院令第739号《医疗器械监督管理条例》相关规定，取得医疗器械注册证或医疗器械产品相关备案凭证；</w:t>
      </w:r>
    </w:p>
    <w:p w14:paraId="6ADE1306">
      <w:pPr>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①供应商为生产企业的应提供食品药品监督管理部门颁发的《医疗器械生产许可证》或在有效期内的《医疗器械生产企业许可证》；②供应商为代理商或经销商的应提供在有效期内的《医疗器械经营许可证》或《医疗器械经营备案凭证》；</w:t>
      </w:r>
    </w:p>
    <w:p w14:paraId="0F380A1D">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依据财库[2015]150号文件规定,在行政处罚有效期内的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，拒绝参与本次采购活动。</w:t>
      </w:r>
    </w:p>
    <w:p w14:paraId="51664A83">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根据《关于在政府采购活动中查询及使用信用记录有关问题的通知》(财库[2016]125号)、《河南省财政厅关于转发财政部关于在政府采购活动中查询及使用信用记录有关问题的通知》（豫财购〔2016〕15号）的规定，采购人或采购代理机构将通过“信用中国”网站（www.creditchina.gov.cn）、中国执行信息公开网（http://zxgk.court.gov.cn）、中国政府采购网（www.ccgp.gov.cn）、国家企业信用信息公示系统（http://www.gsxt.gov.cn）等渠道查询</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信用记录，被列入失信被执行人、重大税收违法失信主体、政府采购严重违法失信行为记录名单、严重违法失信名单的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将被拒绝参与本项目政府采购活动（截止时点：投标截止时间）。在规定的查询时间之后，网站信息发生的任何变更均不再作为评审依据。</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自行提供的与网站信息不一致的其他证明材料亦不作为资格审查的依据。信用信息查询记录和证据将同采购文件等资料一同归档保存。</w:t>
      </w:r>
    </w:p>
    <w:p w14:paraId="2DBE14F6">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单位负责人为同一人或者存在直接控股、管理关系的不同供应商，全部或者部分股东为同一法人、其他组织或者自然人的不同供应商，同一自然人在两个以上供应商任职的不同供应商，不得参加同一合同项下的</w:t>
      </w:r>
      <w:r>
        <w:rPr>
          <w:rFonts w:hint="eastAsia" w:asciiTheme="minorEastAsia" w:hAnsiTheme="minorEastAsia" w:eastAsiaTheme="minorEastAsia" w:cstheme="minorEastAsia"/>
          <w:bCs/>
          <w:snapToGrid w:val="0"/>
          <w:color w:val="auto"/>
          <w:kern w:val="0"/>
          <w:sz w:val="21"/>
          <w:szCs w:val="21"/>
          <w:highlight w:val="none"/>
        </w:rPr>
        <w:t>政府采购活动</w:t>
      </w:r>
      <w:r>
        <w:rPr>
          <w:rFonts w:hint="eastAsia" w:ascii="宋体" w:hAnsi="宋体" w:eastAsia="宋体" w:cs="宋体"/>
          <w:color w:val="auto"/>
          <w:sz w:val="21"/>
          <w:szCs w:val="21"/>
          <w:highlight w:val="none"/>
        </w:rPr>
        <w:t>。</w:t>
      </w:r>
    </w:p>
    <w:p w14:paraId="5D8DE74B">
      <w:pPr>
        <w:pStyle w:val="36"/>
        <w:spacing w:after="0" w:line="360" w:lineRule="auto"/>
        <w:ind w:firstLine="241"/>
        <w:rPr>
          <w:rFonts w:hint="eastAsia" w:ascii="宋体" w:hAnsi="宋体" w:cs="宋体"/>
          <w:b/>
          <w:bCs/>
          <w:color w:val="auto"/>
          <w:sz w:val="21"/>
          <w:szCs w:val="21"/>
          <w:highlight w:val="none"/>
        </w:rPr>
      </w:pPr>
      <w:bookmarkStart w:id="23" w:name="_Toc35393631"/>
      <w:bookmarkStart w:id="24" w:name="_Toc35393800"/>
      <w:r>
        <w:rPr>
          <w:rFonts w:hint="eastAsia" w:ascii="宋体" w:hAnsi="宋体" w:cs="宋体"/>
          <w:b/>
          <w:bCs/>
          <w:color w:val="auto"/>
          <w:sz w:val="21"/>
          <w:szCs w:val="21"/>
          <w:highlight w:val="none"/>
        </w:rPr>
        <w:t>三、获取采购文件</w:t>
      </w:r>
      <w:bookmarkEnd w:id="21"/>
      <w:bookmarkEnd w:id="22"/>
      <w:bookmarkEnd w:id="23"/>
      <w:bookmarkEnd w:id="24"/>
    </w:p>
    <w:p w14:paraId="0B9813BF">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1.时间：</w:t>
      </w:r>
      <w:r>
        <w:rPr>
          <w:rFonts w:hint="eastAsia" w:ascii="宋体" w:hAnsi="宋体" w:cs="宋体"/>
          <w:color w:val="auto"/>
          <w:sz w:val="21"/>
          <w:szCs w:val="21"/>
          <w:highlight w:val="none"/>
          <w:lang w:eastAsia="zh-CN"/>
        </w:rPr>
        <w:t>2</w:t>
      </w:r>
      <w:r>
        <w:rPr>
          <w:rFonts w:hint="eastAsia" w:ascii="宋体" w:hAnsi="宋体" w:cs="宋体"/>
          <w:color w:val="auto"/>
          <w:sz w:val="21"/>
          <w:szCs w:val="21"/>
          <w:highlight w:val="none"/>
          <w:lang w:val="en-US" w:eastAsia="zh-CN"/>
        </w:rPr>
        <w:t>025</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27</w:t>
      </w:r>
      <w:r>
        <w:rPr>
          <w:rFonts w:hint="eastAsia" w:ascii="宋体" w:hAnsi="宋体" w:cs="宋体"/>
          <w:color w:val="auto"/>
          <w:sz w:val="21"/>
          <w:szCs w:val="21"/>
          <w:highlight w:val="none"/>
        </w:rPr>
        <w:t>日至</w:t>
      </w:r>
      <w:r>
        <w:rPr>
          <w:rFonts w:hint="eastAsia" w:ascii="宋体" w:hAnsi="宋体" w:cs="宋体"/>
          <w:color w:val="auto"/>
          <w:sz w:val="21"/>
          <w:szCs w:val="21"/>
          <w:highlight w:val="none"/>
          <w:lang w:val="en-US" w:eastAsia="zh-CN"/>
        </w:rPr>
        <w:t>2025</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31</w:t>
      </w:r>
      <w:r>
        <w:rPr>
          <w:rFonts w:hint="eastAsia" w:ascii="宋体" w:hAnsi="宋体" w:cs="宋体"/>
          <w:color w:val="auto"/>
          <w:sz w:val="21"/>
          <w:szCs w:val="21"/>
          <w:highlight w:val="none"/>
        </w:rPr>
        <w:t>日（北京时间，法定节假日除外 ）；</w:t>
      </w:r>
    </w:p>
    <w:p w14:paraId="60D9B5AB">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2.地点：河南省公共资源交易中心网站下载；</w:t>
      </w:r>
    </w:p>
    <w:p w14:paraId="4264FFE5">
      <w:pPr>
        <w:spacing w:line="360" w:lineRule="auto"/>
        <w:ind w:firstLine="420" w:firstLineChars="200"/>
        <w:rPr>
          <w:rFonts w:hint="eastAsia" w:ascii="宋体" w:hAnsi="宋体" w:eastAsia="宋体" w:cs="宋体"/>
          <w:i w:val="0"/>
          <w:iCs w:val="0"/>
          <w:color w:val="auto"/>
          <w:kern w:val="0"/>
          <w:szCs w:val="21"/>
          <w:highlight w:val="none"/>
          <w:lang w:bidi="ar"/>
        </w:rPr>
      </w:pPr>
      <w:r>
        <w:rPr>
          <w:rFonts w:hint="eastAsia" w:ascii="宋体" w:hAnsi="宋体" w:eastAsia="宋体" w:cs="宋体"/>
          <w:color w:val="auto"/>
          <w:kern w:val="0"/>
          <w:sz w:val="21"/>
          <w:szCs w:val="21"/>
          <w:highlight w:val="none"/>
          <w:lang w:bidi="ar"/>
        </w:rPr>
        <w:t>3.方式：</w:t>
      </w:r>
      <w:r>
        <w:rPr>
          <w:rFonts w:hint="eastAsia" w:ascii="宋体" w:hAnsi="宋体" w:eastAsia="宋体" w:cs="宋体"/>
          <w:i w:val="0"/>
          <w:iCs w:val="0"/>
          <w:color w:val="auto"/>
          <w:kern w:val="0"/>
          <w:szCs w:val="21"/>
          <w:highlight w:val="none"/>
          <w:lang w:bidi="ar"/>
        </w:rPr>
        <w:t>市场主体需要完成信息登记及CA数字证书办理，才能通过省公共资源交易平台参与交易活动，具体办理事宜请查阅河南省公共资源交易中心网站相关文件。登录河南省公共资源交易中心网站，凭企业CA数字证书下载采购文件。供应商未按规定时间在网上下载采购文件的，无法参加本次采购活动。</w:t>
      </w:r>
    </w:p>
    <w:p w14:paraId="23CEEEFF">
      <w:pPr>
        <w:pStyle w:val="36"/>
        <w:spacing w:after="0" w:line="36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sz w:val="21"/>
          <w:szCs w:val="21"/>
          <w:highlight w:val="none"/>
          <w:lang w:bidi="ar"/>
        </w:rPr>
        <w:t>4、售价：0元。</w:t>
      </w:r>
    </w:p>
    <w:p w14:paraId="77C9F8CA">
      <w:pPr>
        <w:pStyle w:val="36"/>
        <w:spacing w:after="0" w:line="360" w:lineRule="auto"/>
        <w:ind w:firstLine="241"/>
        <w:rPr>
          <w:rFonts w:hint="eastAsia" w:ascii="宋体" w:hAnsi="宋体" w:cs="宋体"/>
          <w:b/>
          <w:bCs/>
          <w:color w:val="auto"/>
          <w:sz w:val="21"/>
          <w:szCs w:val="21"/>
          <w:highlight w:val="none"/>
        </w:rPr>
      </w:pPr>
      <w:bookmarkStart w:id="25" w:name="_Toc28359015"/>
      <w:bookmarkStart w:id="26" w:name="_Toc35393801"/>
      <w:bookmarkStart w:id="27" w:name="_Toc35393632"/>
      <w:bookmarkStart w:id="28" w:name="_Toc28359092"/>
      <w:r>
        <w:rPr>
          <w:rFonts w:hint="eastAsia" w:ascii="宋体" w:hAnsi="宋体" w:cs="宋体"/>
          <w:b/>
          <w:bCs/>
          <w:color w:val="auto"/>
          <w:sz w:val="21"/>
          <w:szCs w:val="21"/>
          <w:highlight w:val="none"/>
        </w:rPr>
        <w:t>四、响应文件提交</w:t>
      </w:r>
      <w:bookmarkEnd w:id="25"/>
      <w:bookmarkEnd w:id="26"/>
      <w:bookmarkEnd w:id="27"/>
      <w:bookmarkEnd w:id="28"/>
    </w:p>
    <w:p w14:paraId="73FF119D">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1.截止时间：</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lang w:val="en-US" w:eastAsia="zh-CN"/>
        </w:rPr>
        <w:t>025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日9点00分</w:t>
      </w:r>
      <w:r>
        <w:rPr>
          <w:rFonts w:hint="eastAsia" w:ascii="宋体" w:hAnsi="宋体" w:cs="宋体"/>
          <w:color w:val="auto"/>
          <w:sz w:val="21"/>
          <w:szCs w:val="21"/>
          <w:highlight w:val="none"/>
        </w:rPr>
        <w:t>（北京时间）</w:t>
      </w:r>
    </w:p>
    <w:p w14:paraId="2ABB4E51">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2.地点：河南省公共资源交易中心交易系统（供应商需要在响应文件接收截止时间前将加密电子响应文件加密上传）</w:t>
      </w:r>
    </w:p>
    <w:p w14:paraId="11CD19A7">
      <w:pPr>
        <w:pStyle w:val="36"/>
        <w:spacing w:after="0" w:line="360" w:lineRule="auto"/>
        <w:ind w:firstLine="241"/>
        <w:rPr>
          <w:rFonts w:hint="eastAsia" w:ascii="宋体" w:hAnsi="宋体" w:cs="宋体"/>
          <w:b/>
          <w:bCs/>
          <w:color w:val="auto"/>
          <w:sz w:val="21"/>
          <w:szCs w:val="21"/>
          <w:highlight w:val="none"/>
        </w:rPr>
      </w:pPr>
      <w:bookmarkStart w:id="29" w:name="_Toc35393633"/>
      <w:bookmarkStart w:id="30" w:name="_Toc35393802"/>
      <w:bookmarkStart w:id="31" w:name="_Toc28359093"/>
      <w:bookmarkStart w:id="32" w:name="_Toc28359016"/>
      <w:r>
        <w:rPr>
          <w:rFonts w:hint="eastAsia" w:ascii="宋体" w:hAnsi="宋体" w:cs="宋体"/>
          <w:b/>
          <w:bCs/>
          <w:color w:val="auto"/>
          <w:sz w:val="21"/>
          <w:szCs w:val="21"/>
          <w:highlight w:val="none"/>
        </w:rPr>
        <w:t>五、开启</w:t>
      </w:r>
      <w:bookmarkEnd w:id="29"/>
      <w:bookmarkEnd w:id="30"/>
      <w:bookmarkEnd w:id="31"/>
      <w:bookmarkEnd w:id="32"/>
    </w:p>
    <w:p w14:paraId="338D006D">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1.时间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lang w:val="en-US" w:eastAsia="zh-CN"/>
        </w:rPr>
        <w:t>025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日9点00分</w:t>
      </w:r>
      <w:r>
        <w:rPr>
          <w:rFonts w:hint="eastAsia" w:ascii="宋体" w:hAnsi="宋体" w:cs="宋体"/>
          <w:color w:val="auto"/>
          <w:sz w:val="21"/>
          <w:szCs w:val="21"/>
          <w:highlight w:val="none"/>
        </w:rPr>
        <w:t>（北京时间）</w:t>
      </w:r>
    </w:p>
    <w:p w14:paraId="2153D0D7">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2.地点：</w:t>
      </w:r>
      <w:r>
        <w:rPr>
          <w:rFonts w:hint="eastAsia" w:ascii="宋体" w:hAnsi="宋体" w:cs="宋体"/>
          <w:color w:val="auto"/>
          <w:sz w:val="21"/>
          <w:szCs w:val="21"/>
          <w:highlight w:val="none"/>
          <w:lang w:bidi="ar"/>
        </w:rPr>
        <w:t>河南省公共资源交易中心远程开标室(五)-5（</w:t>
      </w:r>
      <w:r>
        <w:rPr>
          <w:rFonts w:hint="eastAsia" w:ascii="宋体" w:hAnsi="宋体" w:cs="宋体"/>
          <w:color w:val="auto"/>
          <w:sz w:val="21"/>
          <w:szCs w:val="21"/>
          <w:highlight w:val="none"/>
        </w:rPr>
        <w:t>郑州市经二路12号（经二路与纬四路向南50米路西）</w:t>
      </w:r>
      <w:r>
        <w:rPr>
          <w:rFonts w:hint="eastAsia" w:ascii="宋体" w:hAnsi="宋体" w:cs="宋体"/>
          <w:color w:val="auto"/>
          <w:sz w:val="21"/>
          <w:szCs w:val="21"/>
          <w:highlight w:val="none"/>
          <w:lang w:bidi="ar"/>
        </w:rPr>
        <w:t>）</w:t>
      </w:r>
    </w:p>
    <w:p w14:paraId="72F2238B">
      <w:pPr>
        <w:pStyle w:val="36"/>
        <w:spacing w:after="0" w:line="360" w:lineRule="auto"/>
        <w:ind w:firstLine="241"/>
        <w:rPr>
          <w:rFonts w:hint="eastAsia" w:ascii="宋体" w:hAnsi="宋体" w:cs="宋体"/>
          <w:b/>
          <w:bCs/>
          <w:color w:val="auto"/>
          <w:sz w:val="21"/>
          <w:szCs w:val="21"/>
          <w:highlight w:val="none"/>
        </w:rPr>
      </w:pPr>
      <w:bookmarkStart w:id="33" w:name="_Toc35393803"/>
      <w:bookmarkStart w:id="34" w:name="_Toc28359017"/>
      <w:bookmarkStart w:id="35" w:name="_Toc28359094"/>
      <w:bookmarkStart w:id="36" w:name="_Toc35393634"/>
      <w:r>
        <w:rPr>
          <w:rFonts w:hint="eastAsia" w:ascii="宋体" w:hAnsi="宋体" w:cs="宋体"/>
          <w:b/>
          <w:bCs/>
          <w:color w:val="auto"/>
          <w:sz w:val="21"/>
          <w:szCs w:val="21"/>
          <w:highlight w:val="none"/>
        </w:rPr>
        <w:t>六、公告期限</w:t>
      </w:r>
      <w:bookmarkEnd w:id="33"/>
      <w:bookmarkEnd w:id="34"/>
      <w:bookmarkEnd w:id="35"/>
      <w:bookmarkEnd w:id="36"/>
    </w:p>
    <w:p w14:paraId="3C112E12">
      <w:pPr>
        <w:pStyle w:val="36"/>
        <w:spacing w:after="0" w:line="360" w:lineRule="auto"/>
        <w:ind w:firstLine="420" w:firstLineChars="200"/>
        <w:rPr>
          <w:rFonts w:hint="eastAsia" w:ascii="宋体" w:hAnsi="宋体" w:cs="宋体"/>
          <w:color w:val="auto"/>
          <w:sz w:val="21"/>
          <w:szCs w:val="21"/>
          <w:highlight w:val="none"/>
        </w:rPr>
      </w:pPr>
      <w:bookmarkStart w:id="37" w:name="_Toc35393635"/>
      <w:bookmarkStart w:id="38" w:name="_Toc35393804"/>
      <w:r>
        <w:rPr>
          <w:rFonts w:hint="eastAsia" w:ascii="宋体" w:hAnsi="宋体" w:cs="宋体"/>
          <w:color w:val="auto"/>
          <w:sz w:val="21"/>
          <w:szCs w:val="21"/>
          <w:highlight w:val="none"/>
        </w:rPr>
        <w:t>本磋商公告在《河南省政府采购网》、《河南省公共资源交易中心网站》、《中国招标投标公共服务平台》上发布，磋商公告期限为</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个工作日。</w:t>
      </w:r>
    </w:p>
    <w:p w14:paraId="4860CD9E">
      <w:pPr>
        <w:pStyle w:val="36"/>
        <w:spacing w:after="0" w:line="360" w:lineRule="auto"/>
        <w:ind w:firstLine="24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七、其他补充事宜</w:t>
      </w:r>
      <w:bookmarkEnd w:id="37"/>
      <w:bookmarkEnd w:id="38"/>
    </w:p>
    <w:p w14:paraId="06F14EC6">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执行《政府采购促进中小企业发展管理办法》（财库[2020]46号）、《关于进一步加大政府采购支持中小企业力度通知》（财库〔2022〕19号）、《财政部司法部关于政府采购支持监狱企业发展有关问题的通知》（财库〔2014〕68号）和《三部门联合发布关于促进残疾人就业政府采购政策的通知》（财库〔2017〕141号）相关政策；</w:t>
      </w:r>
    </w:p>
    <w:p w14:paraId="6CC7783C">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执行《财政部发展改革委生态环境部市场监管总局关于调整优化节能产品、环境标志产品政府采购执行机制的通知》（财库〔2019〕9号）、《市场监管总局关于发布参与实施政府采购节能产品、环境标志产品认证机构名录的公告》（市场监管总局2019年4月3日下发）、《关于印发节能产品政府采购品目清单的通知》（财库〔2019〕19号）、《关于印发环境标志产品政府采购品目清单的通知》（财库〔2019〕18号）相关政策。</w:t>
      </w:r>
    </w:p>
    <w:p w14:paraId="14BB550E">
      <w:pPr>
        <w:pStyle w:val="36"/>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本项目支持河南省政府采购合同融资政策。</w:t>
      </w:r>
    </w:p>
    <w:p w14:paraId="1E2FB90E">
      <w:pPr>
        <w:pStyle w:val="3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采购标的对应的中小企业划分标准所属行业：工业（制造业）；中小微企业划分按照《国家统计局关于印发&lt;统计上大中小微型企业划分办法（2017）&gt;的通知》（国统字〔2017〕213号文件）及《工业和信息化部、国家统计局、国家发展和改革委员会、财政部关于印发&lt;中小企业划型标准规定&gt;的通知》（工信部联企业[2011]300号）规定的划分标准为依据（符合中小企业划分标准的个体工商户，在政府采购活动中视同中小企业）</w:t>
      </w:r>
    </w:p>
    <w:p w14:paraId="310C2C92">
      <w:pPr>
        <w:pStyle w:val="36"/>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资格审查：资格后审。</w:t>
      </w:r>
    </w:p>
    <w:p w14:paraId="0E3A5395">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、本项目采用“远程不见面”开标方式；</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应当在开标时间前,登录远程开标大厅,在线准时参加开标活动并进行</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解密、答疑澄清等 ；远程开标大厅的网址为（https://hnsggzyjy.henan.gov.cn/）；不见面服务的具体事宜请查阅河南省公共资源交易中心网站“办事指南”专区的《河南省公共资源交易平台不见面服务系统使用指南》。</w:t>
      </w:r>
    </w:p>
    <w:p w14:paraId="3C4F2EC0">
      <w:pPr>
        <w:pStyle w:val="36"/>
        <w:spacing w:after="0"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、代理费用收取方式及标准：</w:t>
      </w:r>
      <w:r>
        <w:rPr>
          <w:rFonts w:hint="eastAsia" w:ascii="宋体" w:hAnsi="宋体" w:cs="宋体"/>
          <w:color w:val="auto"/>
          <w:sz w:val="21"/>
          <w:szCs w:val="21"/>
          <w:highlight w:val="none"/>
          <w:lang w:eastAsia="zh-CN"/>
        </w:rPr>
        <w:t>按照《河南省招标代理服务收费指导意见》（豫招协【2023】002号）的文件规定收费标准收取，以成交金额为基数计取，由</w:t>
      </w:r>
      <w:r>
        <w:rPr>
          <w:rFonts w:hint="eastAsia" w:ascii="宋体" w:hAnsi="宋体" w:cs="宋体"/>
          <w:color w:val="auto"/>
          <w:sz w:val="21"/>
          <w:szCs w:val="21"/>
          <w:highlight w:val="none"/>
          <w:lang w:val="en-US" w:eastAsia="zh-CN"/>
        </w:rPr>
        <w:t>成交人</w:t>
      </w:r>
      <w:r>
        <w:rPr>
          <w:rFonts w:hint="eastAsia" w:ascii="宋体" w:hAnsi="宋体" w:cs="宋体"/>
          <w:color w:val="auto"/>
          <w:sz w:val="21"/>
          <w:szCs w:val="21"/>
          <w:highlight w:val="none"/>
          <w:lang w:eastAsia="zh-CN"/>
        </w:rPr>
        <w:t>在领取</w:t>
      </w:r>
      <w:r>
        <w:rPr>
          <w:rFonts w:hint="eastAsia" w:ascii="宋体" w:hAnsi="宋体" w:cs="宋体"/>
          <w:color w:val="auto"/>
          <w:sz w:val="21"/>
          <w:szCs w:val="21"/>
          <w:highlight w:val="none"/>
          <w:lang w:val="en-US" w:eastAsia="zh-CN"/>
        </w:rPr>
        <w:t>成交通知书</w:t>
      </w:r>
      <w:r>
        <w:rPr>
          <w:rFonts w:hint="eastAsia" w:ascii="宋体" w:hAnsi="宋体" w:cs="宋体"/>
          <w:color w:val="auto"/>
          <w:sz w:val="21"/>
          <w:szCs w:val="21"/>
          <w:highlight w:val="none"/>
          <w:lang w:eastAsia="zh-CN"/>
        </w:rPr>
        <w:t>前支付。</w:t>
      </w:r>
    </w:p>
    <w:p w14:paraId="73C26293">
      <w:pPr>
        <w:pStyle w:val="36"/>
        <w:spacing w:after="0" w:line="360" w:lineRule="auto"/>
        <w:ind w:firstLine="241"/>
        <w:rPr>
          <w:rFonts w:hint="eastAsia" w:ascii="宋体" w:hAnsi="宋体" w:cs="宋体"/>
          <w:b/>
          <w:bCs/>
          <w:color w:val="auto"/>
          <w:sz w:val="21"/>
          <w:szCs w:val="21"/>
          <w:highlight w:val="none"/>
        </w:rPr>
      </w:pPr>
      <w:bookmarkStart w:id="39" w:name="_Toc28359095"/>
      <w:bookmarkStart w:id="40" w:name="_Toc28359018"/>
      <w:bookmarkStart w:id="41" w:name="_Toc35393636"/>
      <w:bookmarkStart w:id="42" w:name="_Toc35393805"/>
      <w:r>
        <w:rPr>
          <w:rFonts w:hint="eastAsia" w:ascii="宋体" w:hAnsi="宋体" w:cs="宋体"/>
          <w:b/>
          <w:bCs/>
          <w:color w:val="auto"/>
          <w:sz w:val="21"/>
          <w:szCs w:val="21"/>
          <w:highlight w:val="none"/>
        </w:rPr>
        <w:t>八、凡对本次采购提出询问，请按以下方式联系</w:t>
      </w:r>
      <w:bookmarkEnd w:id="39"/>
      <w:bookmarkEnd w:id="40"/>
      <w:bookmarkEnd w:id="41"/>
      <w:bookmarkEnd w:id="42"/>
    </w:p>
    <w:p w14:paraId="0FC9F9B7">
      <w:pPr>
        <w:widowControl/>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招 标 人：河南省精神病医院</w:t>
      </w:r>
    </w:p>
    <w:p w14:paraId="70E31E18">
      <w:pPr>
        <w:widowControl/>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联 系 人：</w:t>
      </w:r>
      <w:r>
        <w:rPr>
          <w:rFonts w:hint="eastAsia" w:ascii="宋体" w:hAnsi="宋体" w:eastAsia="宋体" w:cs="宋体"/>
          <w:color w:val="auto"/>
          <w:kern w:val="0"/>
          <w:sz w:val="21"/>
          <w:szCs w:val="21"/>
          <w:highlight w:val="none"/>
          <w:lang w:val="en-US" w:eastAsia="zh-CN"/>
        </w:rPr>
        <w:t>崔老师</w:t>
      </w:r>
    </w:p>
    <w:p w14:paraId="2ED6F13D">
      <w:pPr>
        <w:widowControl/>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联系电话：0373-3373936</w:t>
      </w:r>
    </w:p>
    <w:p w14:paraId="43C7C657">
      <w:pPr>
        <w:widowControl/>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地    址：河南省新乡市牧野区建设中路388号</w:t>
      </w:r>
    </w:p>
    <w:p w14:paraId="73688777">
      <w:pPr>
        <w:widowControl/>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代理机构：河南诚信工程管理有限公司</w:t>
      </w:r>
    </w:p>
    <w:p w14:paraId="00E4E616">
      <w:pPr>
        <w:widowControl/>
        <w:spacing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联 系 人：</w:t>
      </w:r>
      <w:r>
        <w:rPr>
          <w:rFonts w:hint="eastAsia" w:ascii="宋体" w:hAnsi="宋体" w:eastAsia="宋体" w:cs="宋体"/>
          <w:color w:val="auto"/>
          <w:kern w:val="0"/>
          <w:sz w:val="21"/>
          <w:szCs w:val="21"/>
          <w:highlight w:val="none"/>
          <w:lang w:val="en-US" w:eastAsia="zh-CN"/>
        </w:rPr>
        <w:t>花鹏</w:t>
      </w:r>
    </w:p>
    <w:p w14:paraId="1B67C7D4">
      <w:pPr>
        <w:widowControl/>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电</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eastAsia="zh-CN"/>
        </w:rPr>
        <w:t>话：0371-53307955</w:t>
      </w:r>
    </w:p>
    <w:p w14:paraId="0D737592">
      <w:pPr>
        <w:widowControl/>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地    址：郑州市郑东新区商鼎路56号东方陆港C栋14层</w:t>
      </w:r>
    </w:p>
    <w:p w14:paraId="23294654">
      <w:pPr>
        <w:widowControl/>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邮    编：450000</w:t>
      </w:r>
    </w:p>
    <w:p w14:paraId="27E32F95">
      <w:pPr>
        <w:widowControl/>
        <w:spacing w:line="360" w:lineRule="auto"/>
        <w:ind w:firstLine="420" w:firstLineChars="200"/>
        <w:jc w:val="right"/>
        <w:rPr>
          <w:rFonts w:hint="eastAsia" w:ascii="宋体" w:hAnsi="宋体" w:eastAsia="宋体" w:cs="宋体"/>
          <w:color w:val="auto"/>
          <w:kern w:val="0"/>
          <w:sz w:val="21"/>
          <w:szCs w:val="21"/>
          <w:highlight w:val="none"/>
        </w:rPr>
      </w:pPr>
    </w:p>
    <w:p w14:paraId="229FB5EF">
      <w:pPr>
        <w:widowControl/>
        <w:spacing w:line="360" w:lineRule="auto"/>
        <w:ind w:firstLine="420" w:firstLineChars="200"/>
        <w:jc w:val="right"/>
        <w:rPr>
          <w:rFonts w:hint="eastAsia" w:ascii="宋体" w:hAnsi="宋体" w:eastAsia="宋体" w:cs="宋体"/>
          <w:color w:val="auto"/>
          <w:kern w:val="0"/>
          <w:sz w:val="21"/>
          <w:szCs w:val="21"/>
          <w:highlight w:val="none"/>
        </w:rPr>
      </w:pPr>
    </w:p>
    <w:p w14:paraId="07D9699F">
      <w:pPr>
        <w:widowControl/>
        <w:spacing w:line="360" w:lineRule="auto"/>
        <w:ind w:firstLine="420" w:firstLineChars="200"/>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发布人：河南诚信工程管理有限公司</w:t>
      </w:r>
    </w:p>
    <w:p w14:paraId="0D698BA0">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发布时间：</w:t>
      </w:r>
      <w:r>
        <w:rPr>
          <w:rFonts w:hint="eastAsia" w:ascii="宋体" w:hAnsi="宋体" w:eastAsia="宋体" w:cs="宋体"/>
          <w:color w:val="auto"/>
          <w:kern w:val="0"/>
          <w:sz w:val="21"/>
          <w:szCs w:val="21"/>
          <w:highlight w:val="none"/>
          <w:lang w:val="en-US" w:eastAsia="zh-CN"/>
        </w:rPr>
        <w:t>2025</w:t>
      </w:r>
      <w:r>
        <w:rPr>
          <w:rFonts w:hint="eastAsia" w:ascii="宋体" w:hAnsi="宋体" w:eastAsia="宋体" w:cs="宋体"/>
          <w:color w:val="auto"/>
          <w:kern w:val="0"/>
          <w:sz w:val="21"/>
          <w:szCs w:val="21"/>
          <w:highlight w:val="none"/>
        </w:rPr>
        <w:t>年</w:t>
      </w:r>
      <w:r>
        <w:rPr>
          <w:rFonts w:hint="eastAsia" w:ascii="宋体" w:hAnsi="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月</w:t>
      </w:r>
      <w:r>
        <w:rPr>
          <w:rFonts w:hint="eastAsia" w:ascii="宋体" w:hAnsi="宋体" w:cs="宋体"/>
          <w:color w:val="auto"/>
          <w:kern w:val="0"/>
          <w:sz w:val="21"/>
          <w:szCs w:val="21"/>
          <w:highlight w:val="none"/>
          <w:lang w:val="en-US" w:eastAsia="zh-CN"/>
        </w:rPr>
        <w:t>24</w:t>
      </w:r>
      <w:r>
        <w:rPr>
          <w:rFonts w:hint="eastAsia" w:ascii="宋体" w:hAnsi="宋体" w:eastAsia="宋体" w:cs="宋体"/>
          <w:color w:val="auto"/>
          <w:kern w:val="0"/>
          <w:sz w:val="21"/>
          <w:szCs w:val="21"/>
          <w:highlight w:val="none"/>
        </w:rPr>
        <w:t>日</w:t>
      </w:r>
    </w:p>
    <w:p w14:paraId="3A2BDF0F">
      <w:pPr>
        <w:rPr>
          <w:rFonts w:hint="eastAsia" w:ascii="宋体" w:hAnsi="宋体" w:eastAsia="宋体" w:cs="宋体"/>
          <w:color w:val="auto"/>
          <w:kern w:val="0"/>
          <w:sz w:val="21"/>
          <w:szCs w:val="21"/>
          <w:highlight w:val="none"/>
        </w:rPr>
      </w:pPr>
    </w:p>
    <w:p w14:paraId="0B32ECF1">
      <w:pP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p>
    <w:p w14:paraId="04F79110">
      <w:pPr>
        <w:pStyle w:val="2"/>
        <w:pageBreakBefore w:val="0"/>
        <w:overflowPunct/>
        <w:topLinePunct w:val="0"/>
        <w:bidi w:val="0"/>
        <w:spacing w:line="360" w:lineRule="auto"/>
        <w:ind w:firstLine="643"/>
        <w:rPr>
          <w:rFonts w:hint="eastAsia" w:asciiTheme="minorEastAsia" w:hAnsiTheme="minorEastAsia" w:eastAsiaTheme="minorEastAsia" w:cstheme="minorEastAsia"/>
          <w:color w:val="auto"/>
          <w:sz w:val="44"/>
          <w:szCs w:val="44"/>
          <w:highlight w:val="none"/>
        </w:rPr>
      </w:pPr>
      <w:bookmarkStart w:id="43" w:name="_Toc31583"/>
      <w:bookmarkStart w:id="44" w:name="_Toc4663"/>
      <w:bookmarkStart w:id="45" w:name="_Toc9942"/>
      <w:r>
        <w:rPr>
          <w:rFonts w:hint="eastAsia" w:asciiTheme="minorEastAsia" w:hAnsiTheme="minorEastAsia" w:eastAsiaTheme="minorEastAsia" w:cstheme="minorEastAsia"/>
          <w:color w:val="auto"/>
          <w:sz w:val="44"/>
          <w:szCs w:val="44"/>
          <w:highlight w:val="none"/>
        </w:rPr>
        <w:t>第二章  供应商须知</w:t>
      </w:r>
      <w:bookmarkEnd w:id="8"/>
      <w:bookmarkEnd w:id="9"/>
      <w:bookmarkEnd w:id="10"/>
      <w:bookmarkEnd w:id="11"/>
      <w:bookmarkEnd w:id="12"/>
      <w:bookmarkEnd w:id="43"/>
      <w:bookmarkEnd w:id="44"/>
      <w:bookmarkEnd w:id="45"/>
    </w:p>
    <w:p w14:paraId="641163EB">
      <w:pPr>
        <w:pStyle w:val="3"/>
        <w:pageBreakBefore w:val="0"/>
        <w:overflowPunct/>
        <w:topLinePunct w:val="0"/>
        <w:bidi w:val="0"/>
        <w:spacing w:line="360" w:lineRule="auto"/>
        <w:ind w:firstLine="602"/>
        <w:rPr>
          <w:rFonts w:hint="eastAsia" w:asciiTheme="minorEastAsia" w:hAnsiTheme="minorEastAsia" w:eastAsiaTheme="minorEastAsia" w:cstheme="minorEastAsia"/>
          <w:color w:val="auto"/>
          <w:sz w:val="32"/>
          <w:szCs w:val="32"/>
          <w:highlight w:val="none"/>
        </w:rPr>
      </w:pPr>
      <w:bookmarkStart w:id="46" w:name="_Toc22715"/>
      <w:bookmarkStart w:id="47" w:name="_Toc13442"/>
      <w:bookmarkStart w:id="48" w:name="_Toc4965"/>
      <w:bookmarkStart w:id="49" w:name="_Toc320521148"/>
      <w:bookmarkStart w:id="50" w:name="_Toc8049"/>
      <w:bookmarkStart w:id="51" w:name="_Toc5774"/>
      <w:bookmarkStart w:id="52" w:name="_Toc433093353"/>
      <w:bookmarkStart w:id="53" w:name="_Toc19399"/>
      <w:r>
        <w:rPr>
          <w:rFonts w:hint="eastAsia" w:asciiTheme="minorEastAsia" w:hAnsiTheme="minorEastAsia" w:eastAsiaTheme="minorEastAsia" w:cstheme="minorEastAsia"/>
          <w:color w:val="auto"/>
          <w:sz w:val="32"/>
          <w:szCs w:val="32"/>
          <w:highlight w:val="none"/>
        </w:rPr>
        <w:t>供应商须知前附表</w:t>
      </w:r>
      <w:bookmarkEnd w:id="46"/>
      <w:bookmarkEnd w:id="47"/>
      <w:bookmarkEnd w:id="48"/>
      <w:bookmarkEnd w:id="49"/>
      <w:bookmarkEnd w:id="50"/>
      <w:bookmarkEnd w:id="51"/>
      <w:bookmarkEnd w:id="52"/>
      <w:bookmarkEnd w:id="53"/>
    </w:p>
    <w:p w14:paraId="1E7A5463">
      <w:pPr>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本表是本采购项目的具体资料，是对供应商须知的具体补充和修改，如有矛盾，应以本表为准。</w:t>
      </w:r>
    </w:p>
    <w:tbl>
      <w:tblPr>
        <w:tblStyle w:val="38"/>
        <w:tblW w:w="95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055"/>
        <w:gridCol w:w="6374"/>
      </w:tblGrid>
      <w:tr w14:paraId="41C68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56" w:type="dxa"/>
            <w:tcBorders>
              <w:tl2br w:val="nil"/>
              <w:tr2bl w:val="nil"/>
            </w:tcBorders>
            <w:vAlign w:val="center"/>
          </w:tcPr>
          <w:p w14:paraId="16DD473D">
            <w:pPr>
              <w:keepNext w:val="0"/>
              <w:keepLines w:val="0"/>
              <w:pageBreakBefore w:val="0"/>
              <w:kinsoku/>
              <w:wordWrap/>
              <w:overflowPunct/>
              <w:topLinePunct w:val="0"/>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条款号</w:t>
            </w:r>
          </w:p>
        </w:tc>
        <w:tc>
          <w:tcPr>
            <w:tcW w:w="2055" w:type="dxa"/>
            <w:tcBorders>
              <w:tl2br w:val="nil"/>
              <w:tr2bl w:val="nil"/>
            </w:tcBorders>
            <w:vAlign w:val="center"/>
          </w:tcPr>
          <w:p w14:paraId="364BAB3E">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条款名称</w:t>
            </w:r>
          </w:p>
        </w:tc>
        <w:tc>
          <w:tcPr>
            <w:tcW w:w="6374" w:type="dxa"/>
            <w:tcBorders>
              <w:tl2br w:val="nil"/>
              <w:tr2bl w:val="nil"/>
            </w:tcBorders>
            <w:vAlign w:val="center"/>
          </w:tcPr>
          <w:p w14:paraId="08FE38F1">
            <w:pPr>
              <w:keepNext w:val="0"/>
              <w:keepLines w:val="0"/>
              <w:pageBreakBefore w:val="0"/>
              <w:kinsoku/>
              <w:wordWrap/>
              <w:overflowPunct/>
              <w:topLinePunct w:val="0"/>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编  列  内  容</w:t>
            </w:r>
          </w:p>
        </w:tc>
      </w:tr>
      <w:tr w14:paraId="7F578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5C14FFEB">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1.1.1</w:t>
            </w:r>
          </w:p>
        </w:tc>
        <w:tc>
          <w:tcPr>
            <w:tcW w:w="2055" w:type="dxa"/>
            <w:tcBorders>
              <w:tl2br w:val="nil"/>
              <w:tr2bl w:val="nil"/>
            </w:tcBorders>
            <w:vAlign w:val="center"/>
          </w:tcPr>
          <w:p w14:paraId="2583CA4F">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采购人</w:t>
            </w:r>
          </w:p>
        </w:tc>
        <w:tc>
          <w:tcPr>
            <w:tcW w:w="6374" w:type="dxa"/>
            <w:tcBorders>
              <w:tl2br w:val="nil"/>
              <w:tr2bl w:val="nil"/>
            </w:tcBorders>
            <w:vAlign w:val="center"/>
          </w:tcPr>
          <w:p w14:paraId="06853ED7">
            <w:pPr>
              <w:widowControl/>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招 标 人：河南省精神病医院</w:t>
            </w:r>
          </w:p>
          <w:p w14:paraId="2549D811">
            <w:pPr>
              <w:widowControl/>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联 系 人：</w:t>
            </w:r>
            <w:r>
              <w:rPr>
                <w:rFonts w:hint="eastAsia" w:ascii="宋体" w:hAnsi="宋体" w:eastAsia="宋体" w:cs="宋体"/>
                <w:color w:val="auto"/>
                <w:kern w:val="0"/>
                <w:sz w:val="21"/>
                <w:szCs w:val="21"/>
                <w:highlight w:val="none"/>
                <w:lang w:val="en-US" w:eastAsia="zh-CN"/>
              </w:rPr>
              <w:t>崔老师</w:t>
            </w:r>
          </w:p>
          <w:p w14:paraId="387F59EC">
            <w:pPr>
              <w:widowControl/>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联系电话：0373-3373936</w:t>
            </w:r>
          </w:p>
          <w:p w14:paraId="61576F6C">
            <w:pPr>
              <w:widowControl/>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地    址：河南省新乡市牧野区建设中路388号</w:t>
            </w:r>
          </w:p>
        </w:tc>
      </w:tr>
      <w:tr w14:paraId="676D0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647A6D05">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1.1.2</w:t>
            </w:r>
          </w:p>
        </w:tc>
        <w:tc>
          <w:tcPr>
            <w:tcW w:w="2055" w:type="dxa"/>
            <w:tcBorders>
              <w:tl2br w:val="nil"/>
              <w:tr2bl w:val="nil"/>
            </w:tcBorders>
            <w:vAlign w:val="center"/>
          </w:tcPr>
          <w:p w14:paraId="1EFE5C54">
            <w:pPr>
              <w:widowControl/>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采购代理机构</w:t>
            </w:r>
          </w:p>
        </w:tc>
        <w:tc>
          <w:tcPr>
            <w:tcW w:w="6374" w:type="dxa"/>
            <w:tcBorders>
              <w:tl2br w:val="nil"/>
              <w:tr2bl w:val="nil"/>
            </w:tcBorders>
            <w:vAlign w:val="center"/>
          </w:tcPr>
          <w:p w14:paraId="22713263">
            <w:pPr>
              <w:widowControl/>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代理机构：河南诚信工程管理有限公司</w:t>
            </w:r>
          </w:p>
          <w:p w14:paraId="3F5939F9">
            <w:pPr>
              <w:widowControl/>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联 系 人：</w:t>
            </w:r>
            <w:r>
              <w:rPr>
                <w:rFonts w:hint="eastAsia" w:ascii="宋体" w:hAnsi="宋体" w:eastAsia="宋体" w:cs="宋体"/>
                <w:color w:val="auto"/>
                <w:kern w:val="0"/>
                <w:sz w:val="21"/>
                <w:szCs w:val="21"/>
                <w:highlight w:val="none"/>
                <w:lang w:val="en-US" w:eastAsia="zh-CN"/>
              </w:rPr>
              <w:t>花鹏</w:t>
            </w:r>
          </w:p>
          <w:p w14:paraId="7693BC8D">
            <w:pPr>
              <w:widowControl/>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联系电话</w:t>
            </w:r>
            <w:r>
              <w:rPr>
                <w:rFonts w:hint="eastAsia" w:ascii="宋体" w:hAnsi="宋体" w:eastAsia="宋体" w:cs="宋体"/>
                <w:color w:val="auto"/>
                <w:kern w:val="0"/>
                <w:sz w:val="21"/>
                <w:szCs w:val="21"/>
                <w:highlight w:val="none"/>
                <w:lang w:eastAsia="zh-CN"/>
              </w:rPr>
              <w:t>：0371-53307955</w:t>
            </w:r>
          </w:p>
          <w:p w14:paraId="5DB21E62">
            <w:pPr>
              <w:widowControl/>
              <w:spacing w:line="360" w:lineRule="auto"/>
              <w:jc w:val="left"/>
              <w:rPr>
                <w:rFonts w:hint="eastAsia" w:asciiTheme="minorEastAsia" w:hAnsiTheme="minorEastAsia" w:eastAsiaTheme="minorEastAsia" w:cstheme="minorEastAsia"/>
                <w:i w:val="0"/>
                <w:iCs w:val="0"/>
                <w:color w:val="auto"/>
                <w:sz w:val="21"/>
                <w:szCs w:val="21"/>
                <w:highlight w:val="none"/>
              </w:rPr>
            </w:pPr>
            <w:r>
              <w:rPr>
                <w:rFonts w:hint="eastAsia" w:ascii="宋体" w:hAnsi="宋体" w:eastAsia="宋体" w:cs="宋体"/>
                <w:color w:val="auto"/>
                <w:kern w:val="0"/>
                <w:sz w:val="21"/>
                <w:szCs w:val="21"/>
                <w:highlight w:val="none"/>
                <w:lang w:eastAsia="zh-CN"/>
              </w:rPr>
              <w:t>地    址：郑州市郑东新区商鼎路56号东方陆港C栋14层</w:t>
            </w:r>
          </w:p>
        </w:tc>
      </w:tr>
      <w:tr w14:paraId="00AC3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156" w:type="dxa"/>
            <w:tcBorders>
              <w:tl2br w:val="nil"/>
              <w:tr2bl w:val="nil"/>
            </w:tcBorders>
            <w:vAlign w:val="center"/>
          </w:tcPr>
          <w:p w14:paraId="54F0826A">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1.1.3</w:t>
            </w:r>
          </w:p>
        </w:tc>
        <w:tc>
          <w:tcPr>
            <w:tcW w:w="2055" w:type="dxa"/>
            <w:tcBorders>
              <w:tl2br w:val="nil"/>
              <w:tr2bl w:val="nil"/>
            </w:tcBorders>
            <w:vAlign w:val="center"/>
          </w:tcPr>
          <w:p w14:paraId="29A0B65A">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采购项目名称</w:t>
            </w:r>
          </w:p>
        </w:tc>
        <w:tc>
          <w:tcPr>
            <w:tcW w:w="6374" w:type="dxa"/>
            <w:tcBorders>
              <w:tl2br w:val="nil"/>
              <w:tr2bl w:val="nil"/>
            </w:tcBorders>
            <w:vAlign w:val="center"/>
          </w:tcPr>
          <w:p w14:paraId="3DFA2DB0">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b/>
                <w:i w:val="0"/>
                <w:iCs w:val="0"/>
                <w:color w:val="auto"/>
                <w:sz w:val="21"/>
                <w:szCs w:val="21"/>
                <w:highlight w:val="none"/>
              </w:rPr>
            </w:pPr>
            <w:r>
              <w:rPr>
                <w:rFonts w:hint="eastAsia" w:asciiTheme="minorEastAsia" w:hAnsiTheme="minorEastAsia" w:eastAsiaTheme="minorEastAsia" w:cstheme="minorEastAsia"/>
                <w:b w:val="0"/>
                <w:bCs/>
                <w:i w:val="0"/>
                <w:iCs w:val="0"/>
                <w:color w:val="auto"/>
                <w:sz w:val="21"/>
                <w:szCs w:val="21"/>
                <w:highlight w:val="none"/>
                <w:lang w:eastAsia="zh-CN"/>
              </w:rPr>
              <w:t>河南省精神病医院北京大学第六医院河南医院国家区域医疗中心一期项目生物反馈治疗仪采购项目</w:t>
            </w:r>
          </w:p>
        </w:tc>
      </w:tr>
      <w:tr w14:paraId="2B72A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56" w:type="dxa"/>
            <w:tcBorders>
              <w:tl2br w:val="nil"/>
              <w:tr2bl w:val="nil"/>
            </w:tcBorders>
            <w:vAlign w:val="center"/>
          </w:tcPr>
          <w:p w14:paraId="05A2BCC4">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w:t>
            </w:r>
          </w:p>
        </w:tc>
        <w:tc>
          <w:tcPr>
            <w:tcW w:w="2055" w:type="dxa"/>
            <w:tcBorders>
              <w:tl2br w:val="nil"/>
              <w:tr2bl w:val="nil"/>
            </w:tcBorders>
            <w:vAlign w:val="center"/>
          </w:tcPr>
          <w:p w14:paraId="63B68C19">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交货地点</w:t>
            </w:r>
          </w:p>
        </w:tc>
        <w:tc>
          <w:tcPr>
            <w:tcW w:w="6374" w:type="dxa"/>
            <w:tcBorders>
              <w:tl2br w:val="nil"/>
              <w:tr2bl w:val="nil"/>
            </w:tcBorders>
            <w:vAlign w:val="center"/>
          </w:tcPr>
          <w:p w14:paraId="23017EB1">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b w:val="0"/>
                <w:bCs w:val="0"/>
                <w:color w:val="auto"/>
                <w:sz w:val="21"/>
                <w:szCs w:val="21"/>
                <w:highlight w:val="none"/>
              </w:rPr>
              <w:t>采购人指定地点</w:t>
            </w:r>
          </w:p>
        </w:tc>
      </w:tr>
      <w:tr w14:paraId="63A47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56" w:type="dxa"/>
            <w:tcBorders>
              <w:tl2br w:val="nil"/>
              <w:tr2bl w:val="nil"/>
            </w:tcBorders>
            <w:vAlign w:val="center"/>
          </w:tcPr>
          <w:p w14:paraId="705FC63B">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w:t>
            </w:r>
          </w:p>
        </w:tc>
        <w:tc>
          <w:tcPr>
            <w:tcW w:w="2055" w:type="dxa"/>
            <w:tcBorders>
              <w:tl2br w:val="nil"/>
              <w:tr2bl w:val="nil"/>
            </w:tcBorders>
            <w:vAlign w:val="center"/>
          </w:tcPr>
          <w:p w14:paraId="1EFD22C2">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采购方式</w:t>
            </w:r>
          </w:p>
        </w:tc>
        <w:tc>
          <w:tcPr>
            <w:tcW w:w="6374" w:type="dxa"/>
            <w:tcBorders>
              <w:tl2br w:val="nil"/>
              <w:tr2bl w:val="nil"/>
            </w:tcBorders>
            <w:vAlign w:val="center"/>
          </w:tcPr>
          <w:p w14:paraId="4EB79897">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竞争性磋商</w:t>
            </w:r>
          </w:p>
        </w:tc>
      </w:tr>
      <w:tr w14:paraId="0A9D7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56" w:type="dxa"/>
            <w:tcBorders>
              <w:tl2br w:val="nil"/>
              <w:tr2bl w:val="nil"/>
            </w:tcBorders>
            <w:vAlign w:val="center"/>
          </w:tcPr>
          <w:p w14:paraId="5590AB68">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1.2.2</w:t>
            </w:r>
          </w:p>
        </w:tc>
        <w:tc>
          <w:tcPr>
            <w:tcW w:w="2055" w:type="dxa"/>
            <w:tcBorders>
              <w:tl2br w:val="nil"/>
              <w:tr2bl w:val="nil"/>
            </w:tcBorders>
            <w:vAlign w:val="center"/>
          </w:tcPr>
          <w:p w14:paraId="4F7ACED0">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i w:val="0"/>
                <w:iCs w:val="0"/>
                <w:color w:val="auto"/>
                <w:sz w:val="21"/>
                <w:szCs w:val="21"/>
                <w:highlight w:val="none"/>
              </w:rPr>
            </w:pPr>
            <w:r>
              <w:rPr>
                <w:rFonts w:hint="eastAsia" w:asciiTheme="minorEastAsia" w:hAnsiTheme="minorEastAsia" w:eastAsiaTheme="minorEastAsia" w:cstheme="minorEastAsia"/>
                <w:i w:val="0"/>
                <w:iCs w:val="0"/>
                <w:color w:val="auto"/>
                <w:sz w:val="21"/>
                <w:szCs w:val="21"/>
                <w:highlight w:val="none"/>
              </w:rPr>
              <w:t>项目预算金额和最高限价</w:t>
            </w:r>
          </w:p>
        </w:tc>
        <w:tc>
          <w:tcPr>
            <w:tcW w:w="6374" w:type="dxa"/>
            <w:tcBorders>
              <w:tl2br w:val="nil"/>
              <w:tr2bl w:val="nil"/>
            </w:tcBorders>
            <w:vAlign w:val="center"/>
          </w:tcPr>
          <w:p w14:paraId="1254CAB1">
            <w:pPr>
              <w:keepNext w:val="0"/>
              <w:keepLines w:val="0"/>
              <w:pageBreakBefore w:val="0"/>
              <w:kinsoku/>
              <w:wordWrap/>
              <w:overflowPunct/>
              <w:topLinePunct w:val="0"/>
              <w:bidi w:val="0"/>
              <w:adjustRightInd/>
              <w:snapToGrid/>
              <w:spacing w:line="360" w:lineRule="auto"/>
              <w:ind w:firstLine="0" w:firstLineChars="0"/>
              <w:jc w:val="left"/>
              <w:textAlignment w:val="auto"/>
              <w:rPr>
                <w:rFonts w:hint="eastAsia" w:asciiTheme="minorEastAsia" w:hAnsiTheme="minorEastAsia" w:eastAsiaTheme="minorEastAsia" w:cstheme="minorEastAsia"/>
                <w:i w:val="0"/>
                <w:iCs w:val="0"/>
                <w:color w:val="auto"/>
                <w:sz w:val="21"/>
                <w:szCs w:val="21"/>
                <w:highlight w:val="none"/>
                <w:lang w:val="zh-CN"/>
              </w:rPr>
            </w:pPr>
            <w:r>
              <w:rPr>
                <w:rFonts w:hint="eastAsia" w:asciiTheme="minorEastAsia" w:hAnsiTheme="minorEastAsia" w:eastAsiaTheme="minorEastAsia" w:cstheme="minorEastAsia"/>
                <w:i w:val="0"/>
                <w:iCs w:val="0"/>
                <w:color w:val="auto"/>
                <w:sz w:val="21"/>
                <w:szCs w:val="21"/>
                <w:highlight w:val="none"/>
                <w:lang w:val="zh-CN"/>
              </w:rPr>
              <w:t>项目预算金额：</w:t>
            </w:r>
            <w:r>
              <w:rPr>
                <w:rFonts w:hint="eastAsia" w:asciiTheme="minorEastAsia" w:hAnsiTheme="minorEastAsia" w:eastAsiaTheme="minorEastAsia" w:cstheme="minorEastAsia"/>
                <w:i w:val="0"/>
                <w:iCs w:val="0"/>
                <w:color w:val="auto"/>
                <w:sz w:val="21"/>
                <w:szCs w:val="21"/>
                <w:highlight w:val="none"/>
                <w:lang w:val="en-US" w:eastAsia="zh-CN"/>
              </w:rPr>
              <w:t>1280000</w:t>
            </w:r>
            <w:r>
              <w:rPr>
                <w:rFonts w:hint="eastAsia" w:asciiTheme="minorEastAsia" w:hAnsiTheme="minorEastAsia" w:eastAsiaTheme="minorEastAsia" w:cstheme="minorEastAsia"/>
                <w:i w:val="0"/>
                <w:iCs w:val="0"/>
                <w:color w:val="auto"/>
                <w:sz w:val="21"/>
                <w:szCs w:val="21"/>
                <w:highlight w:val="none"/>
                <w:lang w:val="zh-CN"/>
              </w:rPr>
              <w:t>元；</w:t>
            </w:r>
          </w:p>
          <w:p w14:paraId="285368A0">
            <w:pPr>
              <w:keepNext w:val="0"/>
              <w:keepLines w:val="0"/>
              <w:pageBreakBefore w:val="0"/>
              <w:kinsoku/>
              <w:wordWrap/>
              <w:overflowPunct/>
              <w:topLinePunct w:val="0"/>
              <w:bidi w:val="0"/>
              <w:adjustRightInd/>
              <w:snapToGrid/>
              <w:spacing w:line="360" w:lineRule="auto"/>
              <w:ind w:firstLine="0" w:firstLineChars="0"/>
              <w:jc w:val="left"/>
              <w:textAlignment w:val="auto"/>
              <w:rPr>
                <w:rFonts w:hint="eastAsia" w:asciiTheme="minorEastAsia" w:hAnsiTheme="minorEastAsia" w:eastAsiaTheme="minorEastAsia" w:cstheme="minorEastAsia"/>
                <w:i w:val="0"/>
                <w:iCs w:val="0"/>
                <w:color w:val="auto"/>
                <w:sz w:val="21"/>
                <w:szCs w:val="21"/>
                <w:highlight w:val="none"/>
                <w:lang w:val="zh-CN"/>
              </w:rPr>
            </w:pPr>
            <w:r>
              <w:rPr>
                <w:rFonts w:hint="eastAsia" w:asciiTheme="minorEastAsia" w:hAnsiTheme="minorEastAsia" w:eastAsiaTheme="minorEastAsia" w:cstheme="minorEastAsia"/>
                <w:i w:val="0"/>
                <w:iCs w:val="0"/>
                <w:color w:val="auto"/>
                <w:sz w:val="21"/>
                <w:szCs w:val="21"/>
                <w:highlight w:val="none"/>
                <w:lang w:val="zh-CN"/>
              </w:rPr>
              <w:t>最高限价：</w:t>
            </w:r>
            <w:r>
              <w:rPr>
                <w:rFonts w:hint="eastAsia" w:asciiTheme="minorEastAsia" w:hAnsiTheme="minorEastAsia" w:eastAsiaTheme="minorEastAsia" w:cstheme="minorEastAsia"/>
                <w:i w:val="0"/>
                <w:iCs w:val="0"/>
                <w:color w:val="auto"/>
                <w:sz w:val="21"/>
                <w:szCs w:val="21"/>
                <w:highlight w:val="none"/>
                <w:lang w:val="en-US" w:eastAsia="zh-CN"/>
              </w:rPr>
              <w:t>1280000</w:t>
            </w:r>
            <w:r>
              <w:rPr>
                <w:rFonts w:hint="eastAsia" w:asciiTheme="minorEastAsia" w:hAnsiTheme="minorEastAsia" w:eastAsiaTheme="minorEastAsia" w:cstheme="minorEastAsia"/>
                <w:i w:val="0"/>
                <w:iCs w:val="0"/>
                <w:color w:val="auto"/>
                <w:sz w:val="21"/>
                <w:szCs w:val="21"/>
                <w:highlight w:val="none"/>
                <w:lang w:val="zh-CN"/>
              </w:rPr>
              <w:t>元。</w:t>
            </w:r>
          </w:p>
          <w:p w14:paraId="05C22D43">
            <w:pPr>
              <w:keepNext w:val="0"/>
              <w:keepLines w:val="0"/>
              <w:pageBreakBefore w:val="0"/>
              <w:kinsoku/>
              <w:wordWrap/>
              <w:overflowPunct/>
              <w:topLinePunct w:val="0"/>
              <w:bidi w:val="0"/>
              <w:adjustRightInd/>
              <w:snapToGrid/>
              <w:spacing w:line="360" w:lineRule="auto"/>
              <w:ind w:firstLine="0" w:firstLineChars="0"/>
              <w:jc w:val="left"/>
              <w:textAlignment w:val="auto"/>
              <w:rPr>
                <w:rFonts w:hint="eastAsia" w:asciiTheme="minorEastAsia" w:hAnsiTheme="minorEastAsia" w:eastAsiaTheme="minorEastAsia" w:cstheme="minorEastAsia"/>
                <w:i w:val="0"/>
                <w:iCs w:val="0"/>
                <w:color w:val="auto"/>
                <w:sz w:val="21"/>
                <w:szCs w:val="21"/>
                <w:highlight w:val="none"/>
              </w:rPr>
            </w:pPr>
            <w:r>
              <w:rPr>
                <w:rFonts w:hint="eastAsia" w:asciiTheme="minorEastAsia" w:hAnsiTheme="minorEastAsia" w:eastAsiaTheme="minorEastAsia" w:cstheme="minorEastAsia"/>
                <w:i w:val="0"/>
                <w:iCs w:val="0"/>
                <w:color w:val="auto"/>
                <w:sz w:val="21"/>
                <w:szCs w:val="21"/>
                <w:highlight w:val="none"/>
              </w:rPr>
              <w:t>供应商的磋商总报价超过最高限价的，按</w:t>
            </w:r>
            <w:r>
              <w:rPr>
                <w:rFonts w:hint="eastAsia" w:asciiTheme="minorEastAsia" w:hAnsiTheme="minorEastAsia" w:eastAsiaTheme="minorEastAsia" w:cstheme="minorEastAsia"/>
                <w:i w:val="0"/>
                <w:iCs w:val="0"/>
                <w:color w:val="auto"/>
                <w:sz w:val="21"/>
                <w:szCs w:val="21"/>
                <w:highlight w:val="none"/>
                <w:lang w:val="zh-CN"/>
              </w:rPr>
              <w:t>无效响应文件</w:t>
            </w:r>
            <w:r>
              <w:rPr>
                <w:rFonts w:hint="eastAsia" w:asciiTheme="minorEastAsia" w:hAnsiTheme="minorEastAsia" w:eastAsiaTheme="minorEastAsia" w:cstheme="minorEastAsia"/>
                <w:i w:val="0"/>
                <w:iCs w:val="0"/>
                <w:color w:val="auto"/>
                <w:sz w:val="21"/>
                <w:szCs w:val="21"/>
                <w:highlight w:val="none"/>
              </w:rPr>
              <w:t>处理。</w:t>
            </w:r>
          </w:p>
        </w:tc>
      </w:tr>
      <w:tr w14:paraId="1F337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56" w:type="dxa"/>
            <w:tcBorders>
              <w:tl2br w:val="nil"/>
              <w:tr2bl w:val="nil"/>
            </w:tcBorders>
            <w:vAlign w:val="center"/>
          </w:tcPr>
          <w:p w14:paraId="13D6109C">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w:t>
            </w:r>
          </w:p>
        </w:tc>
        <w:tc>
          <w:tcPr>
            <w:tcW w:w="2055" w:type="dxa"/>
            <w:tcBorders>
              <w:tl2br w:val="nil"/>
              <w:tr2bl w:val="nil"/>
            </w:tcBorders>
            <w:vAlign w:val="center"/>
          </w:tcPr>
          <w:p w14:paraId="37BF230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采购内容</w:t>
            </w:r>
          </w:p>
        </w:tc>
        <w:tc>
          <w:tcPr>
            <w:tcW w:w="6374" w:type="dxa"/>
            <w:tcBorders>
              <w:tl2br w:val="nil"/>
              <w:tr2bl w:val="nil"/>
            </w:tcBorders>
            <w:vAlign w:val="center"/>
          </w:tcPr>
          <w:p w14:paraId="5D7FB1D9">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河南省精神病医院北京大学第六医院河南医院国家区域医疗中心一期项目生物反馈治疗仪采购项目</w:t>
            </w:r>
            <w:r>
              <w:rPr>
                <w:rFonts w:hint="eastAsia" w:asciiTheme="minorEastAsia" w:hAnsiTheme="minorEastAsia" w:eastAsiaTheme="minorEastAsia" w:cstheme="minorEastAsia"/>
                <w:color w:val="auto"/>
                <w:kern w:val="0"/>
                <w:sz w:val="21"/>
                <w:szCs w:val="21"/>
                <w:highlight w:val="none"/>
              </w:rPr>
              <w:t>主要采购</w:t>
            </w:r>
            <w:r>
              <w:rPr>
                <w:rFonts w:hint="eastAsia" w:asciiTheme="minorEastAsia" w:hAnsiTheme="minorEastAsia" w:eastAsiaTheme="minorEastAsia" w:cstheme="minorEastAsia"/>
                <w:color w:val="auto"/>
                <w:kern w:val="0"/>
                <w:sz w:val="21"/>
                <w:szCs w:val="21"/>
                <w:highlight w:val="none"/>
                <w:lang w:val="en-US" w:eastAsia="zh-CN"/>
              </w:rPr>
              <w:t>内容</w:t>
            </w:r>
            <w:r>
              <w:rPr>
                <w:rFonts w:hint="eastAsia" w:asciiTheme="minorEastAsia" w:hAnsiTheme="minorEastAsia" w:eastAsiaTheme="minorEastAsia" w:cstheme="minorEastAsia"/>
                <w:color w:val="auto"/>
                <w:kern w:val="0"/>
                <w:sz w:val="21"/>
                <w:szCs w:val="21"/>
                <w:highlight w:val="none"/>
              </w:rPr>
              <w:t>为</w:t>
            </w:r>
            <w:r>
              <w:rPr>
                <w:rFonts w:hint="eastAsia" w:asciiTheme="minorEastAsia" w:hAnsiTheme="minorEastAsia" w:eastAsiaTheme="minorEastAsia" w:cstheme="minorEastAsia"/>
                <w:color w:val="auto"/>
                <w:kern w:val="0"/>
                <w:sz w:val="21"/>
                <w:szCs w:val="21"/>
                <w:highlight w:val="none"/>
                <w:lang w:eastAsia="zh-CN"/>
              </w:rPr>
              <w:t>生物反馈治疗仪（10人台）4套</w:t>
            </w:r>
            <w:r>
              <w:rPr>
                <w:rFonts w:hint="eastAsia" w:asciiTheme="minorEastAsia" w:hAnsiTheme="minorEastAsia" w:eastAsiaTheme="minorEastAsia" w:cstheme="minorEastAsia"/>
                <w:color w:val="auto"/>
                <w:kern w:val="0"/>
                <w:sz w:val="21"/>
                <w:szCs w:val="21"/>
                <w:highlight w:val="none"/>
              </w:rPr>
              <w:t>（详见详见第</w:t>
            </w:r>
            <w:r>
              <w:rPr>
                <w:rFonts w:hint="eastAsia" w:asciiTheme="minorEastAsia" w:hAnsiTheme="minorEastAsia" w:eastAsiaTheme="minorEastAsia" w:cstheme="minorEastAsia"/>
                <w:color w:val="auto"/>
                <w:kern w:val="0"/>
                <w:sz w:val="21"/>
                <w:szCs w:val="21"/>
                <w:highlight w:val="none"/>
                <w:lang w:val="en-US" w:eastAsia="zh-CN"/>
              </w:rPr>
              <w:t xml:space="preserve">三章 </w:t>
            </w:r>
            <w:r>
              <w:rPr>
                <w:rFonts w:hint="eastAsia" w:asciiTheme="minorEastAsia" w:hAnsiTheme="minorEastAsia" w:eastAsiaTheme="minorEastAsia" w:cstheme="minorEastAsia"/>
                <w:color w:val="auto"/>
                <w:kern w:val="0"/>
                <w:sz w:val="21"/>
                <w:szCs w:val="21"/>
                <w:highlight w:val="none"/>
              </w:rPr>
              <w:t>货物需求及技术要求）</w:t>
            </w:r>
            <w:r>
              <w:rPr>
                <w:rFonts w:hint="eastAsia" w:asciiTheme="minorEastAsia" w:hAnsiTheme="minorEastAsia" w:eastAsiaTheme="minorEastAsia" w:cstheme="minorEastAsia"/>
                <w:color w:val="auto"/>
                <w:kern w:val="0"/>
                <w:sz w:val="21"/>
                <w:szCs w:val="21"/>
                <w:highlight w:val="none"/>
                <w:lang w:eastAsia="zh-CN"/>
              </w:rPr>
              <w:t>。</w:t>
            </w:r>
          </w:p>
        </w:tc>
      </w:tr>
      <w:tr w14:paraId="5E916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156" w:type="dxa"/>
            <w:tcBorders>
              <w:tl2br w:val="nil"/>
              <w:tr2bl w:val="nil"/>
            </w:tcBorders>
            <w:vAlign w:val="center"/>
          </w:tcPr>
          <w:p w14:paraId="4FC0EF9F">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bCs/>
                <w:iCs/>
                <w:color w:val="auto"/>
                <w:sz w:val="21"/>
                <w:szCs w:val="21"/>
                <w:highlight w:val="none"/>
              </w:rPr>
            </w:pPr>
            <w:r>
              <w:rPr>
                <w:rFonts w:hint="eastAsia" w:asciiTheme="minorEastAsia" w:hAnsiTheme="minorEastAsia" w:eastAsiaTheme="minorEastAsia" w:cstheme="minorEastAsia"/>
                <w:bCs/>
                <w:iCs/>
                <w:color w:val="auto"/>
                <w:sz w:val="21"/>
                <w:szCs w:val="21"/>
                <w:highlight w:val="none"/>
              </w:rPr>
              <w:t>1.3.2</w:t>
            </w:r>
          </w:p>
        </w:tc>
        <w:tc>
          <w:tcPr>
            <w:tcW w:w="2055" w:type="dxa"/>
            <w:tcBorders>
              <w:tl2br w:val="nil"/>
              <w:tr2bl w:val="nil"/>
            </w:tcBorders>
            <w:vAlign w:val="center"/>
          </w:tcPr>
          <w:p w14:paraId="589834A2">
            <w:pPr>
              <w:pageBreakBefore w:val="0"/>
              <w:widowControl/>
              <w:overflowPunct/>
              <w:topLinePunct w:val="0"/>
              <w:bidi w:val="0"/>
              <w:spacing w:line="360" w:lineRule="auto"/>
              <w:ind w:left="0" w:leftChars="0" w:firstLine="0" w:firstLineChars="0"/>
              <w:jc w:val="center"/>
              <w:rPr>
                <w:rFonts w:hint="eastAsia" w:asciiTheme="minorEastAsia" w:hAnsiTheme="minorEastAsia" w:eastAsiaTheme="minorEastAsia" w:cstheme="minorEastAsia"/>
                <w:i/>
                <w:iCs/>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t>交货期</w:t>
            </w:r>
          </w:p>
        </w:tc>
        <w:tc>
          <w:tcPr>
            <w:tcW w:w="6374" w:type="dxa"/>
            <w:tcBorders>
              <w:tl2br w:val="nil"/>
              <w:tr2bl w:val="nil"/>
            </w:tcBorders>
            <w:vAlign w:val="center"/>
          </w:tcPr>
          <w:p w14:paraId="1CFEEF39">
            <w:pPr>
              <w:pageBreakBefore w:val="0"/>
              <w:widowControl/>
              <w:overflowPunct/>
              <w:topLinePunct w:val="0"/>
              <w:bidi w:val="0"/>
              <w:spacing w:line="360" w:lineRule="auto"/>
              <w:ind w:left="0" w:leftChars="0" w:firstLine="0" w:firstLineChars="0"/>
              <w:jc w:val="left"/>
              <w:rPr>
                <w:rFonts w:hint="eastAsia" w:eastAsia="宋体" w:asciiTheme="minorEastAsia" w:hAnsiTheme="minorEastAsia" w:cstheme="minorEastAsia"/>
                <w:i/>
                <w:iCs/>
                <w:color w:val="auto"/>
                <w:kern w:val="0"/>
                <w:sz w:val="21"/>
                <w:szCs w:val="21"/>
                <w:highlight w:val="none"/>
                <w:lang w:val="en-US" w:eastAsia="zh-CN"/>
              </w:rPr>
            </w:pPr>
            <w:r>
              <w:rPr>
                <w:rFonts w:hint="eastAsia" w:ascii="宋体" w:hAnsi="宋体" w:cs="宋体"/>
                <w:b w:val="0"/>
                <w:bCs w:val="0"/>
                <w:color w:val="auto"/>
                <w:sz w:val="21"/>
                <w:szCs w:val="21"/>
                <w:highlight w:val="none"/>
              </w:rPr>
              <w:t>合同生效后</w:t>
            </w:r>
            <w:r>
              <w:rPr>
                <w:rFonts w:hint="eastAsia" w:ascii="宋体" w:hAnsi="宋体" w:cs="宋体"/>
                <w:b w:val="0"/>
                <w:bCs w:val="0"/>
                <w:color w:val="auto"/>
                <w:sz w:val="21"/>
                <w:szCs w:val="21"/>
                <w:highlight w:val="none"/>
                <w:lang w:val="en-US" w:eastAsia="zh-CN"/>
              </w:rPr>
              <w:t>60</w:t>
            </w:r>
            <w:r>
              <w:rPr>
                <w:rFonts w:hint="eastAsia" w:ascii="宋体" w:hAnsi="宋体" w:cs="宋体"/>
                <w:b w:val="0"/>
                <w:bCs w:val="0"/>
                <w:color w:val="auto"/>
                <w:sz w:val="21"/>
                <w:szCs w:val="21"/>
                <w:highlight w:val="none"/>
              </w:rPr>
              <w:t>日历天内交货安装调试完毕,达到验收条件</w:t>
            </w:r>
            <w:r>
              <w:rPr>
                <w:rFonts w:hint="eastAsia" w:ascii="宋体" w:hAnsi="宋体" w:cs="宋体"/>
                <w:b w:val="0"/>
                <w:bCs w:val="0"/>
                <w:color w:val="auto"/>
                <w:sz w:val="21"/>
                <w:szCs w:val="21"/>
                <w:highlight w:val="none"/>
                <w:lang w:val="en-US" w:eastAsia="zh-CN"/>
              </w:rPr>
              <w:t>。</w:t>
            </w:r>
          </w:p>
        </w:tc>
      </w:tr>
      <w:tr w14:paraId="5A30C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62013C4E">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1.3.3</w:t>
            </w:r>
          </w:p>
        </w:tc>
        <w:tc>
          <w:tcPr>
            <w:tcW w:w="2055" w:type="dxa"/>
            <w:tcBorders>
              <w:tl2br w:val="nil"/>
              <w:tr2bl w:val="nil"/>
            </w:tcBorders>
            <w:vAlign w:val="center"/>
          </w:tcPr>
          <w:p w14:paraId="09EDD8DB">
            <w:pPr>
              <w:pStyle w:val="177"/>
              <w:keepNext w:val="0"/>
              <w:keepLines w:val="0"/>
              <w:pageBreakBefore w:val="0"/>
              <w:kinsoku/>
              <w:wordWrap/>
              <w:overflowPunct/>
              <w:topLinePunct w:val="0"/>
              <w:autoSpaceDE w:val="0"/>
              <w:autoSpaceDN w:val="0"/>
              <w:bidi w:val="0"/>
              <w:adjustRightInd/>
              <w:snapToGrid/>
              <w:spacing w:line="360" w:lineRule="auto"/>
              <w:ind w:right="83"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质量要求</w:t>
            </w:r>
          </w:p>
        </w:tc>
        <w:tc>
          <w:tcPr>
            <w:tcW w:w="6374" w:type="dxa"/>
            <w:tcBorders>
              <w:tl2br w:val="nil"/>
              <w:tr2bl w:val="nil"/>
            </w:tcBorders>
            <w:vAlign w:val="center"/>
          </w:tcPr>
          <w:p w14:paraId="459ABA71">
            <w:pPr>
              <w:pStyle w:val="177"/>
              <w:keepNext w:val="0"/>
              <w:keepLines w:val="0"/>
              <w:pageBreakBefore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b w:val="0"/>
                <w:bCs w:val="0"/>
                <w:color w:val="auto"/>
                <w:sz w:val="21"/>
                <w:szCs w:val="21"/>
                <w:highlight w:val="none"/>
              </w:rPr>
              <w:t>符合国家或行业规定的合格标准，满足采购人提出的技术标准及要求</w:t>
            </w:r>
            <w:r>
              <w:rPr>
                <w:rFonts w:hint="eastAsia" w:asciiTheme="minorEastAsia" w:hAnsiTheme="minorEastAsia" w:eastAsiaTheme="minorEastAsia" w:cstheme="minorEastAsia"/>
                <w:color w:val="auto"/>
                <w:sz w:val="21"/>
                <w:szCs w:val="21"/>
                <w:highlight w:val="none"/>
              </w:rPr>
              <w:t>。</w:t>
            </w:r>
          </w:p>
        </w:tc>
      </w:tr>
      <w:tr w14:paraId="6D5F5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4F4F6675">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1.3.4</w:t>
            </w:r>
          </w:p>
        </w:tc>
        <w:tc>
          <w:tcPr>
            <w:tcW w:w="2055" w:type="dxa"/>
            <w:tcBorders>
              <w:tl2br w:val="nil"/>
              <w:tr2bl w:val="nil"/>
            </w:tcBorders>
            <w:vAlign w:val="center"/>
          </w:tcPr>
          <w:p w14:paraId="7082DF16">
            <w:pPr>
              <w:pStyle w:val="177"/>
              <w:keepNext w:val="0"/>
              <w:keepLines w:val="0"/>
              <w:pageBreakBefore w:val="0"/>
              <w:kinsoku/>
              <w:wordWrap/>
              <w:overflowPunct/>
              <w:topLinePunct w:val="0"/>
              <w:autoSpaceDE w:val="0"/>
              <w:autoSpaceDN w:val="0"/>
              <w:bidi w:val="0"/>
              <w:adjustRightInd/>
              <w:snapToGrid/>
              <w:spacing w:line="360" w:lineRule="auto"/>
              <w:ind w:right="83"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质保期</w:t>
            </w:r>
          </w:p>
        </w:tc>
        <w:tc>
          <w:tcPr>
            <w:tcW w:w="6374" w:type="dxa"/>
            <w:tcBorders>
              <w:tl2br w:val="nil"/>
              <w:tr2bl w:val="nil"/>
            </w:tcBorders>
            <w:vAlign w:val="center"/>
          </w:tcPr>
          <w:p w14:paraId="0895FD1C">
            <w:pPr>
              <w:pStyle w:val="177"/>
              <w:keepNext w:val="0"/>
              <w:keepLines w:val="0"/>
              <w:pageBreakBefore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highlight w:val="none"/>
              </w:rPr>
              <w:t>自全部设备验收合格之日起</w:t>
            </w:r>
            <w:r>
              <w:rPr>
                <w:rFonts w:hint="eastAsia" w:ascii="宋体" w:hAnsi="宋体" w:eastAsia="宋体" w:cs="宋体"/>
                <w:color w:val="auto"/>
                <w:sz w:val="21"/>
                <w:szCs w:val="21"/>
                <w:highlight w:val="none"/>
                <w:lang w:val="en-US" w:eastAsia="zh-CN"/>
              </w:rPr>
              <w:t>五年整机原厂质保</w:t>
            </w:r>
            <w:r>
              <w:rPr>
                <w:rFonts w:hint="eastAsia" w:ascii="宋体" w:hAnsi="宋体" w:eastAsia="宋体" w:cs="宋体"/>
                <w:b w:val="0"/>
                <w:bCs w:val="0"/>
                <w:color w:val="auto"/>
                <w:sz w:val="21"/>
                <w:szCs w:val="21"/>
                <w:highlight w:val="none"/>
                <w:lang w:eastAsia="zh-CN"/>
              </w:rPr>
              <w:t>；</w:t>
            </w:r>
          </w:p>
        </w:tc>
      </w:tr>
      <w:tr w14:paraId="67245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018EE75F">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1.4.2.4</w:t>
            </w:r>
          </w:p>
        </w:tc>
        <w:tc>
          <w:tcPr>
            <w:tcW w:w="2055" w:type="dxa"/>
            <w:tcBorders>
              <w:tl2br w:val="nil"/>
              <w:tr2bl w:val="nil"/>
            </w:tcBorders>
            <w:vAlign w:val="center"/>
          </w:tcPr>
          <w:p w14:paraId="10CFB527">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合格供应商</w:t>
            </w:r>
          </w:p>
        </w:tc>
        <w:tc>
          <w:tcPr>
            <w:tcW w:w="6374" w:type="dxa"/>
            <w:tcBorders>
              <w:tl2br w:val="nil"/>
              <w:tr2bl w:val="nil"/>
            </w:tcBorders>
            <w:vAlign w:val="center"/>
          </w:tcPr>
          <w:p w14:paraId="30B6E6C5">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w:t>
            </w:r>
          </w:p>
          <w:p w14:paraId="0EDCAC2A">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2.落实政府采购政策需满足的资格要求：无；</w:t>
            </w:r>
          </w:p>
          <w:p w14:paraId="26A194E6">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w:t>
            </w:r>
          </w:p>
          <w:p w14:paraId="6BFFB689">
            <w:pPr>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3.1响应产品须符合中华人民共和国国务院令第739号《医疗器械监督管理条例》相关规定，取得医疗器械注册证或医疗器械产品相关备案凭证；</w:t>
            </w:r>
          </w:p>
          <w:p w14:paraId="4A51A27F">
            <w:pPr>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①供应商为生产企业的应提供食品药品监督管理部门颁发的《医疗器械生产许可证》或在有效期内的《医疗器械生产企业许可证》；②供应商为代理商或经销商的应提供在有效期内的《医疗器械经营许可证》或《医疗器械经营备案凭证》；</w:t>
            </w:r>
          </w:p>
          <w:p w14:paraId="5E767285">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依据财库[2015]150号文件规定,在行政处罚有效期内的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，拒绝参与本次采购活动。</w:t>
            </w:r>
          </w:p>
          <w:p w14:paraId="3D34FB00">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根据《关于在政府采购活动中查询及使用信用记录有关问题的通知》(财库[2016]125号)、《河南省财政厅关于转发财政部关于在政府采购活动中查询及使用信用记录有关问题的通知》（豫财购〔2016〕15号）的规定，采购人或采购代理机构将通过“信用中国”网站（www.creditchina.gov.cn）、中国执行信息公开网（http://zxgk.court.gov.cn）、中国政府采购网（www.ccgp.gov.cn）、国家企业信用信息公示系统（http://www.gsxt.gov.cn）等渠道查询</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信用记录，被列入失信被执行人、重大税收违法失信主体、政府采购严重违法失信行为记录名单、严重违法失信名单的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将被拒绝参与本项目政府采购活动（截止时点：投标截止时间）。在规定的查询时间之后，网站信息发生的任何变更均不再作为评审依据。</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自行提供的与网站信息不一致的其他证明材料亦不作为资格审查的依据。信用信息查询记录和证据将同采购文件等资料一同归档保存。</w:t>
            </w:r>
          </w:p>
          <w:p w14:paraId="1B001A6E">
            <w:pPr>
              <w:keepNext w:val="0"/>
              <w:keepLines w:val="0"/>
              <w:pageBreakBefore w:val="0"/>
              <w:kinsoku/>
              <w:wordWrap/>
              <w:overflowPunct/>
              <w:topLinePunct w:val="0"/>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单位负责人为同一人或者存在直接控股、管理关系的不同供应商，全部或者部分股东为同一法人、其他组织或者自然人的不同供应商，同一自然人在两个以上供应商任职的不同供应商，不得参加同一合同项下的投标。</w:t>
            </w:r>
          </w:p>
        </w:tc>
      </w:tr>
      <w:tr w14:paraId="1D26C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529C449D">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1.4.2.5</w:t>
            </w:r>
          </w:p>
        </w:tc>
        <w:tc>
          <w:tcPr>
            <w:tcW w:w="2055" w:type="dxa"/>
            <w:tcBorders>
              <w:tl2br w:val="nil"/>
              <w:tr2bl w:val="nil"/>
            </w:tcBorders>
            <w:vAlign w:val="center"/>
          </w:tcPr>
          <w:p w14:paraId="641ABC31">
            <w:pPr>
              <w:pageBreakBefore w:val="0"/>
              <w:widowControl/>
              <w:overflowPunct/>
              <w:topLinePunct w:val="0"/>
              <w:bidi w:val="0"/>
              <w:spacing w:line="360" w:lineRule="auto"/>
              <w:ind w:left="0" w:leftChars="0" w:firstLine="0" w:firstLineChars="0"/>
              <w:jc w:val="center"/>
              <w:rPr>
                <w:rFonts w:hint="eastAsia" w:asciiTheme="minorEastAsia" w:hAnsiTheme="minorEastAsia" w:eastAsiaTheme="minorEastAsia" w:cstheme="minorEastAsia"/>
                <w:i w:val="0"/>
                <w:iCs w:val="0"/>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t>是否允许采购进口产品</w:t>
            </w:r>
          </w:p>
        </w:tc>
        <w:tc>
          <w:tcPr>
            <w:tcW w:w="6374" w:type="dxa"/>
            <w:tcBorders>
              <w:tl2br w:val="nil"/>
              <w:tr2bl w:val="nil"/>
            </w:tcBorders>
            <w:vAlign w:val="center"/>
          </w:tcPr>
          <w:p w14:paraId="3C9F99D0">
            <w:pPr>
              <w:pageBreakBefore w:val="0"/>
              <w:widowControl/>
              <w:overflowPunct/>
              <w:topLinePunct w:val="0"/>
              <w:bidi w:val="0"/>
              <w:spacing w:line="360" w:lineRule="auto"/>
              <w:ind w:left="0" w:leftChars="0" w:firstLine="0" w:firstLineChars="0"/>
              <w:jc w:val="left"/>
              <w:rPr>
                <w:rFonts w:hint="eastAsia" w:asciiTheme="minorEastAsia" w:hAnsiTheme="minorEastAsia" w:eastAsiaTheme="minorEastAsia" w:cstheme="minorEastAsia"/>
                <w:i w:val="0"/>
                <w:iCs w:val="0"/>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t>□是</w:t>
            </w:r>
          </w:p>
          <w:p w14:paraId="77860C8E">
            <w:pPr>
              <w:pageBreakBefore w:val="0"/>
              <w:widowControl/>
              <w:overflowPunct/>
              <w:topLinePunct w:val="0"/>
              <w:bidi w:val="0"/>
              <w:spacing w:line="360" w:lineRule="auto"/>
              <w:ind w:left="0" w:leftChars="0" w:firstLine="0" w:firstLineChars="0"/>
              <w:jc w:val="left"/>
              <w:rPr>
                <w:rFonts w:hint="eastAsia" w:asciiTheme="minorEastAsia" w:hAnsiTheme="minorEastAsia" w:eastAsiaTheme="minorEastAsia" w:cstheme="minorEastAsia"/>
                <w:i w:val="0"/>
                <w:iCs w:val="0"/>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sym w:font="Wingdings 2" w:char="0052"/>
            </w:r>
            <w:r>
              <w:rPr>
                <w:rFonts w:hint="eastAsia" w:asciiTheme="minorEastAsia" w:hAnsiTheme="minorEastAsia" w:eastAsiaTheme="minorEastAsia" w:cstheme="minorEastAsia"/>
                <w:i w:val="0"/>
                <w:iCs w:val="0"/>
                <w:color w:val="auto"/>
                <w:kern w:val="0"/>
                <w:sz w:val="21"/>
                <w:szCs w:val="21"/>
                <w:highlight w:val="none"/>
                <w:lang w:val="zh-CN"/>
              </w:rPr>
              <w:t>否</w:t>
            </w:r>
          </w:p>
        </w:tc>
      </w:tr>
      <w:tr w14:paraId="5C5E1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7D3EA5F5">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1.4.2.6</w:t>
            </w:r>
          </w:p>
        </w:tc>
        <w:tc>
          <w:tcPr>
            <w:tcW w:w="2055" w:type="dxa"/>
            <w:tcBorders>
              <w:tl2br w:val="nil"/>
              <w:tr2bl w:val="nil"/>
            </w:tcBorders>
            <w:vAlign w:val="center"/>
          </w:tcPr>
          <w:p w14:paraId="653F79C7">
            <w:pPr>
              <w:pageBreakBefore w:val="0"/>
              <w:widowControl/>
              <w:overflowPunct/>
              <w:topLinePunct w:val="0"/>
              <w:bidi w:val="0"/>
              <w:spacing w:line="360" w:lineRule="auto"/>
              <w:ind w:left="0" w:leftChars="0" w:firstLine="0" w:firstLineChars="0"/>
              <w:jc w:val="center"/>
              <w:rPr>
                <w:rFonts w:hint="eastAsia" w:asciiTheme="minorEastAsia" w:hAnsiTheme="minorEastAsia" w:eastAsiaTheme="minorEastAsia" w:cstheme="minorEastAsia"/>
                <w:i w:val="0"/>
                <w:iCs w:val="0"/>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t>是否为专门面向中小企业的预留份额的采购项目或者采购包</w:t>
            </w:r>
          </w:p>
        </w:tc>
        <w:tc>
          <w:tcPr>
            <w:tcW w:w="6374" w:type="dxa"/>
            <w:tcBorders>
              <w:tl2br w:val="nil"/>
              <w:tr2bl w:val="nil"/>
            </w:tcBorders>
            <w:vAlign w:val="center"/>
          </w:tcPr>
          <w:p w14:paraId="2D9D2D8E">
            <w:pPr>
              <w:pageBreakBefore w:val="0"/>
              <w:widowControl/>
              <w:overflowPunct/>
              <w:topLinePunct w:val="0"/>
              <w:bidi w:val="0"/>
              <w:spacing w:line="360" w:lineRule="auto"/>
              <w:ind w:left="0" w:leftChars="0" w:firstLine="0" w:firstLineChars="0"/>
              <w:jc w:val="left"/>
              <w:rPr>
                <w:rFonts w:hint="eastAsia" w:asciiTheme="minorEastAsia" w:hAnsiTheme="minorEastAsia" w:eastAsiaTheme="minorEastAsia" w:cstheme="minorEastAsia"/>
                <w:i w:val="0"/>
                <w:iCs w:val="0"/>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t>1.是否为专门面向中小企业的预留份额的采购项目或者采购包：</w:t>
            </w:r>
          </w:p>
          <w:p w14:paraId="343DA367">
            <w:pPr>
              <w:pageBreakBefore w:val="0"/>
              <w:widowControl/>
              <w:overflowPunct/>
              <w:topLinePunct w:val="0"/>
              <w:bidi w:val="0"/>
              <w:spacing w:line="360" w:lineRule="auto"/>
              <w:ind w:left="0" w:leftChars="0" w:firstLine="0" w:firstLineChars="0"/>
              <w:jc w:val="left"/>
              <w:rPr>
                <w:rFonts w:hint="eastAsia" w:asciiTheme="minorEastAsia" w:hAnsiTheme="minorEastAsia" w:eastAsiaTheme="minorEastAsia" w:cstheme="minorEastAsia"/>
                <w:i w:val="0"/>
                <w:iCs w:val="0"/>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t>□是。（明确该项目或相关采购包，以及相关标的及预算金额）</w:t>
            </w:r>
          </w:p>
          <w:p w14:paraId="2C5BE8F9">
            <w:pPr>
              <w:pageBreakBefore w:val="0"/>
              <w:widowControl/>
              <w:overflowPunct/>
              <w:topLinePunct w:val="0"/>
              <w:bidi w:val="0"/>
              <w:spacing w:line="360" w:lineRule="auto"/>
              <w:ind w:left="0" w:leftChars="0" w:firstLine="0" w:firstLineChars="0"/>
              <w:jc w:val="left"/>
              <w:rPr>
                <w:rFonts w:hint="eastAsia" w:asciiTheme="minorEastAsia" w:hAnsiTheme="minorEastAsia" w:eastAsiaTheme="minorEastAsia" w:cstheme="minorEastAsia"/>
                <w:i w:val="0"/>
                <w:iCs w:val="0"/>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sym w:font="Wingdings 2" w:char="0052"/>
            </w:r>
            <w:r>
              <w:rPr>
                <w:rFonts w:hint="eastAsia" w:asciiTheme="minorEastAsia" w:hAnsiTheme="minorEastAsia" w:eastAsiaTheme="minorEastAsia" w:cstheme="minorEastAsia"/>
                <w:i w:val="0"/>
                <w:iCs w:val="0"/>
                <w:color w:val="auto"/>
                <w:kern w:val="0"/>
                <w:sz w:val="21"/>
                <w:szCs w:val="21"/>
                <w:highlight w:val="none"/>
                <w:lang w:val="zh-CN"/>
              </w:rPr>
              <w:t>否（有关价格扣除比例或者价格分加分比例详见评审标准）</w:t>
            </w:r>
          </w:p>
          <w:p w14:paraId="79DDF038">
            <w:pPr>
              <w:pageBreakBefore w:val="0"/>
              <w:widowControl/>
              <w:overflowPunct/>
              <w:topLinePunct w:val="0"/>
              <w:bidi w:val="0"/>
              <w:spacing w:line="360" w:lineRule="auto"/>
              <w:ind w:left="0" w:leftChars="0" w:firstLine="0" w:firstLineChars="0"/>
              <w:jc w:val="left"/>
              <w:rPr>
                <w:rFonts w:hint="eastAsia" w:asciiTheme="minorEastAsia" w:hAnsiTheme="minorEastAsia" w:eastAsiaTheme="minorEastAsia" w:cstheme="minorEastAsia"/>
                <w:i w:val="0"/>
                <w:iCs w:val="0"/>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t>2.依据《政府采购促进中小企业发展管理办法》规定享受扶持政策获得政府采购合同的，小微企业不得将合同分包给大中型企业，中型企业不得将合同分包给大型企业；</w:t>
            </w:r>
          </w:p>
          <w:p w14:paraId="64D8A53C">
            <w:pPr>
              <w:pageBreakBefore w:val="0"/>
              <w:widowControl/>
              <w:overflowPunct/>
              <w:topLinePunct w:val="0"/>
              <w:bidi w:val="0"/>
              <w:spacing w:line="360" w:lineRule="auto"/>
              <w:ind w:left="0" w:leftChars="0" w:firstLine="0" w:firstLineChars="0"/>
              <w:jc w:val="left"/>
              <w:rPr>
                <w:rFonts w:hint="eastAsia" w:asciiTheme="minorEastAsia" w:hAnsiTheme="minorEastAsia" w:eastAsiaTheme="minorEastAsia" w:cstheme="minorEastAsia"/>
                <w:i w:val="0"/>
                <w:iCs w:val="0"/>
                <w:color w:val="auto"/>
                <w:kern w:val="0"/>
                <w:sz w:val="21"/>
                <w:szCs w:val="21"/>
                <w:highlight w:val="none"/>
                <w:lang w:val="zh-CN"/>
              </w:rPr>
            </w:pPr>
            <w:r>
              <w:rPr>
                <w:rFonts w:hint="eastAsia" w:asciiTheme="minorEastAsia" w:hAnsiTheme="minorEastAsia" w:eastAsiaTheme="minorEastAsia" w:cstheme="minorEastAsia"/>
                <w:i w:val="0"/>
                <w:iCs w:val="0"/>
                <w:color w:val="auto"/>
                <w:kern w:val="0"/>
                <w:sz w:val="21"/>
                <w:szCs w:val="21"/>
                <w:highlight w:val="none"/>
                <w:lang w:val="zh-CN"/>
              </w:rPr>
              <w:t>3.采购标的对应的中小企业划分标准所属行业：</w:t>
            </w:r>
            <w:r>
              <w:rPr>
                <w:rFonts w:hint="eastAsia" w:asciiTheme="minorEastAsia" w:hAnsiTheme="minorEastAsia" w:eastAsiaTheme="minorEastAsia" w:cstheme="minorEastAsia"/>
                <w:i w:val="0"/>
                <w:iCs w:val="0"/>
                <w:color w:val="auto"/>
                <w:kern w:val="0"/>
                <w:sz w:val="21"/>
                <w:szCs w:val="21"/>
                <w:highlight w:val="none"/>
                <w:u w:val="single"/>
                <w:lang w:val="zh-CN"/>
              </w:rPr>
              <w:t xml:space="preserve"> </w:t>
            </w:r>
            <w:r>
              <w:rPr>
                <w:rFonts w:hint="eastAsia" w:asciiTheme="minorEastAsia" w:hAnsiTheme="minorEastAsia" w:eastAsiaTheme="minorEastAsia" w:cstheme="minorEastAsia"/>
                <w:i w:val="0"/>
                <w:iCs w:val="0"/>
                <w:color w:val="auto"/>
                <w:kern w:val="0"/>
                <w:sz w:val="21"/>
                <w:szCs w:val="21"/>
                <w:highlight w:val="none"/>
                <w:u w:val="single"/>
                <w:lang w:val="en-US" w:eastAsia="zh-CN"/>
              </w:rPr>
              <w:t>工业（制造业）</w:t>
            </w:r>
            <w:r>
              <w:rPr>
                <w:rFonts w:hint="eastAsia" w:asciiTheme="minorEastAsia" w:hAnsiTheme="minorEastAsia" w:eastAsiaTheme="minorEastAsia" w:cstheme="minorEastAsia"/>
                <w:i w:val="0"/>
                <w:iCs w:val="0"/>
                <w:color w:val="auto"/>
                <w:kern w:val="0"/>
                <w:sz w:val="21"/>
                <w:szCs w:val="21"/>
                <w:highlight w:val="none"/>
                <w:u w:val="single"/>
                <w:lang w:val="zh-CN"/>
              </w:rPr>
              <w:t xml:space="preserve"> </w:t>
            </w:r>
            <w:r>
              <w:rPr>
                <w:rFonts w:hint="eastAsia" w:asciiTheme="minorEastAsia" w:hAnsiTheme="minorEastAsia" w:eastAsiaTheme="minorEastAsia" w:cstheme="minorEastAsia"/>
                <w:i w:val="0"/>
                <w:iCs w:val="0"/>
                <w:color w:val="auto"/>
                <w:kern w:val="0"/>
                <w:sz w:val="21"/>
                <w:szCs w:val="21"/>
                <w:highlight w:val="none"/>
                <w:lang w:val="zh-CN"/>
              </w:rPr>
              <w:t>；</w:t>
            </w:r>
          </w:p>
        </w:tc>
      </w:tr>
      <w:tr w14:paraId="06650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vMerge w:val="restart"/>
            <w:tcBorders>
              <w:tl2br w:val="nil"/>
              <w:tr2bl w:val="nil"/>
            </w:tcBorders>
            <w:vAlign w:val="center"/>
          </w:tcPr>
          <w:p w14:paraId="7724510E">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1.4.2.7</w:t>
            </w:r>
          </w:p>
        </w:tc>
        <w:tc>
          <w:tcPr>
            <w:tcW w:w="2055" w:type="dxa"/>
            <w:tcBorders>
              <w:tl2br w:val="nil"/>
              <w:tr2bl w:val="nil"/>
            </w:tcBorders>
            <w:vAlign w:val="center"/>
          </w:tcPr>
          <w:p w14:paraId="28229A5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是否有政府强制采购的节能产品</w:t>
            </w:r>
          </w:p>
        </w:tc>
        <w:tc>
          <w:tcPr>
            <w:tcW w:w="6374" w:type="dxa"/>
            <w:tcBorders>
              <w:tl2br w:val="nil"/>
              <w:tr2bl w:val="nil"/>
            </w:tcBorders>
            <w:vAlign w:val="center"/>
          </w:tcPr>
          <w:p w14:paraId="7FDFE74D">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有，具体产品为：计算机、</w:t>
            </w:r>
            <w:r>
              <w:rPr>
                <w:rFonts w:hint="eastAsia" w:asciiTheme="minorEastAsia" w:hAnsiTheme="minorEastAsia" w:eastAsiaTheme="minorEastAsia" w:cstheme="minorEastAsia"/>
                <w:color w:val="auto"/>
                <w:sz w:val="21"/>
                <w:szCs w:val="21"/>
                <w:highlight w:val="none"/>
                <w:lang w:val="en-US" w:eastAsia="zh-CN"/>
              </w:rPr>
              <w:t>液晶</w:t>
            </w:r>
            <w:r>
              <w:rPr>
                <w:rFonts w:hint="eastAsia" w:asciiTheme="minorEastAsia" w:hAnsiTheme="minorEastAsia" w:eastAsiaTheme="minorEastAsia" w:cstheme="minorEastAsia"/>
                <w:color w:val="auto"/>
                <w:sz w:val="21"/>
                <w:szCs w:val="21"/>
                <w:highlight w:val="none"/>
              </w:rPr>
              <w:t>显示器</w:t>
            </w:r>
            <w:r>
              <w:rPr>
                <w:rFonts w:hint="eastAsia" w:asciiTheme="minorEastAsia" w:hAnsiTheme="minorEastAsia" w:eastAsiaTheme="minorEastAsia" w:cstheme="minorEastAsia"/>
                <w:color w:val="auto"/>
                <w:sz w:val="21"/>
                <w:szCs w:val="21"/>
                <w:highlight w:val="none"/>
                <w:lang w:val="en-US" w:eastAsia="zh-CN"/>
              </w:rPr>
              <w:t>等</w:t>
            </w:r>
          </w:p>
          <w:p w14:paraId="2E904290">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sym w:font="Wingdings 2" w:char="00A3"/>
            </w:r>
            <w:r>
              <w:rPr>
                <w:rFonts w:hint="eastAsia" w:asciiTheme="minorEastAsia" w:hAnsiTheme="minorEastAsia" w:eastAsiaTheme="minorEastAsia" w:cstheme="minorEastAsia"/>
                <w:color w:val="auto"/>
                <w:sz w:val="21"/>
                <w:szCs w:val="21"/>
                <w:highlight w:val="none"/>
              </w:rPr>
              <w:t>无</w:t>
            </w:r>
          </w:p>
        </w:tc>
      </w:tr>
      <w:tr w14:paraId="4B501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577FC684">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w:t>
            </w:r>
          </w:p>
        </w:tc>
        <w:tc>
          <w:tcPr>
            <w:tcW w:w="2055" w:type="dxa"/>
            <w:tcBorders>
              <w:tl2br w:val="nil"/>
              <w:tr2bl w:val="nil"/>
            </w:tcBorders>
            <w:vAlign w:val="center"/>
          </w:tcPr>
          <w:p w14:paraId="2926182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是否允许联合体参加政府采购活动</w:t>
            </w:r>
          </w:p>
        </w:tc>
        <w:tc>
          <w:tcPr>
            <w:tcW w:w="6374" w:type="dxa"/>
            <w:tcBorders>
              <w:tl2br w:val="nil"/>
              <w:tr2bl w:val="nil"/>
            </w:tcBorders>
            <w:vAlign w:val="center"/>
          </w:tcPr>
          <w:p w14:paraId="5267951D">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□是。以联合体形式参加的，联合协议中中小企业合同金额应当达到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536E46EA">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rPr>
              <w:t>否</w:t>
            </w:r>
          </w:p>
        </w:tc>
      </w:tr>
      <w:tr w14:paraId="41620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3A62765A">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1.4.3.10</w:t>
            </w:r>
          </w:p>
        </w:tc>
        <w:tc>
          <w:tcPr>
            <w:tcW w:w="2055" w:type="dxa"/>
            <w:tcBorders>
              <w:tl2br w:val="nil"/>
              <w:tr2bl w:val="nil"/>
            </w:tcBorders>
            <w:vAlign w:val="center"/>
          </w:tcPr>
          <w:p w14:paraId="04B93935">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联合体的其他资格要求</w:t>
            </w:r>
          </w:p>
        </w:tc>
        <w:tc>
          <w:tcPr>
            <w:tcW w:w="6374" w:type="dxa"/>
            <w:tcBorders>
              <w:tl2br w:val="nil"/>
              <w:tr2bl w:val="nil"/>
            </w:tcBorders>
            <w:vAlign w:val="center"/>
          </w:tcPr>
          <w:p w14:paraId="6E60DC24">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无</w:t>
            </w:r>
          </w:p>
        </w:tc>
      </w:tr>
      <w:tr w14:paraId="695DC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0077ADFA">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w:t>
            </w:r>
          </w:p>
        </w:tc>
        <w:tc>
          <w:tcPr>
            <w:tcW w:w="2055" w:type="dxa"/>
            <w:tcBorders>
              <w:tl2br w:val="nil"/>
              <w:tr2bl w:val="nil"/>
            </w:tcBorders>
            <w:vAlign w:val="center"/>
          </w:tcPr>
          <w:p w14:paraId="604AD08F">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现场考察、磋商前答疑会</w:t>
            </w:r>
          </w:p>
        </w:tc>
        <w:tc>
          <w:tcPr>
            <w:tcW w:w="6374" w:type="dxa"/>
            <w:tcBorders>
              <w:tl2br w:val="nil"/>
              <w:tr2bl w:val="nil"/>
            </w:tcBorders>
            <w:vAlign w:val="center"/>
          </w:tcPr>
          <w:p w14:paraId="5597DA2A">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rPr>
              <w:t>不组织</w:t>
            </w:r>
          </w:p>
          <w:p w14:paraId="3C1234DB">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□组织</w:t>
            </w:r>
          </w:p>
        </w:tc>
      </w:tr>
      <w:tr w14:paraId="3925B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06879931">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1.8.1</w:t>
            </w:r>
          </w:p>
        </w:tc>
        <w:tc>
          <w:tcPr>
            <w:tcW w:w="2055" w:type="dxa"/>
            <w:tcBorders>
              <w:tl2br w:val="nil"/>
              <w:tr2bl w:val="nil"/>
            </w:tcBorders>
            <w:vAlign w:val="center"/>
          </w:tcPr>
          <w:p w14:paraId="1C94375B">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是否需要提供样品</w:t>
            </w:r>
          </w:p>
        </w:tc>
        <w:tc>
          <w:tcPr>
            <w:tcW w:w="6374" w:type="dxa"/>
            <w:tcBorders>
              <w:tl2br w:val="nil"/>
              <w:tr2bl w:val="nil"/>
            </w:tcBorders>
            <w:vAlign w:val="center"/>
          </w:tcPr>
          <w:p w14:paraId="0B43B708">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w:t>
            </w:r>
          </w:p>
          <w:p w14:paraId="0AF2E7D3">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提供样品要求包括：（样品的制作标准和要求、接收及退还，样品检测报告，检测机构、检测内容等内容）</w:t>
            </w:r>
          </w:p>
          <w:p w14:paraId="30E15B2B">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rPr>
              <w:t>（否）</w:t>
            </w:r>
          </w:p>
        </w:tc>
      </w:tr>
      <w:tr w14:paraId="0F09A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vMerge w:val="restart"/>
            <w:tcBorders>
              <w:tl2br w:val="nil"/>
              <w:tr2bl w:val="nil"/>
            </w:tcBorders>
            <w:vAlign w:val="center"/>
          </w:tcPr>
          <w:p w14:paraId="2381D25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w:t>
            </w:r>
          </w:p>
        </w:tc>
        <w:tc>
          <w:tcPr>
            <w:tcW w:w="2055" w:type="dxa"/>
            <w:vMerge w:val="restart"/>
            <w:tcBorders>
              <w:tl2br w:val="nil"/>
              <w:tr2bl w:val="nil"/>
            </w:tcBorders>
            <w:vAlign w:val="center"/>
          </w:tcPr>
          <w:p w14:paraId="657ADF68">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供应商对采购文件提出疑问的截止时间</w:t>
            </w:r>
          </w:p>
        </w:tc>
        <w:tc>
          <w:tcPr>
            <w:tcW w:w="6374" w:type="dxa"/>
            <w:tcBorders>
              <w:tl2br w:val="nil"/>
              <w:tr2bl w:val="nil"/>
            </w:tcBorders>
            <w:vAlign w:val="center"/>
          </w:tcPr>
          <w:p w14:paraId="3658F952">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时间：提交首次响应文件截止时间5日前</w:t>
            </w:r>
          </w:p>
        </w:tc>
      </w:tr>
      <w:tr w14:paraId="03E00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156" w:type="dxa"/>
            <w:vMerge w:val="continue"/>
            <w:tcBorders>
              <w:tl2br w:val="nil"/>
              <w:tr2bl w:val="nil"/>
            </w:tcBorders>
            <w:vAlign w:val="center"/>
          </w:tcPr>
          <w:p w14:paraId="2FE5F14F">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2055" w:type="dxa"/>
            <w:vMerge w:val="continue"/>
            <w:tcBorders>
              <w:tl2br w:val="nil"/>
              <w:tr2bl w:val="nil"/>
            </w:tcBorders>
            <w:vAlign w:val="center"/>
          </w:tcPr>
          <w:p w14:paraId="6735B579">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6374" w:type="dxa"/>
            <w:tcBorders>
              <w:tl2br w:val="nil"/>
              <w:tr2bl w:val="nil"/>
            </w:tcBorders>
            <w:vAlign w:val="center"/>
          </w:tcPr>
          <w:p w14:paraId="5CEC3EDB">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形式：在河南省公共资源交易中心电子交易平台进行提问，同时将问题的电子版（附加盖公章的扫描件和可编辑的Word电子版）上传。</w:t>
            </w:r>
          </w:p>
        </w:tc>
      </w:tr>
      <w:tr w14:paraId="75F23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5F66CC42">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2.2.3</w:t>
            </w:r>
          </w:p>
        </w:tc>
        <w:tc>
          <w:tcPr>
            <w:tcW w:w="2055" w:type="dxa"/>
            <w:tcBorders>
              <w:tl2br w:val="nil"/>
              <w:tr2bl w:val="nil"/>
            </w:tcBorders>
            <w:vAlign w:val="center"/>
          </w:tcPr>
          <w:p w14:paraId="752F747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采购人书面澄清采购文件的时间</w:t>
            </w:r>
          </w:p>
        </w:tc>
        <w:tc>
          <w:tcPr>
            <w:tcW w:w="6374" w:type="dxa"/>
            <w:tcBorders>
              <w:tl2br w:val="nil"/>
              <w:tr2bl w:val="nil"/>
            </w:tcBorders>
            <w:vAlign w:val="center"/>
          </w:tcPr>
          <w:p w14:paraId="0E2107B1">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澄清或者修改的内容可能影响响应文件编制的，将在递交首次响应文件截止时间至少5日前（不足5日的应该顺延首次递交时间），以书面形式在河南省公共资源交易中心电子交易平台上发出。</w:t>
            </w:r>
          </w:p>
        </w:tc>
      </w:tr>
      <w:tr w14:paraId="2DDCA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176BB33C">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3.1.1</w:t>
            </w:r>
          </w:p>
        </w:tc>
        <w:tc>
          <w:tcPr>
            <w:tcW w:w="2055" w:type="dxa"/>
            <w:tcBorders>
              <w:tl2br w:val="nil"/>
              <w:tr2bl w:val="nil"/>
            </w:tcBorders>
            <w:vAlign w:val="center"/>
          </w:tcPr>
          <w:p w14:paraId="444A37AB">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供应商参加不同包或标段采购活动的权利</w:t>
            </w:r>
            <w:r>
              <w:rPr>
                <w:rFonts w:hint="eastAsia" w:asciiTheme="minorEastAsia" w:hAnsiTheme="minorEastAsia" w:eastAsiaTheme="minorEastAsia" w:cstheme="minorEastAsia"/>
                <w:color w:val="auto"/>
                <w:sz w:val="21"/>
                <w:szCs w:val="21"/>
                <w:highlight w:val="none"/>
                <w:lang w:val="zh-CN"/>
              </w:rPr>
              <w:t>（如需）</w:t>
            </w:r>
          </w:p>
        </w:tc>
        <w:tc>
          <w:tcPr>
            <w:tcW w:w="6374" w:type="dxa"/>
            <w:tcBorders>
              <w:tl2br w:val="nil"/>
              <w:tr2bl w:val="nil"/>
            </w:tcBorders>
            <w:vAlign w:val="center"/>
          </w:tcPr>
          <w:p w14:paraId="2F417972">
            <w:pPr>
              <w:pStyle w:val="177"/>
              <w:keepNext w:val="0"/>
              <w:keepLines w:val="0"/>
              <w:pageBreakBefore w:val="0"/>
              <w:kinsoku/>
              <w:wordWrap/>
              <w:overflowPunct/>
              <w:topLinePunct w:val="0"/>
              <w:autoSpaceDE w:val="0"/>
              <w:autoSpaceDN w:val="0"/>
              <w:bidi w:val="0"/>
              <w:adjustRightInd/>
              <w:snapToGrid/>
              <w:spacing w:line="360" w:lineRule="auto"/>
              <w:ind w:right="17"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如供应商可以参加</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个包，可以成交</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个包。</w:t>
            </w:r>
          </w:p>
          <w:p w14:paraId="21CF8FD8">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根据评审时包号的先后顺序进行评审并推荐成交候选人，已被推荐为第一成交候选人的供应商，后续包不再推荐。</w:t>
            </w:r>
          </w:p>
        </w:tc>
      </w:tr>
      <w:tr w14:paraId="7344E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6DDAFE0E">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3.2.3</w:t>
            </w:r>
          </w:p>
        </w:tc>
        <w:tc>
          <w:tcPr>
            <w:tcW w:w="2055" w:type="dxa"/>
            <w:tcBorders>
              <w:tl2br w:val="nil"/>
              <w:tr2bl w:val="nil"/>
            </w:tcBorders>
            <w:vAlign w:val="center"/>
          </w:tcPr>
          <w:p w14:paraId="7A6D1F8C">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签字和盖章要求</w:t>
            </w:r>
          </w:p>
        </w:tc>
        <w:tc>
          <w:tcPr>
            <w:tcW w:w="6374" w:type="dxa"/>
            <w:tcBorders>
              <w:tl2br w:val="nil"/>
              <w:tr2bl w:val="nil"/>
            </w:tcBorders>
            <w:vAlign w:val="center"/>
          </w:tcPr>
          <w:p w14:paraId="0C9E56D0">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按照磋商文件的要求进行签字或盖章。</w:t>
            </w:r>
          </w:p>
        </w:tc>
      </w:tr>
      <w:tr w14:paraId="5E3D6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3164C99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3.4.1</w:t>
            </w:r>
          </w:p>
        </w:tc>
        <w:tc>
          <w:tcPr>
            <w:tcW w:w="2055" w:type="dxa"/>
            <w:tcBorders>
              <w:tl2br w:val="nil"/>
              <w:tr2bl w:val="nil"/>
            </w:tcBorders>
            <w:vAlign w:val="center"/>
          </w:tcPr>
          <w:p w14:paraId="431DAF0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响应报价</w:t>
            </w:r>
          </w:p>
        </w:tc>
        <w:tc>
          <w:tcPr>
            <w:tcW w:w="6374" w:type="dxa"/>
            <w:tcBorders>
              <w:tl2br w:val="nil"/>
              <w:tr2bl w:val="nil"/>
            </w:tcBorders>
            <w:vAlign w:val="center"/>
          </w:tcPr>
          <w:p w14:paraId="4824BF42">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（1）磋商报价：本项目实施完成价（包括：保险费、实施、相关服务费、税费和相关费用等完成此项目的所有费用。）</w:t>
            </w:r>
          </w:p>
          <w:p w14:paraId="5BE5F58E">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（2）相关费用：采购代理服务费。</w:t>
            </w:r>
          </w:p>
        </w:tc>
      </w:tr>
      <w:tr w14:paraId="37042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6C943AC4">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3.5</w:t>
            </w:r>
          </w:p>
        </w:tc>
        <w:tc>
          <w:tcPr>
            <w:tcW w:w="2055" w:type="dxa"/>
            <w:tcBorders>
              <w:tl2br w:val="nil"/>
              <w:tr2bl w:val="nil"/>
            </w:tcBorders>
            <w:vAlign w:val="center"/>
          </w:tcPr>
          <w:p w14:paraId="1353D2FC">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磋商保证金</w:t>
            </w:r>
          </w:p>
        </w:tc>
        <w:tc>
          <w:tcPr>
            <w:tcW w:w="6374" w:type="dxa"/>
            <w:tcBorders>
              <w:tl2br w:val="nil"/>
              <w:tr2bl w:val="nil"/>
            </w:tcBorders>
            <w:vAlign w:val="center"/>
          </w:tcPr>
          <w:p w14:paraId="2CDDE025">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参加本项目采购活动的供应商无需提交磋商保证金</w:t>
            </w:r>
          </w:p>
        </w:tc>
      </w:tr>
      <w:tr w14:paraId="2DC4B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24D764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3.6.1</w:t>
            </w:r>
          </w:p>
        </w:tc>
        <w:tc>
          <w:tcPr>
            <w:tcW w:w="2055" w:type="dxa"/>
            <w:tcBorders>
              <w:tl2br w:val="nil"/>
              <w:tr2bl w:val="nil"/>
            </w:tcBorders>
            <w:vAlign w:val="center"/>
          </w:tcPr>
          <w:p w14:paraId="4DEEE722">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响应文件有效期</w:t>
            </w:r>
          </w:p>
        </w:tc>
        <w:tc>
          <w:tcPr>
            <w:tcW w:w="6374" w:type="dxa"/>
            <w:tcBorders>
              <w:tl2br w:val="nil"/>
              <w:tr2bl w:val="nil"/>
            </w:tcBorders>
            <w:vAlign w:val="center"/>
          </w:tcPr>
          <w:p w14:paraId="114BE315">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提交响应文件截止之日起</w:t>
            </w:r>
            <w:r>
              <w:rPr>
                <w:rFonts w:hint="eastAsia" w:asciiTheme="minorEastAsia" w:hAnsiTheme="minorEastAsia" w:eastAsiaTheme="minorEastAsia" w:cstheme="minorEastAsia"/>
                <w:color w:val="auto"/>
                <w:sz w:val="21"/>
                <w:szCs w:val="21"/>
                <w:highlight w:val="none"/>
                <w:u w:val="single"/>
                <w:lang w:val="en-US" w:eastAsia="zh-CN"/>
              </w:rPr>
              <w:t>9</w:t>
            </w:r>
            <w:r>
              <w:rPr>
                <w:rFonts w:hint="eastAsia" w:asciiTheme="minorEastAsia" w:hAnsiTheme="minorEastAsia" w:eastAsiaTheme="minorEastAsia" w:cstheme="minorEastAsia"/>
                <w:color w:val="auto"/>
                <w:sz w:val="21"/>
                <w:szCs w:val="21"/>
                <w:highlight w:val="none"/>
                <w:u w:val="single"/>
              </w:rPr>
              <w:t>0</w:t>
            </w:r>
            <w:r>
              <w:rPr>
                <w:rFonts w:hint="eastAsia" w:asciiTheme="minorEastAsia" w:hAnsiTheme="minorEastAsia" w:eastAsiaTheme="minorEastAsia" w:cstheme="minorEastAsia"/>
                <w:color w:val="auto"/>
                <w:sz w:val="21"/>
                <w:szCs w:val="21"/>
                <w:highlight w:val="none"/>
              </w:rPr>
              <w:t>日历</w:t>
            </w:r>
            <w:r>
              <w:rPr>
                <w:rFonts w:hint="eastAsia" w:asciiTheme="minorEastAsia" w:hAnsiTheme="minorEastAsia" w:eastAsiaTheme="minorEastAsia" w:cstheme="minorEastAsia"/>
                <w:color w:val="auto"/>
                <w:sz w:val="21"/>
                <w:szCs w:val="21"/>
                <w:highlight w:val="none"/>
                <w:lang w:val="en-US" w:eastAsia="zh-CN"/>
              </w:rPr>
              <w:t>天</w:t>
            </w:r>
          </w:p>
        </w:tc>
      </w:tr>
      <w:tr w14:paraId="4439A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vMerge w:val="restart"/>
            <w:tcBorders>
              <w:tl2br w:val="nil"/>
              <w:tr2bl w:val="nil"/>
            </w:tcBorders>
            <w:vAlign w:val="center"/>
          </w:tcPr>
          <w:p w14:paraId="13AF2F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4.2.1</w:t>
            </w:r>
          </w:p>
        </w:tc>
        <w:tc>
          <w:tcPr>
            <w:tcW w:w="2055" w:type="dxa"/>
            <w:vMerge w:val="restart"/>
            <w:tcBorders>
              <w:tl2br w:val="nil"/>
              <w:tr2bl w:val="nil"/>
            </w:tcBorders>
            <w:vAlign w:val="center"/>
          </w:tcPr>
          <w:p w14:paraId="7461833E">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响应文件提交截止时间</w:t>
            </w:r>
          </w:p>
        </w:tc>
        <w:tc>
          <w:tcPr>
            <w:tcW w:w="6374" w:type="dxa"/>
            <w:tcBorders>
              <w:tl2br w:val="nil"/>
              <w:tr2bl w:val="nil"/>
            </w:tcBorders>
            <w:vAlign w:val="center"/>
          </w:tcPr>
          <w:p w14:paraId="2E3474DE">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lang w:val="zh-CN"/>
              </w:rPr>
              <w:t>截止时间：</w:t>
            </w:r>
            <w:r>
              <w:rPr>
                <w:rFonts w:hint="eastAsia" w:asciiTheme="minorEastAsia" w:hAnsiTheme="minorEastAsia" w:eastAsiaTheme="minorEastAsia" w:cstheme="minorEastAsia"/>
                <w:i w:val="0"/>
                <w:iCs w:val="0"/>
                <w:color w:val="auto"/>
                <w:kern w:val="0"/>
                <w:sz w:val="21"/>
                <w:szCs w:val="21"/>
                <w:highlight w:val="none"/>
                <w:lang w:val="en-US" w:eastAsia="zh-CN"/>
              </w:rPr>
              <w:t>2025</w:t>
            </w:r>
            <w:r>
              <w:rPr>
                <w:rFonts w:hint="eastAsia" w:asciiTheme="minorEastAsia" w:hAnsiTheme="minorEastAsia" w:eastAsiaTheme="minorEastAsia" w:cstheme="minorEastAsia"/>
                <w:i w:val="0"/>
                <w:iCs w:val="0"/>
                <w:color w:val="auto"/>
                <w:kern w:val="0"/>
                <w:sz w:val="21"/>
                <w:szCs w:val="21"/>
                <w:highlight w:val="none"/>
                <w:lang w:val="zh-CN"/>
              </w:rPr>
              <w:t>年</w:t>
            </w:r>
            <w:r>
              <w:rPr>
                <w:rFonts w:hint="eastAsia" w:asciiTheme="minorEastAsia" w:hAnsiTheme="minorEastAsia" w:eastAsiaTheme="minorEastAsia" w:cstheme="minorEastAsia"/>
                <w:i w:val="0"/>
                <w:iCs w:val="0"/>
                <w:color w:val="auto"/>
                <w:kern w:val="0"/>
                <w:sz w:val="21"/>
                <w:szCs w:val="21"/>
                <w:highlight w:val="none"/>
                <w:lang w:val="en-US" w:eastAsia="zh-CN"/>
              </w:rPr>
              <w:t>11</w:t>
            </w:r>
            <w:r>
              <w:rPr>
                <w:rFonts w:hint="eastAsia" w:asciiTheme="minorEastAsia" w:hAnsiTheme="minorEastAsia" w:eastAsiaTheme="minorEastAsia" w:cstheme="minorEastAsia"/>
                <w:i w:val="0"/>
                <w:iCs w:val="0"/>
                <w:color w:val="auto"/>
                <w:kern w:val="0"/>
                <w:sz w:val="21"/>
                <w:szCs w:val="21"/>
                <w:highlight w:val="none"/>
                <w:lang w:val="zh-CN"/>
              </w:rPr>
              <w:t>月</w:t>
            </w:r>
            <w:r>
              <w:rPr>
                <w:rFonts w:hint="eastAsia" w:asciiTheme="minorEastAsia" w:hAnsiTheme="minorEastAsia" w:eastAsiaTheme="minorEastAsia" w:cstheme="minorEastAsia"/>
                <w:i w:val="0"/>
                <w:iCs w:val="0"/>
                <w:color w:val="auto"/>
                <w:kern w:val="0"/>
                <w:sz w:val="21"/>
                <w:szCs w:val="21"/>
                <w:highlight w:val="none"/>
                <w:lang w:val="en-US" w:eastAsia="zh-CN"/>
              </w:rPr>
              <w:t>6</w:t>
            </w:r>
            <w:r>
              <w:rPr>
                <w:rFonts w:hint="eastAsia" w:asciiTheme="minorEastAsia" w:hAnsiTheme="minorEastAsia" w:eastAsiaTheme="minorEastAsia" w:cstheme="minorEastAsia"/>
                <w:i w:val="0"/>
                <w:iCs w:val="0"/>
                <w:color w:val="auto"/>
                <w:kern w:val="0"/>
                <w:sz w:val="21"/>
                <w:szCs w:val="21"/>
                <w:highlight w:val="none"/>
                <w:lang w:val="zh-CN"/>
              </w:rPr>
              <w:t>日 9时 00 分（北京时间）</w:t>
            </w:r>
          </w:p>
        </w:tc>
      </w:tr>
      <w:tr w14:paraId="71DC7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vMerge w:val="continue"/>
            <w:tcBorders>
              <w:tl2br w:val="nil"/>
              <w:tr2bl w:val="nil"/>
            </w:tcBorders>
            <w:vAlign w:val="center"/>
          </w:tcPr>
          <w:p w14:paraId="0A93F137">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2055" w:type="dxa"/>
            <w:vMerge w:val="continue"/>
            <w:tcBorders>
              <w:tl2br w:val="nil"/>
              <w:tr2bl w:val="nil"/>
            </w:tcBorders>
            <w:vAlign w:val="center"/>
          </w:tcPr>
          <w:p w14:paraId="446387D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6374" w:type="dxa"/>
            <w:tcBorders>
              <w:tl2br w:val="nil"/>
              <w:tr2bl w:val="nil"/>
            </w:tcBorders>
            <w:vAlign w:val="center"/>
          </w:tcPr>
          <w:p w14:paraId="6E6324C2">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递交方式和份数：</w:t>
            </w:r>
          </w:p>
          <w:p w14:paraId="6AA657C8">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1.加密的电子响应文件壹份</w:t>
            </w:r>
          </w:p>
          <w:p w14:paraId="12D2DC2F">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2.响应文件制作要求按交易系统要求编制。</w:t>
            </w:r>
          </w:p>
          <w:p w14:paraId="44859E5B">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3.采购文件格式所要求包含的全部资料应全部制作在响应文件内，严格按照本项目采购文件所有格式如实填写（不涉及的内容除外），不应存在漏项或缺项，否则将存在响应性文件被拒绝的风险。</w:t>
            </w:r>
          </w:p>
          <w:p w14:paraId="763FAEF5">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4.响应性文件以外的任何资料采购人和招标代理机构将拒收。</w:t>
            </w:r>
          </w:p>
          <w:p w14:paraId="0173FCF1">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5.成交供应商在领取成交通知书时，向代理机构提交叁份与上传交易系统内容一致的纸质版响应文件。</w:t>
            </w:r>
          </w:p>
        </w:tc>
      </w:tr>
      <w:tr w14:paraId="6E838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60E2FB5B">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w:t>
            </w:r>
          </w:p>
        </w:tc>
        <w:tc>
          <w:tcPr>
            <w:tcW w:w="2055" w:type="dxa"/>
            <w:tcBorders>
              <w:tl2br w:val="nil"/>
              <w:tr2bl w:val="nil"/>
            </w:tcBorders>
            <w:vAlign w:val="center"/>
          </w:tcPr>
          <w:p w14:paraId="433F93D0">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磋商会议时间、地点</w:t>
            </w:r>
          </w:p>
        </w:tc>
        <w:tc>
          <w:tcPr>
            <w:tcW w:w="6374" w:type="dxa"/>
            <w:tcBorders>
              <w:tl2br w:val="nil"/>
              <w:tr2bl w:val="nil"/>
            </w:tcBorders>
            <w:vAlign w:val="center"/>
          </w:tcPr>
          <w:p w14:paraId="664F22D5">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磋商会议开始时间：同响应文件提交截止时间；</w:t>
            </w:r>
          </w:p>
          <w:p w14:paraId="60195587">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地点： </w:t>
            </w:r>
            <w:r>
              <w:rPr>
                <w:rFonts w:hint="eastAsia" w:asciiTheme="minorEastAsia" w:hAnsiTheme="minorEastAsia" w:eastAsiaTheme="minorEastAsia" w:cstheme="minorEastAsia"/>
                <w:snapToGrid w:val="0"/>
                <w:color w:val="auto"/>
                <w:kern w:val="0"/>
                <w:sz w:val="21"/>
                <w:szCs w:val="21"/>
                <w:highlight w:val="none"/>
              </w:rPr>
              <w:t>河南省公共资源交易中心远程开标室</w:t>
            </w:r>
          </w:p>
          <w:p w14:paraId="64E8ECF7">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供应商是否现场参加磋商会议：</w:t>
            </w:r>
            <w:r>
              <w:rPr>
                <w:rFonts w:hint="eastAsia" w:asciiTheme="minorEastAsia" w:hAnsiTheme="minorEastAsia" w:eastAsiaTheme="minorEastAsia" w:cstheme="minorEastAsia"/>
                <w:color w:val="auto"/>
                <w:sz w:val="21"/>
                <w:szCs w:val="21"/>
                <w:highlight w:val="none"/>
                <w:u w:val="single"/>
              </w:rPr>
              <w:t xml:space="preserve"> 否，远程</w:t>
            </w:r>
          </w:p>
        </w:tc>
      </w:tr>
      <w:tr w14:paraId="3A308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44DB2149">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5.1.2</w:t>
            </w:r>
          </w:p>
        </w:tc>
        <w:tc>
          <w:tcPr>
            <w:tcW w:w="2055" w:type="dxa"/>
            <w:tcBorders>
              <w:tl2br w:val="nil"/>
              <w:tr2bl w:val="nil"/>
            </w:tcBorders>
            <w:vAlign w:val="center"/>
          </w:tcPr>
          <w:p w14:paraId="790AC914">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电子响应文件解密时间</w:t>
            </w:r>
          </w:p>
        </w:tc>
        <w:tc>
          <w:tcPr>
            <w:tcW w:w="6374" w:type="dxa"/>
            <w:tcBorders>
              <w:tl2br w:val="nil"/>
              <w:tr2bl w:val="nil"/>
            </w:tcBorders>
            <w:vAlign w:val="center"/>
          </w:tcPr>
          <w:p w14:paraId="3BCAAFEA">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响应文件的解密开启：按交易中心系统指示操作</w:t>
            </w:r>
          </w:p>
        </w:tc>
      </w:tr>
      <w:tr w14:paraId="7A237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4644482F">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5.2.2</w:t>
            </w:r>
          </w:p>
        </w:tc>
        <w:tc>
          <w:tcPr>
            <w:tcW w:w="2055" w:type="dxa"/>
            <w:tcBorders>
              <w:tl2br w:val="nil"/>
              <w:tr2bl w:val="nil"/>
            </w:tcBorders>
            <w:vAlign w:val="center"/>
          </w:tcPr>
          <w:p w14:paraId="79515BF6">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磋商小组组成</w:t>
            </w:r>
          </w:p>
        </w:tc>
        <w:tc>
          <w:tcPr>
            <w:tcW w:w="6374" w:type="dxa"/>
            <w:tcBorders>
              <w:tl2br w:val="nil"/>
              <w:tr2bl w:val="nil"/>
            </w:tcBorders>
            <w:vAlign w:val="center"/>
          </w:tcPr>
          <w:p w14:paraId="60048762">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磋商小组的组建：由经济、技术专家和采购人代表</w:t>
            </w:r>
            <w:r>
              <w:rPr>
                <w:rFonts w:hint="eastAsia" w:asciiTheme="minorEastAsia" w:hAnsiTheme="minorEastAsia" w:eastAsiaTheme="minorEastAsia" w:cstheme="minorEastAsia"/>
                <w:color w:val="auto"/>
                <w:sz w:val="21"/>
                <w:szCs w:val="21"/>
                <w:highlight w:val="none"/>
                <w:u w:val="single"/>
              </w:rPr>
              <w:t xml:space="preserve"> 3  </w:t>
            </w:r>
            <w:r>
              <w:rPr>
                <w:rFonts w:hint="eastAsia" w:asciiTheme="minorEastAsia" w:hAnsiTheme="minorEastAsia" w:eastAsiaTheme="minorEastAsia" w:cstheme="minorEastAsia"/>
                <w:color w:val="auto"/>
                <w:sz w:val="21"/>
                <w:szCs w:val="21"/>
                <w:highlight w:val="none"/>
              </w:rPr>
              <w:t>人组成。</w:t>
            </w:r>
          </w:p>
          <w:p w14:paraId="7DD83AF2">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除采购人代表以外的从财政部门的政府采购专家库中随机抽取不少于评委会成员所有成员的三分之二。</w:t>
            </w:r>
          </w:p>
        </w:tc>
      </w:tr>
      <w:tr w14:paraId="67F69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03686C18">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5.3.1</w:t>
            </w:r>
          </w:p>
        </w:tc>
        <w:tc>
          <w:tcPr>
            <w:tcW w:w="2055" w:type="dxa"/>
            <w:tcBorders>
              <w:tl2br w:val="nil"/>
              <w:tr2bl w:val="nil"/>
            </w:tcBorders>
            <w:vAlign w:val="center"/>
          </w:tcPr>
          <w:p w14:paraId="185A3007">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资格审查文件</w:t>
            </w:r>
          </w:p>
        </w:tc>
        <w:tc>
          <w:tcPr>
            <w:tcW w:w="6374" w:type="dxa"/>
            <w:tcBorders>
              <w:tl2br w:val="nil"/>
              <w:tr2bl w:val="nil"/>
            </w:tcBorders>
            <w:vAlign w:val="center"/>
          </w:tcPr>
          <w:p w14:paraId="134F8D09">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left="0" w:right="95" w:firstLine="0" w:firstLineChars="0"/>
              <w:jc w:val="left"/>
              <w:textAlignment w:val="auto"/>
              <w:rPr>
                <w:rFonts w:hint="eastAsia" w:asciiTheme="minorEastAsia" w:hAnsiTheme="minorEastAsia" w:eastAsiaTheme="minorEastAsia" w:cstheme="minorEastAsia"/>
                <w:bCs/>
                <w:snapToGrid w:val="0"/>
                <w:color w:val="auto"/>
                <w:kern w:val="0"/>
                <w:sz w:val="21"/>
                <w:szCs w:val="21"/>
                <w:highlight w:val="none"/>
              </w:rPr>
            </w:pPr>
            <w:r>
              <w:rPr>
                <w:rFonts w:hint="eastAsia" w:asciiTheme="minorEastAsia" w:hAnsiTheme="minorEastAsia" w:eastAsiaTheme="minorEastAsia" w:cstheme="minorEastAsia"/>
                <w:bCs/>
                <w:snapToGrid w:val="0"/>
                <w:color w:val="auto"/>
                <w:kern w:val="0"/>
                <w:sz w:val="21"/>
                <w:szCs w:val="21"/>
                <w:highlight w:val="none"/>
              </w:rPr>
              <w:t>以下资料响应文件内附扫描件：</w:t>
            </w:r>
          </w:p>
          <w:p w14:paraId="59181D5B">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left="0" w:right="95" w:firstLine="0" w:firstLineChars="0"/>
              <w:jc w:val="left"/>
              <w:textAlignment w:val="auto"/>
              <w:rPr>
                <w:rFonts w:hint="eastAsia" w:asciiTheme="minorEastAsia" w:hAnsiTheme="minorEastAsia" w:eastAsiaTheme="minorEastAsia" w:cstheme="minorEastAsia"/>
                <w:bCs/>
                <w:snapToGrid w:val="0"/>
                <w:color w:val="auto"/>
                <w:kern w:val="0"/>
                <w:sz w:val="21"/>
                <w:szCs w:val="21"/>
                <w:highlight w:val="none"/>
              </w:rPr>
            </w:pPr>
            <w:r>
              <w:rPr>
                <w:rFonts w:hint="eastAsia" w:asciiTheme="minorEastAsia" w:hAnsiTheme="minorEastAsia" w:eastAsiaTheme="minorEastAsia" w:cstheme="minorEastAsia"/>
                <w:bCs/>
                <w:snapToGrid w:val="0"/>
                <w:color w:val="auto"/>
                <w:kern w:val="0"/>
                <w:sz w:val="21"/>
                <w:szCs w:val="21"/>
                <w:highlight w:val="none"/>
              </w:rPr>
              <w:t>1.供应商具有有效的营业执照或相关的证明文件。</w:t>
            </w:r>
          </w:p>
          <w:p w14:paraId="5DDC4F67">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left="0" w:right="95" w:firstLine="0" w:firstLineChars="0"/>
              <w:jc w:val="left"/>
              <w:textAlignment w:val="auto"/>
              <w:rPr>
                <w:rFonts w:hint="eastAsia" w:asciiTheme="minorEastAsia" w:hAnsiTheme="minorEastAsia" w:eastAsiaTheme="minorEastAsia" w:cstheme="minorEastAsia"/>
                <w:bCs/>
                <w:snapToGrid w:val="0"/>
                <w:color w:val="auto"/>
                <w:kern w:val="0"/>
                <w:sz w:val="21"/>
                <w:szCs w:val="21"/>
                <w:highlight w:val="none"/>
                <w:lang w:val="en-US" w:eastAsia="zh-CN"/>
              </w:rPr>
            </w:pPr>
            <w:r>
              <w:rPr>
                <w:rFonts w:hint="eastAsia" w:asciiTheme="minorEastAsia" w:hAnsiTheme="minorEastAsia" w:eastAsiaTheme="minorEastAsia" w:cstheme="minorEastAsia"/>
                <w:bCs/>
                <w:snapToGrid w:val="0"/>
                <w:color w:val="auto"/>
                <w:kern w:val="0"/>
                <w:sz w:val="21"/>
                <w:szCs w:val="21"/>
                <w:highlight w:val="none"/>
                <w:lang w:val="en-US" w:eastAsia="zh-CN"/>
              </w:rPr>
              <w:t>2.响应产品须符合中华人民共和国国务院令第739号《医疗器械监督管理条例》相关规定，取得医疗器械注册证或医疗器械产品相关备案凭证；</w:t>
            </w:r>
          </w:p>
          <w:p w14:paraId="2F321D19">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left="0" w:right="95" w:firstLine="0" w:firstLineChars="0"/>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①供应商为生产企业的应提供食品药品监督管理部门颁发的《医疗器械生产许可证》或在有效期内的《医疗器械生产企业许可证》；②供应商为代理商或经销商的应提供在有效期内的《医疗器械经营许可证》或《医疗器械经营备案凭证》；</w:t>
            </w:r>
          </w:p>
          <w:p w14:paraId="7AA928E6">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left="0" w:right="95" w:firstLine="0" w:firstLineChars="0"/>
              <w:jc w:val="left"/>
              <w:textAlignment w:val="auto"/>
              <w:rPr>
                <w:rFonts w:hint="eastAsia" w:asciiTheme="minorEastAsia" w:hAnsiTheme="minorEastAsia" w:eastAsiaTheme="minorEastAsia" w:cstheme="minorEastAsia"/>
                <w:i/>
                <w:iCs/>
                <w:color w:val="auto"/>
                <w:kern w:val="0"/>
                <w:sz w:val="21"/>
                <w:szCs w:val="21"/>
                <w:highlight w:val="none"/>
                <w:lang w:val="zh-CN" w:eastAsia="zh-CN" w:bidi="ar-SA"/>
              </w:rPr>
            </w:pPr>
            <w:r>
              <w:rPr>
                <w:rFonts w:hint="eastAsia" w:asciiTheme="minorEastAsia" w:hAnsiTheme="minorEastAsia" w:eastAsiaTheme="minorEastAsia" w:cstheme="minorEastAsia"/>
                <w:i w:val="0"/>
                <w:iCs w:val="0"/>
                <w:color w:val="auto"/>
                <w:kern w:val="0"/>
                <w:sz w:val="21"/>
                <w:szCs w:val="21"/>
                <w:highlight w:val="none"/>
                <w:lang w:val="en-US" w:eastAsia="zh-CN" w:bidi="ar-SA"/>
              </w:rPr>
              <w:t>4</w:t>
            </w:r>
            <w:r>
              <w:rPr>
                <w:rFonts w:hint="eastAsia" w:asciiTheme="minorEastAsia" w:hAnsiTheme="minorEastAsia" w:eastAsiaTheme="minorEastAsia" w:cstheme="minorEastAsia"/>
                <w:i w:val="0"/>
                <w:iCs w:val="0"/>
                <w:color w:val="auto"/>
                <w:kern w:val="0"/>
                <w:sz w:val="21"/>
                <w:szCs w:val="21"/>
                <w:highlight w:val="none"/>
                <w:lang w:val="zh-CN" w:eastAsia="zh-CN" w:bidi="ar-SA"/>
              </w:rPr>
              <w:t>.提供2024年度经审计的财务审计报告，成立年限不足一年的提供基本开户银行出具的资信证明。</w:t>
            </w:r>
          </w:p>
          <w:p w14:paraId="1C3C391F">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left="0" w:right="95" w:firstLine="0" w:firstLineChars="0"/>
              <w:jc w:val="left"/>
              <w:textAlignment w:val="auto"/>
              <w:rPr>
                <w:rFonts w:hint="eastAsia" w:asciiTheme="minorEastAsia" w:hAnsiTheme="minorEastAsia" w:eastAsiaTheme="minorEastAsia" w:cstheme="minorEastAsia"/>
                <w:bCs/>
                <w:snapToGrid w:val="0"/>
                <w:color w:val="auto"/>
                <w:kern w:val="0"/>
                <w:sz w:val="21"/>
                <w:szCs w:val="21"/>
                <w:highlight w:val="none"/>
              </w:rPr>
            </w:pPr>
            <w:r>
              <w:rPr>
                <w:rFonts w:hint="eastAsia" w:asciiTheme="minorEastAsia" w:hAnsiTheme="minorEastAsia" w:eastAsiaTheme="minorEastAsia" w:cstheme="minorEastAsia"/>
                <w:bCs/>
                <w:snapToGrid w:val="0"/>
                <w:color w:val="auto"/>
                <w:kern w:val="0"/>
                <w:sz w:val="21"/>
                <w:szCs w:val="21"/>
                <w:highlight w:val="none"/>
                <w:lang w:val="en-US" w:eastAsia="zh-CN"/>
              </w:rPr>
              <w:t>5</w:t>
            </w:r>
            <w:r>
              <w:rPr>
                <w:rFonts w:hint="eastAsia" w:asciiTheme="minorEastAsia" w:hAnsiTheme="minorEastAsia" w:eastAsiaTheme="minorEastAsia" w:cstheme="minorEastAsia"/>
                <w:bCs/>
                <w:snapToGrid w:val="0"/>
                <w:color w:val="auto"/>
                <w:kern w:val="0"/>
                <w:sz w:val="21"/>
                <w:szCs w:val="21"/>
                <w:highlight w:val="none"/>
              </w:rPr>
              <w:t>.提供近</w:t>
            </w:r>
            <w:r>
              <w:rPr>
                <w:rFonts w:hint="eastAsia" w:asciiTheme="minorEastAsia" w:hAnsiTheme="minorEastAsia" w:eastAsiaTheme="minorEastAsia" w:cstheme="minorEastAsia"/>
                <w:bCs/>
                <w:snapToGrid w:val="0"/>
                <w:color w:val="auto"/>
                <w:kern w:val="0"/>
                <w:sz w:val="21"/>
                <w:szCs w:val="21"/>
                <w:highlight w:val="none"/>
                <w:lang w:val="en-US" w:eastAsia="zh-CN"/>
              </w:rPr>
              <w:t>2025年1月</w:t>
            </w:r>
            <w:r>
              <w:rPr>
                <w:rFonts w:hint="eastAsia" w:asciiTheme="minorEastAsia" w:hAnsiTheme="minorEastAsia" w:eastAsiaTheme="minorEastAsia" w:cstheme="minorEastAsia"/>
                <w:bCs/>
                <w:snapToGrid w:val="0"/>
                <w:color w:val="auto"/>
                <w:kern w:val="0"/>
                <w:sz w:val="21"/>
                <w:szCs w:val="21"/>
                <w:highlight w:val="none"/>
              </w:rPr>
              <w:t>以来任意一个月缴纳税收和社会保障资金的证明材料（依法免税或不需要缴纳社会保障资金的，供应商应提供有效证明文件）。</w:t>
            </w:r>
          </w:p>
          <w:p w14:paraId="04830A06">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left="0" w:right="95" w:firstLine="0" w:firstLineChars="0"/>
              <w:jc w:val="left"/>
              <w:textAlignment w:val="auto"/>
              <w:rPr>
                <w:rFonts w:hint="eastAsia" w:asciiTheme="minorEastAsia" w:hAnsiTheme="minorEastAsia" w:eastAsiaTheme="minorEastAsia" w:cstheme="minorEastAsia"/>
                <w:bCs/>
                <w:snapToGrid w:val="0"/>
                <w:color w:val="auto"/>
                <w:kern w:val="0"/>
                <w:sz w:val="21"/>
                <w:szCs w:val="21"/>
                <w:highlight w:val="none"/>
              </w:rPr>
            </w:pPr>
            <w:r>
              <w:rPr>
                <w:rFonts w:hint="eastAsia" w:asciiTheme="minorEastAsia" w:hAnsiTheme="minorEastAsia" w:eastAsiaTheme="minorEastAsia" w:cstheme="minorEastAsia"/>
                <w:bCs/>
                <w:snapToGrid w:val="0"/>
                <w:color w:val="auto"/>
                <w:kern w:val="0"/>
                <w:sz w:val="21"/>
                <w:szCs w:val="21"/>
                <w:highlight w:val="none"/>
                <w:lang w:val="en-US" w:eastAsia="zh-CN"/>
              </w:rPr>
              <w:t>6</w:t>
            </w:r>
            <w:r>
              <w:rPr>
                <w:rFonts w:hint="eastAsia" w:asciiTheme="minorEastAsia" w:hAnsiTheme="minorEastAsia" w:eastAsiaTheme="minorEastAsia" w:cstheme="minorEastAsia"/>
                <w:bCs/>
                <w:snapToGrid w:val="0"/>
                <w:color w:val="auto"/>
                <w:kern w:val="0"/>
                <w:sz w:val="21"/>
                <w:szCs w:val="21"/>
                <w:highlight w:val="none"/>
              </w:rPr>
              <w:t>.具有履行合同所必需的设备和专业技术能力（自行承诺或提供相关证明材料）。</w:t>
            </w:r>
          </w:p>
          <w:p w14:paraId="0ECE467E">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left="0" w:right="95" w:firstLine="0" w:firstLineChars="0"/>
              <w:jc w:val="left"/>
              <w:textAlignment w:val="auto"/>
              <w:rPr>
                <w:rFonts w:hint="eastAsia" w:asciiTheme="minorEastAsia" w:hAnsiTheme="minorEastAsia" w:eastAsiaTheme="minorEastAsia" w:cstheme="minorEastAsia"/>
                <w:bCs/>
                <w:snapToGrid w:val="0"/>
                <w:color w:val="auto"/>
                <w:kern w:val="0"/>
                <w:sz w:val="21"/>
                <w:szCs w:val="21"/>
                <w:highlight w:val="none"/>
              </w:rPr>
            </w:pPr>
            <w:r>
              <w:rPr>
                <w:rFonts w:hint="eastAsia" w:asciiTheme="minorEastAsia" w:hAnsiTheme="minorEastAsia" w:eastAsiaTheme="minorEastAsia" w:cstheme="minorEastAsia"/>
                <w:bCs/>
                <w:snapToGrid w:val="0"/>
                <w:color w:val="auto"/>
                <w:kern w:val="0"/>
                <w:sz w:val="21"/>
                <w:szCs w:val="21"/>
                <w:highlight w:val="none"/>
                <w:lang w:val="en-US" w:eastAsia="zh-CN"/>
              </w:rPr>
              <w:t>7</w:t>
            </w:r>
            <w:r>
              <w:rPr>
                <w:rFonts w:hint="eastAsia" w:asciiTheme="minorEastAsia" w:hAnsiTheme="minorEastAsia" w:eastAsiaTheme="minorEastAsia" w:cstheme="minorEastAsia"/>
                <w:bCs/>
                <w:snapToGrid w:val="0"/>
                <w:color w:val="auto"/>
                <w:kern w:val="0"/>
                <w:sz w:val="21"/>
                <w:szCs w:val="21"/>
                <w:highlight w:val="none"/>
              </w:rPr>
              <w:t>.参加政府采购活动前三年内，在经营活动中没有重大违法记录的书面声明。（自行承诺，格式自拟）</w:t>
            </w:r>
          </w:p>
          <w:p w14:paraId="1DE561A8">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right="95" w:firstLine="0" w:firstLineChars="0"/>
              <w:jc w:val="left"/>
              <w:textAlignment w:val="auto"/>
              <w:rPr>
                <w:rFonts w:hint="eastAsia" w:asciiTheme="minorEastAsia" w:hAnsiTheme="minorEastAsia" w:eastAsiaTheme="minorEastAsia" w:cstheme="minorEastAsia"/>
                <w:bCs/>
                <w:snapToGrid w:val="0"/>
                <w:color w:val="auto"/>
                <w:kern w:val="0"/>
                <w:sz w:val="21"/>
                <w:szCs w:val="21"/>
                <w:highlight w:val="none"/>
              </w:rPr>
            </w:pPr>
            <w:r>
              <w:rPr>
                <w:rFonts w:hint="eastAsia" w:asciiTheme="minorEastAsia" w:hAnsiTheme="minorEastAsia" w:eastAsiaTheme="minorEastAsia" w:cstheme="minorEastAsia"/>
                <w:bCs/>
                <w:snapToGrid w:val="0"/>
                <w:color w:val="auto"/>
                <w:kern w:val="0"/>
                <w:sz w:val="21"/>
                <w:szCs w:val="21"/>
                <w:highlight w:val="none"/>
                <w:lang w:val="en-US" w:eastAsia="zh-CN"/>
              </w:rPr>
              <w:t>8</w:t>
            </w:r>
            <w:r>
              <w:rPr>
                <w:rFonts w:hint="eastAsia" w:asciiTheme="minorEastAsia" w:hAnsiTheme="minorEastAsia" w:eastAsiaTheme="minorEastAsia" w:cstheme="minorEastAsia"/>
                <w:bCs/>
                <w:snapToGrid w:val="0"/>
                <w:color w:val="auto"/>
                <w:kern w:val="0"/>
                <w:sz w:val="21"/>
                <w:szCs w:val="21"/>
                <w:highlight w:val="none"/>
              </w:rPr>
              <w:t>.对列入“信用中国”网站(www.creditchina.gov.cn）的“失信被执行人”、“重大税收违法案件当事人名单（重大税收违法失信主体）”或“中国政府采购”网站(www.ccgp.gov.cn)的“政府采购严重违法失信行为记录名单”的供应商，将拒绝其参加政府采购活动</w:t>
            </w:r>
            <w:r>
              <w:rPr>
                <w:rFonts w:hint="eastAsia" w:asciiTheme="minorEastAsia" w:hAnsiTheme="minorEastAsia" w:eastAsiaTheme="minorEastAsia" w:cstheme="minorEastAsia"/>
                <w:bCs/>
                <w:snapToGrid w:val="0"/>
                <w:color w:val="auto"/>
                <w:kern w:val="0"/>
                <w:sz w:val="21"/>
                <w:szCs w:val="21"/>
                <w:highlight w:val="none"/>
                <w:lang w:eastAsia="zh-CN"/>
              </w:rPr>
              <w:t>。</w:t>
            </w:r>
          </w:p>
          <w:p w14:paraId="30F2FDB8">
            <w:pPr>
              <w:pStyle w:val="177"/>
              <w:keepNext w:val="0"/>
              <w:keepLines w:val="0"/>
              <w:pageBreakBefore w:val="0"/>
              <w:tabs>
                <w:tab w:val="left" w:pos="357"/>
              </w:tabs>
              <w:kinsoku/>
              <w:wordWrap/>
              <w:overflowPunct/>
              <w:topLinePunct w:val="0"/>
              <w:autoSpaceDE w:val="0"/>
              <w:autoSpaceDN w:val="0"/>
              <w:bidi w:val="0"/>
              <w:adjustRightInd/>
              <w:snapToGrid/>
              <w:spacing w:line="360" w:lineRule="auto"/>
              <w:ind w:left="0" w:right="95" w:firstLine="0" w:firstLineChars="0"/>
              <w:jc w:val="left"/>
              <w:textAlignment w:val="auto"/>
              <w:rPr>
                <w:rFonts w:hint="eastAsia" w:asciiTheme="minorEastAsia" w:hAnsiTheme="minorEastAsia" w:eastAsiaTheme="minorEastAsia" w:cstheme="minorEastAsia"/>
                <w:bCs/>
                <w:snapToGrid w:val="0"/>
                <w:color w:val="auto"/>
                <w:kern w:val="0"/>
                <w:sz w:val="21"/>
                <w:szCs w:val="21"/>
                <w:highlight w:val="none"/>
              </w:rPr>
            </w:pPr>
            <w:r>
              <w:rPr>
                <w:rFonts w:hint="eastAsia" w:asciiTheme="minorEastAsia" w:hAnsiTheme="minorEastAsia" w:eastAsiaTheme="minorEastAsia" w:cstheme="minorEastAsia"/>
                <w:bCs/>
                <w:snapToGrid w:val="0"/>
                <w:color w:val="auto"/>
                <w:kern w:val="0"/>
                <w:sz w:val="21"/>
                <w:szCs w:val="21"/>
                <w:highlight w:val="none"/>
                <w:lang w:val="en-US" w:eastAsia="zh-CN"/>
              </w:rPr>
              <w:t>9</w:t>
            </w:r>
            <w:r>
              <w:rPr>
                <w:rFonts w:hint="eastAsia" w:asciiTheme="minorEastAsia" w:hAnsiTheme="minorEastAsia" w:eastAsiaTheme="minorEastAsia" w:cstheme="minorEastAsia"/>
                <w:bCs/>
                <w:snapToGrid w:val="0"/>
                <w:color w:val="auto"/>
                <w:kern w:val="0"/>
                <w:sz w:val="21"/>
                <w:szCs w:val="21"/>
                <w:highlight w:val="none"/>
              </w:rPr>
              <w:t>.单位负责人为同一人或者存在直接控股、管理关系的不同供应商，全部或者部分股东为同一法人、其他组织或者自然人的不同供应商，同一自然人在两个以上供应商任职的不同供应商，不得参加同一合同项下的政府采购活动。（提供国家企业信用信息公示系统中的查询网页截图。（含公司基本信息、股东信息及股权变更信息</w:t>
            </w:r>
            <w:r>
              <w:rPr>
                <w:rFonts w:hint="eastAsia" w:asciiTheme="minorEastAsia" w:hAnsiTheme="minorEastAsia" w:eastAsiaTheme="minorEastAsia" w:cstheme="minorEastAsia"/>
                <w:bCs/>
                <w:snapToGrid w:val="0"/>
                <w:color w:val="auto"/>
                <w:kern w:val="0"/>
                <w:sz w:val="21"/>
                <w:szCs w:val="21"/>
                <w:highlight w:val="none"/>
                <w:lang w:eastAsia="zh-CN"/>
              </w:rPr>
              <w:t>）</w:t>
            </w:r>
            <w:r>
              <w:rPr>
                <w:rFonts w:hint="eastAsia" w:asciiTheme="minorEastAsia" w:hAnsiTheme="minorEastAsia" w:eastAsiaTheme="minorEastAsia" w:cstheme="minorEastAsia"/>
                <w:bCs/>
                <w:snapToGrid w:val="0"/>
                <w:color w:val="auto"/>
                <w:kern w:val="0"/>
                <w:sz w:val="21"/>
                <w:szCs w:val="21"/>
                <w:highlight w:val="none"/>
              </w:rPr>
              <w:t>）</w:t>
            </w:r>
          </w:p>
        </w:tc>
      </w:tr>
      <w:tr w14:paraId="22C5E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579F2EA7">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5.3.2</w:t>
            </w:r>
          </w:p>
        </w:tc>
        <w:tc>
          <w:tcPr>
            <w:tcW w:w="2055" w:type="dxa"/>
            <w:tcBorders>
              <w:tl2br w:val="nil"/>
              <w:tr2bl w:val="nil"/>
            </w:tcBorders>
            <w:vAlign w:val="center"/>
          </w:tcPr>
          <w:p w14:paraId="2E6C5AEE">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供应商信用记录查询</w:t>
            </w:r>
          </w:p>
        </w:tc>
        <w:tc>
          <w:tcPr>
            <w:tcW w:w="6374" w:type="dxa"/>
            <w:tcBorders>
              <w:tl2br w:val="nil"/>
              <w:tr2bl w:val="nil"/>
            </w:tcBorders>
            <w:vAlign w:val="center"/>
          </w:tcPr>
          <w:p w14:paraId="0E07B8A1">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信用记录截止时间点：同响应文件提交截止时间；</w:t>
            </w:r>
          </w:p>
          <w:p w14:paraId="0C8FEF15">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信用记录查询时间：响应文件提交截止时间之后。</w:t>
            </w:r>
          </w:p>
          <w:p w14:paraId="5E64FBAD">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查询渠道和截止时点：响应文件递交时间截止后，采购代理机构对供应商的信用记录在“信用中国”网站查询“失信被执行人”、“重大税收违法失信主体”及“中国政府采购”网站查询供应商“政府采购严重违法失信行为记录名单”进行查询。</w:t>
            </w:r>
          </w:p>
          <w:p w14:paraId="010394A9">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查询记录和证据留存的具体方式：供应商信用记录以采购代理机构查询结果为准，采购代理机构查询之后，网站信息发生的任何变更均不再作为评审依据，证据留存以采购代理机构查询时的查询网页截图为准并打印存档备查。</w:t>
            </w:r>
          </w:p>
          <w:p w14:paraId="6B1D6F79">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3、使用规则：供应商存在不良信用记录的，其响应文件将被作为无效响应处理。</w:t>
            </w:r>
          </w:p>
        </w:tc>
      </w:tr>
      <w:tr w14:paraId="624A3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1D61A030">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5.8</w:t>
            </w:r>
          </w:p>
        </w:tc>
        <w:tc>
          <w:tcPr>
            <w:tcW w:w="2055" w:type="dxa"/>
            <w:tcBorders>
              <w:tl2br w:val="nil"/>
              <w:tr2bl w:val="nil"/>
            </w:tcBorders>
            <w:vAlign w:val="center"/>
          </w:tcPr>
          <w:p w14:paraId="10FFDD16">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评审办法</w:t>
            </w:r>
          </w:p>
        </w:tc>
        <w:tc>
          <w:tcPr>
            <w:tcW w:w="6374" w:type="dxa"/>
            <w:tcBorders>
              <w:tl2br w:val="nil"/>
              <w:tr2bl w:val="nil"/>
            </w:tcBorders>
            <w:vAlign w:val="center"/>
          </w:tcPr>
          <w:p w14:paraId="18AE3DFE">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综合评分法</w:t>
            </w:r>
          </w:p>
        </w:tc>
      </w:tr>
      <w:tr w14:paraId="75A9F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7C4B5B6C">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6.1.2</w:t>
            </w:r>
          </w:p>
        </w:tc>
        <w:tc>
          <w:tcPr>
            <w:tcW w:w="2055" w:type="dxa"/>
            <w:tcBorders>
              <w:tl2br w:val="nil"/>
              <w:tr2bl w:val="nil"/>
            </w:tcBorders>
            <w:vAlign w:val="center"/>
          </w:tcPr>
          <w:p w14:paraId="6D9475AA">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推荐成交候选供应商的数量</w:t>
            </w:r>
          </w:p>
        </w:tc>
        <w:tc>
          <w:tcPr>
            <w:tcW w:w="6374" w:type="dxa"/>
            <w:tcBorders>
              <w:tl2br w:val="nil"/>
              <w:tr2bl w:val="nil"/>
            </w:tcBorders>
            <w:vAlign w:val="center"/>
          </w:tcPr>
          <w:p w14:paraId="71A4FDF6">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3名</w:t>
            </w:r>
          </w:p>
        </w:tc>
      </w:tr>
      <w:tr w14:paraId="489DB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56" w:type="dxa"/>
            <w:tcBorders>
              <w:tl2br w:val="nil"/>
              <w:tr2bl w:val="nil"/>
            </w:tcBorders>
            <w:vAlign w:val="center"/>
          </w:tcPr>
          <w:p w14:paraId="46598D65">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6.2.1</w:t>
            </w:r>
          </w:p>
        </w:tc>
        <w:tc>
          <w:tcPr>
            <w:tcW w:w="2055" w:type="dxa"/>
            <w:tcBorders>
              <w:tl2br w:val="nil"/>
              <w:tr2bl w:val="nil"/>
            </w:tcBorders>
            <w:vAlign w:val="center"/>
          </w:tcPr>
          <w:p w14:paraId="024CD3E2">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确定成交供应商的方式</w:t>
            </w:r>
          </w:p>
        </w:tc>
        <w:tc>
          <w:tcPr>
            <w:tcW w:w="6374" w:type="dxa"/>
            <w:tcBorders>
              <w:tl2br w:val="nil"/>
              <w:tr2bl w:val="nil"/>
            </w:tcBorders>
            <w:vAlign w:val="center"/>
          </w:tcPr>
          <w:p w14:paraId="18144A94">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成交供应商数量：1名</w:t>
            </w:r>
          </w:p>
          <w:p w14:paraId="0FB0A74E">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rPr>
              <w:t>采购人确定成交供应商</w:t>
            </w:r>
          </w:p>
          <w:p w14:paraId="66824FC5">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□采购人委托磋商小组直接确定成交供应商</w:t>
            </w:r>
          </w:p>
        </w:tc>
      </w:tr>
      <w:tr w14:paraId="3874B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233637CC">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7.1</w:t>
            </w:r>
          </w:p>
        </w:tc>
        <w:tc>
          <w:tcPr>
            <w:tcW w:w="2055" w:type="dxa"/>
            <w:tcBorders>
              <w:tl2br w:val="nil"/>
              <w:tr2bl w:val="nil"/>
            </w:tcBorders>
            <w:vAlign w:val="center"/>
          </w:tcPr>
          <w:p w14:paraId="25613FF0">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合同签订时间</w:t>
            </w:r>
          </w:p>
        </w:tc>
        <w:tc>
          <w:tcPr>
            <w:tcW w:w="6374" w:type="dxa"/>
            <w:tcBorders>
              <w:tl2br w:val="nil"/>
              <w:tr2bl w:val="nil"/>
            </w:tcBorders>
            <w:vAlign w:val="center"/>
          </w:tcPr>
          <w:p w14:paraId="57DF1D02">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成交供应商应当自发出成交通知书之日起15日历天内</w:t>
            </w:r>
          </w:p>
        </w:tc>
      </w:tr>
      <w:tr w14:paraId="3875F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56" w:type="dxa"/>
            <w:tcBorders>
              <w:tl2br w:val="nil"/>
              <w:tr2bl w:val="nil"/>
            </w:tcBorders>
            <w:vAlign w:val="center"/>
          </w:tcPr>
          <w:p w14:paraId="44F0112D">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w:t>
            </w:r>
          </w:p>
        </w:tc>
        <w:tc>
          <w:tcPr>
            <w:tcW w:w="2055" w:type="dxa"/>
            <w:tcBorders>
              <w:tl2br w:val="nil"/>
              <w:tr2bl w:val="nil"/>
            </w:tcBorders>
            <w:vAlign w:val="center"/>
          </w:tcPr>
          <w:p w14:paraId="7BC65A06">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履约保证金</w:t>
            </w:r>
          </w:p>
        </w:tc>
        <w:tc>
          <w:tcPr>
            <w:tcW w:w="6374" w:type="dxa"/>
            <w:tcBorders>
              <w:tl2br w:val="nil"/>
              <w:tr2bl w:val="nil"/>
            </w:tcBorders>
            <w:vAlign w:val="center"/>
          </w:tcPr>
          <w:p w14:paraId="2F3EB65E">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□本项目不收取履约保证金</w:t>
            </w:r>
          </w:p>
          <w:p w14:paraId="7814C343">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☑本项目收取履约保证金</w:t>
            </w:r>
          </w:p>
          <w:p w14:paraId="2195CBAB">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缴纳方式：采用转账或银行保函</w:t>
            </w:r>
            <w:r>
              <w:rPr>
                <w:rFonts w:hint="eastAsia" w:asciiTheme="minorEastAsia" w:hAnsiTheme="minorEastAsia" w:eastAsiaTheme="minorEastAsia" w:cstheme="minorEastAsia"/>
                <w:color w:val="auto"/>
                <w:sz w:val="21"/>
                <w:szCs w:val="21"/>
                <w:highlight w:val="none"/>
                <w:lang w:eastAsia="zh-CN"/>
              </w:rPr>
              <w:t>；</w:t>
            </w:r>
          </w:p>
          <w:p w14:paraId="10D2AD55">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履约保证金金额：</w:t>
            </w:r>
            <w:r>
              <w:rPr>
                <w:rFonts w:hint="eastAsia" w:asciiTheme="minorEastAsia" w:hAnsiTheme="minorEastAsia" w:eastAsiaTheme="minorEastAsia" w:cstheme="minorEastAsia"/>
                <w:color w:val="auto"/>
                <w:sz w:val="21"/>
                <w:szCs w:val="21"/>
                <w:highlight w:val="none"/>
                <w:lang w:val="en-US" w:eastAsia="zh-CN"/>
              </w:rPr>
              <w:t>合同总额</w:t>
            </w:r>
            <w:r>
              <w:rPr>
                <w:rFonts w:hint="eastAsia" w:asciiTheme="minorEastAsia" w:hAnsiTheme="minorEastAsia" w:eastAsiaTheme="minorEastAsia" w:cstheme="minorEastAsia"/>
                <w:color w:val="auto"/>
                <w:sz w:val="21"/>
                <w:szCs w:val="21"/>
                <w:highlight w:val="none"/>
              </w:rPr>
              <w:t xml:space="preserve">的 </w:t>
            </w: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w:t>
            </w:r>
          </w:p>
          <w:p w14:paraId="1C195040">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缴纳时间：合同签订前</w:t>
            </w:r>
            <w:r>
              <w:rPr>
                <w:rFonts w:hint="eastAsia" w:asciiTheme="minorEastAsia" w:hAnsiTheme="minorEastAsia" w:eastAsiaTheme="minorEastAsia" w:cstheme="minorEastAsia"/>
                <w:color w:val="auto"/>
                <w:sz w:val="21"/>
                <w:szCs w:val="21"/>
                <w:highlight w:val="none"/>
                <w:lang w:eastAsia="zh-CN"/>
              </w:rPr>
              <w:t>；</w:t>
            </w:r>
          </w:p>
          <w:p w14:paraId="7001D0F9">
            <w:pPr>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退还方式：乙方完成本合同义务包括任何保证义务至质保期结束无质量问题之日起7个工作日内，</w:t>
            </w:r>
            <w:r>
              <w:rPr>
                <w:rFonts w:hint="eastAsia" w:asciiTheme="minorEastAsia" w:hAnsiTheme="minorEastAsia" w:eastAsiaTheme="minorEastAsia" w:cstheme="minorEastAsia"/>
                <w:color w:val="auto"/>
                <w:sz w:val="21"/>
                <w:szCs w:val="21"/>
                <w:highlight w:val="none"/>
                <w:lang w:val="en-US" w:eastAsia="zh-CN"/>
              </w:rPr>
              <w:t>无息</w:t>
            </w:r>
            <w:r>
              <w:rPr>
                <w:rFonts w:hint="eastAsia" w:asciiTheme="minorEastAsia" w:hAnsiTheme="minorEastAsia" w:eastAsiaTheme="minorEastAsia" w:cstheme="minorEastAsia"/>
                <w:color w:val="auto"/>
                <w:sz w:val="21"/>
                <w:szCs w:val="21"/>
                <w:highlight w:val="none"/>
              </w:rPr>
              <w:t>退还乙方履约保证金。</w:t>
            </w:r>
          </w:p>
        </w:tc>
      </w:tr>
      <w:tr w14:paraId="105FB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56" w:type="dxa"/>
            <w:tcBorders>
              <w:tl2br w:val="nil"/>
              <w:tr2bl w:val="nil"/>
            </w:tcBorders>
            <w:vAlign w:val="center"/>
          </w:tcPr>
          <w:p w14:paraId="3C31FE6F">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w:t>
            </w:r>
          </w:p>
        </w:tc>
        <w:tc>
          <w:tcPr>
            <w:tcW w:w="2055" w:type="dxa"/>
            <w:tcBorders>
              <w:tl2br w:val="nil"/>
              <w:tr2bl w:val="nil"/>
            </w:tcBorders>
            <w:vAlign w:val="center"/>
          </w:tcPr>
          <w:p w14:paraId="7E23ED58">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w:t>
            </w:r>
          </w:p>
        </w:tc>
        <w:tc>
          <w:tcPr>
            <w:tcW w:w="6374" w:type="dxa"/>
            <w:tcBorders>
              <w:tl2br w:val="nil"/>
              <w:tr2bl w:val="nil"/>
            </w:tcBorders>
            <w:vAlign w:val="center"/>
          </w:tcPr>
          <w:p w14:paraId="65B7E21B">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1.预付款比例为：</w:t>
            </w:r>
            <w:r>
              <w:rPr>
                <w:rFonts w:hint="eastAsia" w:asciiTheme="minorEastAsia" w:hAnsiTheme="minorEastAsia" w:eastAsiaTheme="minorEastAsia" w:cstheme="minorEastAsia"/>
                <w:color w:val="auto"/>
                <w:sz w:val="21"/>
                <w:szCs w:val="21"/>
                <w:highlight w:val="none"/>
                <w:u w:val="single"/>
                <w:lang w:val="en-US" w:eastAsia="zh-CN"/>
              </w:rPr>
              <w:t>50%</w:t>
            </w:r>
          </w:p>
          <w:p w14:paraId="164133DD">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2.对中小企业在资金支付期限、预付款比例等方面的优惠措施；</w:t>
            </w:r>
            <w:r>
              <w:rPr>
                <w:rFonts w:hint="eastAsia" w:asciiTheme="minorEastAsia" w:hAnsiTheme="minorEastAsia" w:eastAsiaTheme="minorEastAsia" w:cstheme="minorEastAsia"/>
                <w:color w:val="auto"/>
                <w:sz w:val="21"/>
                <w:szCs w:val="21"/>
                <w:highlight w:val="none"/>
                <w:u w:val="single"/>
              </w:rPr>
              <w:t xml:space="preserve"> 无  </w:t>
            </w:r>
          </w:p>
        </w:tc>
      </w:tr>
      <w:tr w14:paraId="6745C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5B1E0C18">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2055" w:type="dxa"/>
            <w:tcBorders>
              <w:tl2br w:val="nil"/>
              <w:tr2bl w:val="nil"/>
            </w:tcBorders>
            <w:vAlign w:val="center"/>
          </w:tcPr>
          <w:p w14:paraId="188CC9C7">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采购代理服务费</w:t>
            </w:r>
          </w:p>
        </w:tc>
        <w:tc>
          <w:tcPr>
            <w:tcW w:w="6374" w:type="dxa"/>
            <w:tcBorders>
              <w:tl2br w:val="nil"/>
              <w:tr2bl w:val="nil"/>
            </w:tcBorders>
            <w:vAlign w:val="center"/>
          </w:tcPr>
          <w:p w14:paraId="1BC2F71A">
            <w:pPr>
              <w:pStyle w:val="177"/>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收取方式：由</w:t>
            </w:r>
            <w:r>
              <w:rPr>
                <w:rFonts w:hint="eastAsia" w:asciiTheme="minorEastAsia" w:hAnsiTheme="minorEastAsia" w:eastAsiaTheme="minorEastAsia" w:cstheme="minorEastAsia"/>
                <w:color w:val="auto"/>
                <w:sz w:val="21"/>
                <w:szCs w:val="21"/>
                <w:highlight w:val="none"/>
                <w:lang w:eastAsia="zh-CN"/>
              </w:rPr>
              <w:t>成交人</w:t>
            </w:r>
            <w:r>
              <w:rPr>
                <w:rFonts w:hint="eastAsia" w:asciiTheme="minorEastAsia" w:hAnsiTheme="minorEastAsia" w:eastAsiaTheme="minorEastAsia" w:cstheme="minorEastAsia"/>
                <w:color w:val="auto"/>
                <w:sz w:val="21"/>
                <w:szCs w:val="21"/>
                <w:highlight w:val="none"/>
              </w:rPr>
              <w:t>支付，在领取</w:t>
            </w:r>
            <w:r>
              <w:rPr>
                <w:rFonts w:hint="eastAsia" w:asciiTheme="minorEastAsia" w:hAnsiTheme="minorEastAsia" w:eastAsiaTheme="minorEastAsia" w:cstheme="minorEastAsia"/>
                <w:color w:val="auto"/>
                <w:sz w:val="21"/>
                <w:szCs w:val="21"/>
                <w:highlight w:val="none"/>
                <w:lang w:eastAsia="zh-CN"/>
              </w:rPr>
              <w:t>成交通知书</w:t>
            </w:r>
            <w:r>
              <w:rPr>
                <w:rFonts w:hint="eastAsia" w:asciiTheme="minorEastAsia" w:hAnsiTheme="minorEastAsia" w:eastAsiaTheme="minorEastAsia" w:cstheme="minorEastAsia"/>
                <w:color w:val="auto"/>
                <w:sz w:val="21"/>
                <w:szCs w:val="21"/>
                <w:highlight w:val="none"/>
              </w:rPr>
              <w:t>时向招标代理</w:t>
            </w:r>
            <w:r>
              <w:rPr>
                <w:rFonts w:hint="eastAsia" w:asciiTheme="minorEastAsia" w:hAnsiTheme="minorEastAsia" w:eastAsiaTheme="minorEastAsia" w:cstheme="minorEastAsia"/>
                <w:color w:val="auto"/>
                <w:sz w:val="21"/>
                <w:szCs w:val="21"/>
                <w:highlight w:val="none"/>
                <w:lang w:val="en-US" w:eastAsia="zh-CN"/>
              </w:rPr>
              <w:t>机构</w:t>
            </w:r>
            <w:r>
              <w:rPr>
                <w:rFonts w:hint="eastAsia" w:asciiTheme="minorEastAsia" w:hAnsiTheme="minorEastAsia" w:eastAsiaTheme="minorEastAsia" w:cstheme="minorEastAsia"/>
                <w:color w:val="auto"/>
                <w:sz w:val="21"/>
                <w:szCs w:val="21"/>
                <w:highlight w:val="none"/>
              </w:rPr>
              <w:t>支付</w:t>
            </w:r>
            <w:r>
              <w:rPr>
                <w:rFonts w:hint="eastAsia" w:asciiTheme="minorEastAsia" w:hAnsiTheme="minorEastAsia" w:eastAsiaTheme="minorEastAsia" w:cstheme="minorEastAsia"/>
                <w:color w:val="auto"/>
                <w:sz w:val="21"/>
                <w:szCs w:val="21"/>
                <w:highlight w:val="none"/>
                <w:lang w:val="en-US" w:eastAsia="zh-CN"/>
              </w:rPr>
              <w:t>成交</w:t>
            </w:r>
            <w:r>
              <w:rPr>
                <w:rFonts w:hint="eastAsia" w:asciiTheme="minorEastAsia" w:hAnsiTheme="minorEastAsia" w:eastAsiaTheme="minorEastAsia" w:cstheme="minorEastAsia"/>
                <w:color w:val="auto"/>
                <w:sz w:val="21"/>
                <w:szCs w:val="21"/>
                <w:highlight w:val="none"/>
              </w:rPr>
              <w:t>服务费。</w:t>
            </w:r>
          </w:p>
          <w:p w14:paraId="11D049FC">
            <w:pPr>
              <w:pStyle w:val="177"/>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收取标准：</w:t>
            </w:r>
            <w:r>
              <w:rPr>
                <w:rFonts w:hint="eastAsia" w:asciiTheme="minorEastAsia" w:hAnsiTheme="minorEastAsia" w:eastAsiaTheme="minorEastAsia" w:cstheme="minorEastAsia"/>
                <w:color w:val="auto"/>
                <w:sz w:val="21"/>
                <w:szCs w:val="21"/>
                <w:highlight w:val="none"/>
                <w:lang w:eastAsia="zh-CN"/>
              </w:rPr>
              <w:t>按照《河南省招标代理服务收费指导意见》（豫招协【2023】002号）的文件规定收费标准收取，以成交金额为基数计取，由</w:t>
            </w:r>
            <w:r>
              <w:rPr>
                <w:rFonts w:hint="eastAsia" w:asciiTheme="minorEastAsia" w:hAnsiTheme="minorEastAsia" w:eastAsiaTheme="minorEastAsia" w:cstheme="minorEastAsia"/>
                <w:color w:val="auto"/>
                <w:sz w:val="21"/>
                <w:szCs w:val="21"/>
                <w:highlight w:val="none"/>
                <w:lang w:val="en-US" w:eastAsia="zh-CN"/>
              </w:rPr>
              <w:t>成交人</w:t>
            </w:r>
            <w:r>
              <w:rPr>
                <w:rFonts w:hint="eastAsia" w:asciiTheme="minorEastAsia" w:hAnsiTheme="minorEastAsia" w:eastAsiaTheme="minorEastAsia" w:cstheme="minorEastAsia"/>
                <w:color w:val="auto"/>
                <w:sz w:val="21"/>
                <w:szCs w:val="21"/>
                <w:highlight w:val="none"/>
                <w:lang w:eastAsia="zh-CN"/>
              </w:rPr>
              <w:t>在领取</w:t>
            </w:r>
            <w:r>
              <w:rPr>
                <w:rFonts w:hint="eastAsia" w:asciiTheme="minorEastAsia" w:hAnsiTheme="minorEastAsia" w:eastAsiaTheme="minorEastAsia" w:cstheme="minorEastAsia"/>
                <w:color w:val="auto"/>
                <w:sz w:val="21"/>
                <w:szCs w:val="21"/>
                <w:highlight w:val="none"/>
                <w:lang w:val="en-US" w:eastAsia="zh-CN"/>
              </w:rPr>
              <w:t>成交通知书</w:t>
            </w:r>
            <w:r>
              <w:rPr>
                <w:rFonts w:hint="eastAsia" w:asciiTheme="minorEastAsia" w:hAnsiTheme="minorEastAsia" w:eastAsiaTheme="minorEastAsia" w:cstheme="minorEastAsia"/>
                <w:color w:val="auto"/>
                <w:sz w:val="21"/>
                <w:szCs w:val="21"/>
                <w:highlight w:val="none"/>
                <w:lang w:eastAsia="zh-CN"/>
              </w:rPr>
              <w:t>前支付。</w:t>
            </w:r>
          </w:p>
          <w:p w14:paraId="44AA3E6A">
            <w:pPr>
              <w:pStyle w:val="177"/>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采购代理服务费收取信息：</w:t>
            </w:r>
          </w:p>
          <w:p w14:paraId="5C2B7278">
            <w:pPr>
              <w:pStyle w:val="177"/>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单位名称：河南诚信工程管理有限公司</w:t>
            </w:r>
          </w:p>
          <w:p w14:paraId="0E0CE07E">
            <w:pPr>
              <w:pStyle w:val="177"/>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开户银行：浦发银行郑州经三路支行</w:t>
            </w:r>
          </w:p>
          <w:p w14:paraId="7BF041E8">
            <w:pPr>
              <w:pStyle w:val="177"/>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Cs w:val="21"/>
                <w:highlight w:val="none"/>
              </w:rPr>
              <w:t>银行账号：6564292016384</w:t>
            </w:r>
          </w:p>
        </w:tc>
      </w:tr>
      <w:tr w14:paraId="08E62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56" w:type="dxa"/>
            <w:tcBorders>
              <w:tl2br w:val="nil"/>
              <w:tr2bl w:val="nil"/>
            </w:tcBorders>
            <w:vAlign w:val="center"/>
          </w:tcPr>
          <w:p w14:paraId="183761F3">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w:t>
            </w:r>
          </w:p>
        </w:tc>
        <w:tc>
          <w:tcPr>
            <w:tcW w:w="2055" w:type="dxa"/>
            <w:tcBorders>
              <w:tl2br w:val="nil"/>
              <w:tr2bl w:val="nil"/>
            </w:tcBorders>
            <w:vAlign w:val="center"/>
          </w:tcPr>
          <w:p w14:paraId="36339041">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质疑的提出与接收</w:t>
            </w:r>
          </w:p>
        </w:tc>
        <w:tc>
          <w:tcPr>
            <w:tcW w:w="6374" w:type="dxa"/>
            <w:tcBorders>
              <w:tl2br w:val="nil"/>
              <w:tr2bl w:val="nil"/>
            </w:tcBorders>
            <w:vAlign w:val="center"/>
          </w:tcPr>
          <w:p w14:paraId="10FBBD76">
            <w:pPr>
              <w:pStyle w:val="177"/>
              <w:keepNext w:val="0"/>
              <w:keepLines w:val="0"/>
              <w:pageBreakBefore w:val="0"/>
              <w:kinsoku/>
              <w:wordWrap/>
              <w:overflowPunct/>
              <w:topLinePunct w:val="0"/>
              <w:bidi w:val="0"/>
              <w:adjustRightInd/>
              <w:snapToGrid/>
              <w:spacing w:line="360" w:lineRule="auto"/>
              <w:ind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①供应商认为自己的权益受到损害的，可以在知道或者应该知道其权益受到损害之日起七个工作日内，向采购代理机构提出质疑。</w:t>
            </w:r>
          </w:p>
          <w:p w14:paraId="71FEEF2A">
            <w:pPr>
              <w:pStyle w:val="177"/>
              <w:keepNext w:val="0"/>
              <w:keepLines w:val="0"/>
              <w:pageBreakBefore w:val="0"/>
              <w:kinsoku/>
              <w:wordWrap/>
              <w:overflowPunct/>
              <w:topLinePunct w:val="0"/>
              <w:bidi w:val="0"/>
              <w:adjustRightInd/>
              <w:snapToGrid/>
              <w:spacing w:line="360" w:lineRule="auto"/>
              <w:ind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②质疑函的内容、格式：应符合《政府采购质疑和投诉办法》相关规定和财政部门制定的《政府采购质疑函范本》格式。</w:t>
            </w:r>
          </w:p>
          <w:p w14:paraId="29A69A40">
            <w:pPr>
              <w:pStyle w:val="177"/>
              <w:keepNext w:val="0"/>
              <w:keepLines w:val="0"/>
              <w:pageBreakBefore w:val="0"/>
              <w:kinsoku/>
              <w:wordWrap/>
              <w:overflowPunct/>
              <w:topLinePunct w:val="0"/>
              <w:bidi w:val="0"/>
              <w:adjustRightInd/>
              <w:snapToGrid/>
              <w:spacing w:line="360" w:lineRule="auto"/>
              <w:ind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③供应商应在法定质疑期内一次性针对同一采购程序环节提出质疑，否则针对再次提出质疑将不予接收（采购程序环节分为：采购公告、采购文件、采购过程、成交结果）。</w:t>
            </w:r>
          </w:p>
          <w:p w14:paraId="42F02A99">
            <w:pPr>
              <w:pStyle w:val="177"/>
              <w:keepNext w:val="0"/>
              <w:keepLines w:val="0"/>
              <w:pageBreakBefore w:val="0"/>
              <w:kinsoku/>
              <w:wordWrap/>
              <w:overflowPunct/>
              <w:topLinePunct w:val="0"/>
              <w:bidi w:val="0"/>
              <w:adjustRightInd/>
              <w:snapToGrid/>
              <w:spacing w:line="360" w:lineRule="auto"/>
              <w:ind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④接收质疑函的方式：接收加盖单位公章、法定的代表人签字（或加盖个人印章）的书面质疑函。</w:t>
            </w:r>
          </w:p>
          <w:p w14:paraId="1FF0D98F">
            <w:pPr>
              <w:pStyle w:val="177"/>
              <w:keepNext w:val="0"/>
              <w:keepLines w:val="0"/>
              <w:pageBreakBefore w:val="0"/>
              <w:kinsoku/>
              <w:wordWrap/>
              <w:overflowPunct/>
              <w:topLinePunct w:val="0"/>
              <w:bidi w:val="0"/>
              <w:adjustRightInd/>
              <w:snapToGrid/>
              <w:spacing w:line="360" w:lineRule="auto"/>
              <w:ind w:firstLine="0" w:firstLineChars="0"/>
              <w:jc w:val="left"/>
              <w:textAlignment w:val="auto"/>
              <w:rPr>
                <w:rFonts w:hint="eastAsia" w:asciiTheme="minorEastAsia" w:hAnsiTheme="minorEastAsia" w:eastAsiaTheme="minorEastAsia" w:cstheme="minorEastAsia"/>
                <w:i w:val="0"/>
                <w:iCs w:val="0"/>
                <w:color w:val="auto"/>
                <w:sz w:val="21"/>
                <w:szCs w:val="21"/>
                <w:highlight w:val="none"/>
              </w:rPr>
            </w:pPr>
            <w:r>
              <w:rPr>
                <w:rFonts w:hint="eastAsia" w:asciiTheme="minorEastAsia" w:hAnsiTheme="minorEastAsia" w:eastAsiaTheme="minorEastAsia" w:cstheme="minorEastAsia"/>
                <w:i w:val="0"/>
                <w:iCs w:val="0"/>
                <w:color w:val="auto"/>
                <w:sz w:val="21"/>
                <w:szCs w:val="21"/>
                <w:highlight w:val="none"/>
              </w:rPr>
              <w:t>⑤质疑函接收信息</w:t>
            </w:r>
          </w:p>
          <w:p w14:paraId="7DB62012">
            <w:pPr>
              <w:pStyle w:val="177"/>
              <w:spacing w:line="360" w:lineRule="auto"/>
              <w:ind w:firstLine="0" w:firstLineChars="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联系单位：河南诚信工程管理有限公司</w:t>
            </w:r>
          </w:p>
          <w:p w14:paraId="7CB02A64">
            <w:pPr>
              <w:pStyle w:val="177"/>
              <w:spacing w:line="360" w:lineRule="auto"/>
              <w:ind w:firstLine="0" w:firstLineChars="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 系 人：花鹏</w:t>
            </w:r>
          </w:p>
          <w:p w14:paraId="22823C37">
            <w:pPr>
              <w:pStyle w:val="177"/>
              <w:spacing w:line="360" w:lineRule="auto"/>
              <w:ind w:firstLine="0" w:firstLineChars="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联系电话：0371--53307955</w:t>
            </w:r>
          </w:p>
          <w:p w14:paraId="2974EA6D">
            <w:pPr>
              <w:pStyle w:val="177"/>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Cs w:val="21"/>
                <w:highlight w:val="none"/>
              </w:rPr>
              <w:t>地址：郑州市郑东新区商鼎路56号东方陆港C栋14层</w:t>
            </w:r>
          </w:p>
        </w:tc>
      </w:tr>
      <w:tr w14:paraId="7224E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2AF9BDBC">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w:t>
            </w:r>
          </w:p>
        </w:tc>
        <w:tc>
          <w:tcPr>
            <w:tcW w:w="2055" w:type="dxa"/>
            <w:tcBorders>
              <w:tl2br w:val="nil"/>
              <w:tr2bl w:val="nil"/>
            </w:tcBorders>
            <w:vAlign w:val="center"/>
          </w:tcPr>
          <w:p w14:paraId="0AB7AB23">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是否允许合同分包</w:t>
            </w:r>
          </w:p>
        </w:tc>
        <w:tc>
          <w:tcPr>
            <w:tcW w:w="6374" w:type="dxa"/>
            <w:tcBorders>
              <w:tl2br w:val="nil"/>
              <w:tr2bl w:val="nil"/>
            </w:tcBorders>
            <w:vAlign w:val="center"/>
          </w:tcPr>
          <w:p w14:paraId="1B826777">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□是。合同分包时，分包意向协议中，中小企业合同金额应当达到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4F126B41">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rPr>
              <w:t>否</w:t>
            </w:r>
          </w:p>
        </w:tc>
      </w:tr>
      <w:tr w14:paraId="37DE4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40022ACE">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w:t>
            </w:r>
          </w:p>
        </w:tc>
        <w:tc>
          <w:tcPr>
            <w:tcW w:w="8429" w:type="dxa"/>
            <w:gridSpan w:val="2"/>
            <w:tcBorders>
              <w:tl2br w:val="nil"/>
              <w:tr2bl w:val="nil"/>
            </w:tcBorders>
            <w:vAlign w:val="center"/>
          </w:tcPr>
          <w:p w14:paraId="665EF404">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需要补充的其他内容</w:t>
            </w:r>
          </w:p>
        </w:tc>
      </w:tr>
      <w:tr w14:paraId="79B64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56" w:type="dxa"/>
            <w:tcBorders>
              <w:tl2br w:val="nil"/>
              <w:tr2bl w:val="nil"/>
            </w:tcBorders>
            <w:vAlign w:val="center"/>
          </w:tcPr>
          <w:p w14:paraId="01AF1DD4">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w:t>
            </w:r>
          </w:p>
        </w:tc>
        <w:tc>
          <w:tcPr>
            <w:tcW w:w="2055" w:type="dxa"/>
            <w:tcBorders>
              <w:tl2br w:val="nil"/>
              <w:tr2bl w:val="nil"/>
            </w:tcBorders>
            <w:vAlign w:val="center"/>
          </w:tcPr>
          <w:p w14:paraId="3F17B53B">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磋商办法</w:t>
            </w:r>
          </w:p>
        </w:tc>
        <w:tc>
          <w:tcPr>
            <w:tcW w:w="6374" w:type="dxa"/>
            <w:tcBorders>
              <w:tl2br w:val="nil"/>
              <w:tr2bl w:val="nil"/>
            </w:tcBorders>
            <w:vAlign w:val="center"/>
          </w:tcPr>
          <w:p w14:paraId="54D5EEDF">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1、磋商小组要求所有实质性响应的供应商</w:t>
            </w:r>
            <w:r>
              <w:rPr>
                <w:rFonts w:hint="eastAsia" w:asciiTheme="minorEastAsia" w:hAnsiTheme="minorEastAsia" w:eastAsiaTheme="minorEastAsia" w:cstheme="minorEastAsia"/>
                <w:b/>
                <w:color w:val="auto"/>
                <w:sz w:val="21"/>
                <w:szCs w:val="21"/>
                <w:highlight w:val="none"/>
              </w:rPr>
              <w:t>在规定时间内提交最后报价，</w:t>
            </w:r>
            <w:r>
              <w:rPr>
                <w:rFonts w:hint="eastAsia" w:asciiTheme="minorEastAsia" w:hAnsiTheme="minorEastAsia" w:eastAsiaTheme="minorEastAsia" w:cstheme="minorEastAsia"/>
                <w:color w:val="auto"/>
                <w:sz w:val="21"/>
                <w:szCs w:val="21"/>
                <w:highlight w:val="none"/>
              </w:rPr>
              <w:t>最后报价必须在磋商小组要求的时间内通过河南省公共资源交易中心登录远程开标大厅进行，不得以口头形式报价。</w:t>
            </w:r>
            <w:r>
              <w:rPr>
                <w:rFonts w:hint="eastAsia" w:asciiTheme="minorEastAsia" w:hAnsiTheme="minorEastAsia" w:eastAsiaTheme="minorEastAsia" w:cstheme="minorEastAsia"/>
                <w:b/>
                <w:bCs/>
                <w:color w:val="auto"/>
                <w:sz w:val="21"/>
                <w:szCs w:val="21"/>
                <w:highlight w:val="none"/>
              </w:rPr>
              <w:t>后次报价不得高于前次报价，最后报价是供应商响应文件的有效组成部分。</w:t>
            </w:r>
          </w:p>
          <w:p w14:paraId="597DFD62">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经磋商确定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供应商的评审办法。</w:t>
            </w:r>
          </w:p>
          <w:p w14:paraId="2905AA45">
            <w:pPr>
              <w:keepNext w:val="0"/>
              <w:keepLines w:val="0"/>
              <w:pageBreakBefore w:val="0"/>
              <w:kinsoku/>
              <w:wordWrap/>
              <w:overflowPunct/>
              <w:topLinePunct w:val="0"/>
              <w:bidi w:val="0"/>
              <w:adjustRightInd/>
              <w:snapToGrid/>
              <w:spacing w:line="360" w:lineRule="auto"/>
              <w:ind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3、供应商未在规定时间内</w:t>
            </w:r>
            <w:r>
              <w:rPr>
                <w:rFonts w:hint="eastAsia" w:asciiTheme="minorEastAsia" w:hAnsiTheme="minorEastAsia" w:eastAsiaTheme="minorEastAsia" w:cstheme="minorEastAsia"/>
                <w:b/>
                <w:color w:val="auto"/>
                <w:sz w:val="21"/>
                <w:szCs w:val="21"/>
                <w:highlight w:val="none"/>
                <w:lang w:val="en-US" w:eastAsia="zh-CN"/>
              </w:rPr>
              <w:t>提交</w:t>
            </w:r>
            <w:r>
              <w:rPr>
                <w:rFonts w:hint="eastAsia" w:asciiTheme="minorEastAsia" w:hAnsiTheme="minorEastAsia" w:eastAsiaTheme="minorEastAsia" w:cstheme="minorEastAsia"/>
                <w:b/>
                <w:color w:val="auto"/>
                <w:sz w:val="21"/>
                <w:szCs w:val="21"/>
                <w:highlight w:val="none"/>
              </w:rPr>
              <w:t>最后磋商报价的，其响应文件按无效响应处理。</w:t>
            </w:r>
          </w:p>
        </w:tc>
      </w:tr>
      <w:tr w14:paraId="55B37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156" w:type="dxa"/>
            <w:vMerge w:val="restart"/>
            <w:tcBorders>
              <w:tl2br w:val="nil"/>
              <w:tr2bl w:val="nil"/>
            </w:tcBorders>
            <w:vAlign w:val="center"/>
          </w:tcPr>
          <w:p w14:paraId="123CE1ED">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21.2</w:t>
            </w:r>
          </w:p>
        </w:tc>
        <w:tc>
          <w:tcPr>
            <w:tcW w:w="2055" w:type="dxa"/>
            <w:tcBorders>
              <w:tl2br w:val="nil"/>
              <w:tr2bl w:val="nil"/>
            </w:tcBorders>
            <w:vAlign w:val="center"/>
          </w:tcPr>
          <w:p w14:paraId="308F72EA">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优先采购节能产品（如有）</w:t>
            </w:r>
          </w:p>
        </w:tc>
        <w:tc>
          <w:tcPr>
            <w:tcW w:w="6374" w:type="dxa"/>
            <w:tcBorders>
              <w:tl2br w:val="nil"/>
              <w:tr2bl w:val="nil"/>
            </w:tcBorders>
            <w:vAlign w:val="center"/>
          </w:tcPr>
          <w:p w14:paraId="615B3E62">
            <w:pPr>
              <w:pStyle w:val="177"/>
              <w:keepNext w:val="0"/>
              <w:keepLines w:val="0"/>
              <w:pageBreakBefore w:val="0"/>
              <w:kinsoku/>
              <w:wordWrap/>
              <w:overflowPunct/>
              <w:topLinePunct w:val="0"/>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采购人所采购产品为《关于印发节能产品政府采购品目清单的通知》财库〔2019〕19号“节能产品政府采购品目清单”中，非标记“★”产品并经“机构名录”中的认证机构出具相应的产品认证证书的给于优先采购体现，详见磋商评审办法</w:t>
            </w:r>
          </w:p>
        </w:tc>
      </w:tr>
      <w:tr w14:paraId="0278E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continue"/>
            <w:tcBorders>
              <w:tl2br w:val="nil"/>
              <w:tr2bl w:val="nil"/>
            </w:tcBorders>
            <w:vAlign w:val="center"/>
          </w:tcPr>
          <w:p w14:paraId="7DF7AA8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2055" w:type="dxa"/>
            <w:tcBorders>
              <w:tl2br w:val="nil"/>
              <w:tr2bl w:val="nil"/>
            </w:tcBorders>
            <w:vAlign w:val="center"/>
          </w:tcPr>
          <w:p w14:paraId="09FCCEB0">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优先采购环境标志产品（如有）</w:t>
            </w:r>
          </w:p>
        </w:tc>
        <w:tc>
          <w:tcPr>
            <w:tcW w:w="6374" w:type="dxa"/>
            <w:tcBorders>
              <w:tl2br w:val="nil"/>
              <w:tr2bl w:val="nil"/>
            </w:tcBorders>
            <w:vAlign w:val="center"/>
          </w:tcPr>
          <w:p w14:paraId="71D030FA">
            <w:pPr>
              <w:pStyle w:val="177"/>
              <w:keepNext w:val="0"/>
              <w:keepLines w:val="0"/>
              <w:pageBreakBefore w:val="0"/>
              <w:kinsoku/>
              <w:wordWrap/>
              <w:overflowPunct/>
              <w:topLinePunct w:val="0"/>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采购产品属于环境标志产品品目清单范围内，且供应商产品具有有效期内的环境标志产品认证证书，予以优先采购，具体优惠措施为：如果采购项目包有多种设备，在技术部分打分项中给于优先采购体现。详见磋商评审办法</w:t>
            </w:r>
          </w:p>
        </w:tc>
      </w:tr>
      <w:tr w14:paraId="3C2DA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56" w:type="dxa"/>
            <w:vMerge w:val="continue"/>
            <w:tcBorders>
              <w:tl2br w:val="nil"/>
              <w:tr2bl w:val="nil"/>
            </w:tcBorders>
            <w:vAlign w:val="center"/>
          </w:tcPr>
          <w:p w14:paraId="204434E6">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2055" w:type="dxa"/>
            <w:tcBorders>
              <w:tl2br w:val="nil"/>
              <w:tr2bl w:val="nil"/>
            </w:tcBorders>
            <w:vAlign w:val="center"/>
          </w:tcPr>
          <w:p w14:paraId="145D0B20">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优先采购列入无线局域网产品（如有）</w:t>
            </w:r>
          </w:p>
        </w:tc>
        <w:tc>
          <w:tcPr>
            <w:tcW w:w="6374" w:type="dxa"/>
            <w:tcBorders>
              <w:tl2br w:val="nil"/>
              <w:tr2bl w:val="nil"/>
            </w:tcBorders>
            <w:vAlign w:val="center"/>
          </w:tcPr>
          <w:p w14:paraId="79CE7EF0">
            <w:pPr>
              <w:pStyle w:val="177"/>
              <w:keepNext w:val="0"/>
              <w:keepLines w:val="0"/>
              <w:pageBreakBefore w:val="0"/>
              <w:kinsoku/>
              <w:wordWrap/>
              <w:overflowPunct/>
              <w:topLinePunct w:val="0"/>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产品列入“财政部国家发展改革委信息产业部关于印发无线局域网产品政府采购实施意见的通知财库［2005］366号”无线局域网产品清单的，予以优先采购，具体优惠措施为：如果采购项目包有多种设备，在技术部分打分项中给于优先采购体现。详见磋商评审办法</w:t>
            </w:r>
          </w:p>
        </w:tc>
      </w:tr>
      <w:tr w14:paraId="14707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56" w:type="dxa"/>
            <w:tcBorders>
              <w:tl2br w:val="nil"/>
              <w:tr2bl w:val="nil"/>
            </w:tcBorders>
            <w:vAlign w:val="center"/>
          </w:tcPr>
          <w:p w14:paraId="1CA7073E">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w:t>
            </w:r>
          </w:p>
        </w:tc>
        <w:tc>
          <w:tcPr>
            <w:tcW w:w="2055" w:type="dxa"/>
            <w:tcBorders>
              <w:tl2br w:val="nil"/>
              <w:tr2bl w:val="nil"/>
            </w:tcBorders>
            <w:vAlign w:val="center"/>
          </w:tcPr>
          <w:p w14:paraId="6EED1CB8">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投标（响应）文件</w:t>
            </w:r>
          </w:p>
          <w:p w14:paraId="6034E44A">
            <w:pPr>
              <w:pStyle w:val="177"/>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无效的其他情形</w:t>
            </w:r>
          </w:p>
        </w:tc>
        <w:tc>
          <w:tcPr>
            <w:tcW w:w="6374" w:type="dxa"/>
            <w:tcBorders>
              <w:tl2br w:val="nil"/>
              <w:tr2bl w:val="nil"/>
            </w:tcBorders>
            <w:vAlign w:val="center"/>
          </w:tcPr>
          <w:p w14:paraId="606F687D">
            <w:pPr>
              <w:pStyle w:val="177"/>
              <w:keepNext w:val="0"/>
              <w:keepLines w:val="0"/>
              <w:pageBreakBefore w:val="0"/>
              <w:kinsoku/>
              <w:wordWrap/>
              <w:overflowPunct/>
              <w:topLinePunct w:val="0"/>
              <w:bidi w:val="0"/>
              <w:adjustRightInd/>
              <w:snapToGrid/>
              <w:spacing w:line="360" w:lineRule="auto"/>
              <w:ind w:firstLine="420" w:firstLineChars="20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根据《河南省财政厅关于防范供应商串通投标促进政府采购公平竞争的通知》（豫财购﹝2021﹞6 号）规定，参与同一个标段（包）的供应商存在下列情形之一的，其投标（响应）文件无效：</w:t>
            </w:r>
          </w:p>
          <w:p w14:paraId="7EF58738">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（一）不同供应商的电子投标（响应）文件上传计算机的网卡MAC地址、CPU序列号和硬盘序列号等硬件信息相同的；</w:t>
            </w:r>
          </w:p>
          <w:p w14:paraId="73F57B72">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（二）不同供应商的投标（响应）文件由同一电子设备编制、打印加密或者上传；</w:t>
            </w:r>
          </w:p>
          <w:p w14:paraId="4AD2392A">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（三）不同供应商的投标（响应）文件由同一电子设备打印、复印；</w:t>
            </w:r>
          </w:p>
          <w:p w14:paraId="366DFBAD">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（四）不同供应商的投标（响应）文件由同一人送达或者分发，或者不同供应商联系人为同一人或不同联系人的联系电话一致的；</w:t>
            </w:r>
          </w:p>
          <w:p w14:paraId="22C39664">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（五）不同供应商的投标（响应）文件的内容存在两处以上细节错误一致；</w:t>
            </w:r>
          </w:p>
          <w:p w14:paraId="2AB846B7">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（六）不同供应商的法定代表人、委托代理人、项目经理、项目负责人等由同一个单位缴纳社会保险或者领取报酬的；</w:t>
            </w:r>
          </w:p>
          <w:p w14:paraId="5408AEFF">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（七）不同供应商投标（响应）文件中法定代表人或者负责人签字出自同一人之手；</w:t>
            </w:r>
          </w:p>
          <w:p w14:paraId="3DA407B9">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（八）其它涉嫌串通的情形。</w:t>
            </w:r>
          </w:p>
        </w:tc>
      </w:tr>
      <w:tr w14:paraId="545CC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56" w:type="dxa"/>
            <w:tcBorders>
              <w:tl2br w:val="nil"/>
              <w:tr2bl w:val="nil"/>
            </w:tcBorders>
            <w:vAlign w:val="center"/>
          </w:tcPr>
          <w:p w14:paraId="1AE58E1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21.4</w:t>
            </w:r>
          </w:p>
        </w:tc>
        <w:tc>
          <w:tcPr>
            <w:tcW w:w="2055" w:type="dxa"/>
            <w:tcBorders>
              <w:tl2br w:val="nil"/>
              <w:tr2bl w:val="nil"/>
            </w:tcBorders>
            <w:vAlign w:val="center"/>
          </w:tcPr>
          <w:p w14:paraId="09DF187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snapToGrid w:val="0"/>
                <w:color w:val="auto"/>
                <w:kern w:val="0"/>
                <w:sz w:val="21"/>
                <w:szCs w:val="21"/>
                <w:highlight w:val="none"/>
                <w:lang w:bidi="zh-CN"/>
              </w:rPr>
            </w:pPr>
            <w:r>
              <w:rPr>
                <w:rFonts w:hint="eastAsia" w:asciiTheme="minorEastAsia" w:hAnsiTheme="minorEastAsia" w:eastAsiaTheme="minorEastAsia" w:cstheme="minorEastAsia"/>
                <w:snapToGrid w:val="0"/>
                <w:color w:val="auto"/>
                <w:kern w:val="0"/>
                <w:sz w:val="21"/>
                <w:szCs w:val="21"/>
                <w:highlight w:val="none"/>
                <w:lang w:bidi="zh-CN"/>
              </w:rPr>
              <w:t>关于规范非招标采购方式政府采购项目二次报价（或最终报价）的有关通知</w:t>
            </w:r>
          </w:p>
        </w:tc>
        <w:tc>
          <w:tcPr>
            <w:tcW w:w="6374" w:type="dxa"/>
            <w:tcBorders>
              <w:tl2br w:val="nil"/>
              <w:tr2bl w:val="nil"/>
            </w:tcBorders>
            <w:vAlign w:val="center"/>
          </w:tcPr>
          <w:p w14:paraId="01356780">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各市场主体：</w:t>
            </w:r>
          </w:p>
          <w:p w14:paraId="08CD5B22">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为规范非招标采购方式政府采购项目二次报价（或最终报价），现通知如下：</w:t>
            </w:r>
          </w:p>
          <w:p w14:paraId="6EE23BF2">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    一、采用竞争性谈判和竞争性磋商方式进行交易的项目，二次报价（或最终报价）通知信息以市场主体系统右上角</w:t>
            </w:r>
            <w:r>
              <w:rPr>
                <w:rFonts w:hint="eastAsia" w:asciiTheme="minorEastAsia" w:hAnsiTheme="minorEastAsia" w:eastAsiaTheme="minorEastAsia" w:cstheme="minorEastAsia"/>
                <w:b/>
                <w:bCs/>
                <w:snapToGrid w:val="0"/>
                <w:color w:val="auto"/>
                <w:kern w:val="0"/>
                <w:sz w:val="21"/>
                <w:szCs w:val="21"/>
                <w:highlight w:val="none"/>
              </w:rPr>
              <w:t>系统提醒——开标提醒</w:t>
            </w:r>
            <w:r>
              <w:rPr>
                <w:rFonts w:hint="eastAsia" w:asciiTheme="minorEastAsia" w:hAnsiTheme="minorEastAsia" w:eastAsiaTheme="minorEastAsia" w:cstheme="minorEastAsia"/>
                <w:snapToGrid w:val="0"/>
                <w:color w:val="auto"/>
                <w:kern w:val="0"/>
                <w:sz w:val="21"/>
                <w:szCs w:val="21"/>
                <w:highlight w:val="none"/>
              </w:rPr>
              <w:t>的推送时间为准！系统自评委点击发送二次报价（或最终报价）通知时开始计时，</w:t>
            </w:r>
            <w:r>
              <w:rPr>
                <w:rFonts w:hint="eastAsia" w:asciiTheme="minorEastAsia" w:hAnsiTheme="minorEastAsia" w:eastAsiaTheme="minorEastAsia" w:cstheme="minorEastAsia"/>
                <w:b/>
                <w:bCs/>
                <w:snapToGrid w:val="0"/>
                <w:color w:val="auto"/>
                <w:kern w:val="0"/>
                <w:sz w:val="21"/>
                <w:szCs w:val="21"/>
                <w:highlight w:val="none"/>
              </w:rPr>
              <w:t>请各潜在</w:t>
            </w:r>
            <w:r>
              <w:rPr>
                <w:rFonts w:hint="eastAsia" w:asciiTheme="minorEastAsia" w:hAnsiTheme="minorEastAsia" w:eastAsiaTheme="minorEastAsia" w:cstheme="minorEastAsia"/>
                <w:b/>
                <w:bCs/>
                <w:snapToGrid w:val="0"/>
                <w:color w:val="auto"/>
                <w:kern w:val="0"/>
                <w:sz w:val="21"/>
                <w:szCs w:val="21"/>
                <w:highlight w:val="none"/>
                <w:lang w:eastAsia="zh-CN"/>
              </w:rPr>
              <w:t>供应商</w:t>
            </w:r>
            <w:r>
              <w:rPr>
                <w:rFonts w:hint="eastAsia" w:asciiTheme="minorEastAsia" w:hAnsiTheme="minorEastAsia" w:eastAsiaTheme="minorEastAsia" w:cstheme="minorEastAsia"/>
                <w:b/>
                <w:bCs/>
                <w:snapToGrid w:val="0"/>
                <w:color w:val="auto"/>
                <w:kern w:val="0"/>
                <w:sz w:val="21"/>
                <w:szCs w:val="21"/>
                <w:highlight w:val="none"/>
              </w:rPr>
              <w:t>及时关注系统提醒，在规定的时间内完成二次报价（或最终报价）</w:t>
            </w:r>
            <w:r>
              <w:rPr>
                <w:rFonts w:hint="eastAsia" w:asciiTheme="minorEastAsia" w:hAnsiTheme="minorEastAsia" w:eastAsiaTheme="minorEastAsia" w:cstheme="minorEastAsia"/>
                <w:snapToGrid w:val="0"/>
                <w:color w:val="auto"/>
                <w:kern w:val="0"/>
                <w:sz w:val="21"/>
                <w:szCs w:val="21"/>
                <w:highlight w:val="none"/>
              </w:rPr>
              <w:t>。</w:t>
            </w:r>
          </w:p>
          <w:p w14:paraId="40B4C20D">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    二、评委点击发送二次报价（或最终报价）通知后，系统同时会以手机短信形式发送信息，手机短信提醒可能因运营商网络问题造成延误。无论收到手机短信提醒与否，均不作为二次报价（或最终报价）开始的依据。</w:t>
            </w:r>
          </w:p>
          <w:p w14:paraId="5B773D79">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特此通知！</w:t>
            </w:r>
          </w:p>
          <w:p w14:paraId="6EFB5CCF">
            <w:pPr>
              <w:pStyle w:val="177"/>
              <w:keepNext w:val="0"/>
              <w:keepLines w:val="0"/>
              <w:pageBreakBefore w:val="0"/>
              <w:kinsoku/>
              <w:wordWrap/>
              <w:overflowPunct/>
              <w:topLinePunct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                             河南省公共资源交易中心</w:t>
            </w:r>
          </w:p>
          <w:p w14:paraId="56032E4D">
            <w:pPr>
              <w:keepNext w:val="0"/>
              <w:keepLines w:val="0"/>
              <w:pageBreakBefore w:val="0"/>
              <w:widowControl/>
              <w:kinsoku/>
              <w:wordWrap/>
              <w:overflowPunct/>
              <w:topLinePunct w:val="0"/>
              <w:autoSpaceDE w:val="0"/>
              <w:autoSpaceDN w:val="0"/>
              <w:bidi w:val="0"/>
              <w:adjustRightInd/>
              <w:snapToGrid/>
              <w:spacing w:line="360" w:lineRule="auto"/>
              <w:ind w:firstLine="0" w:firstLineChars="0"/>
              <w:textAlignment w:val="auto"/>
              <w:rPr>
                <w:rFonts w:hint="eastAsia" w:asciiTheme="minorEastAsia" w:hAnsiTheme="minorEastAsia" w:eastAsiaTheme="minorEastAsia" w:cstheme="minorEastAsia"/>
                <w:snapToGrid w:val="0"/>
                <w:color w:val="auto"/>
                <w:kern w:val="0"/>
                <w:sz w:val="21"/>
                <w:szCs w:val="21"/>
                <w:highlight w:val="none"/>
                <w:lang w:bidi="zh-CN"/>
              </w:rPr>
            </w:pPr>
            <w:r>
              <w:rPr>
                <w:rFonts w:hint="eastAsia" w:asciiTheme="minorEastAsia" w:hAnsiTheme="minorEastAsia" w:eastAsiaTheme="minorEastAsia" w:cstheme="minorEastAsia"/>
                <w:snapToGrid w:val="0"/>
                <w:color w:val="auto"/>
                <w:kern w:val="0"/>
                <w:sz w:val="21"/>
                <w:szCs w:val="21"/>
                <w:highlight w:val="none"/>
              </w:rPr>
              <w:t xml:space="preserve">                                 2023年3月20日</w:t>
            </w:r>
          </w:p>
        </w:tc>
      </w:tr>
      <w:tr w14:paraId="6B936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56" w:type="dxa"/>
            <w:tcBorders>
              <w:tl2br w:val="nil"/>
              <w:tr2bl w:val="nil"/>
            </w:tcBorders>
            <w:vAlign w:val="center"/>
          </w:tcPr>
          <w:p w14:paraId="667F5FC3">
            <w:pPr>
              <w:keepNext w:val="0"/>
              <w:keepLines w:val="0"/>
              <w:pageBreakBefore w:val="0"/>
              <w:kinsoku/>
              <w:wordWrap/>
              <w:overflowPunct/>
              <w:topLinePunct w:val="0"/>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bookmarkStart w:id="54" w:name="_Toc1315"/>
            <w:bookmarkStart w:id="55" w:name="_Toc16728"/>
            <w:r>
              <w:rPr>
                <w:rFonts w:hint="eastAsia" w:asciiTheme="minorEastAsia" w:hAnsiTheme="minorEastAsia" w:eastAsiaTheme="minorEastAsia" w:cstheme="minorEastAsia"/>
                <w:color w:val="auto"/>
                <w:sz w:val="21"/>
                <w:szCs w:val="21"/>
                <w:highlight w:val="none"/>
              </w:rPr>
              <w:t>21.5</w:t>
            </w:r>
          </w:p>
        </w:tc>
        <w:tc>
          <w:tcPr>
            <w:tcW w:w="2055" w:type="dxa"/>
            <w:tcBorders>
              <w:tl2br w:val="nil"/>
              <w:tr2bl w:val="nil"/>
            </w:tcBorders>
            <w:vAlign w:val="center"/>
          </w:tcPr>
          <w:p w14:paraId="10B6D039">
            <w:pPr>
              <w:pStyle w:val="177"/>
              <w:keepNext w:val="0"/>
              <w:keepLines w:val="0"/>
              <w:pageBreakBefore w:val="0"/>
              <w:kinsoku/>
              <w:wordWrap/>
              <w:overflowPunct/>
              <w:topLinePunct w:val="0"/>
              <w:autoSpaceDE w:val="0"/>
              <w:autoSpaceDN w:val="0"/>
              <w:bidi w:val="0"/>
              <w:adjustRightInd/>
              <w:snapToGrid/>
              <w:spacing w:line="360" w:lineRule="auto"/>
              <w:ind w:right="106" w:firstLine="0" w:firstLineChars="0"/>
              <w:jc w:val="center"/>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需要补充的其它内容</w:t>
            </w:r>
          </w:p>
        </w:tc>
        <w:tc>
          <w:tcPr>
            <w:tcW w:w="6374" w:type="dxa"/>
            <w:tcBorders>
              <w:tl2br w:val="nil"/>
              <w:tr2bl w:val="nil"/>
            </w:tcBorders>
          </w:tcPr>
          <w:p w14:paraId="5EAC5553">
            <w:pPr>
              <w:pStyle w:val="177"/>
              <w:keepNext w:val="0"/>
              <w:keepLines w:val="0"/>
              <w:pageBreakBefore w:val="0"/>
              <w:kinsoku/>
              <w:wordWrap/>
              <w:overflowPunct/>
              <w:topLinePunct w:val="0"/>
              <w:autoSpaceDE w:val="0"/>
              <w:autoSpaceDN w:val="0"/>
              <w:bidi w:val="0"/>
              <w:adjustRightInd/>
              <w:snapToGrid/>
              <w:spacing w:line="360" w:lineRule="auto"/>
              <w:ind w:left="107" w:right="95"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本项目非单一产品采购项目，将在竞争性磋商文件中载明核心产品。提供相同品牌相同型号产品且通过初步审查的不同供应商参加同一合同项下磋商响应的，按一家供应商计算，评审后得分最高的同品牌同型号供应商获得成交供应商推荐资格，其他同品牌同型号供应商不作为成交候选供应商。 </w:t>
            </w:r>
          </w:p>
          <w:p w14:paraId="28EE7827">
            <w:pPr>
              <w:pStyle w:val="177"/>
              <w:keepNext w:val="0"/>
              <w:keepLines w:val="0"/>
              <w:pageBreakBefore w:val="0"/>
              <w:kinsoku/>
              <w:wordWrap/>
              <w:overflowPunct/>
              <w:topLinePunct w:val="0"/>
              <w:autoSpaceDE w:val="0"/>
              <w:autoSpaceDN w:val="0"/>
              <w:bidi w:val="0"/>
              <w:adjustRightInd/>
              <w:snapToGrid/>
              <w:spacing w:line="360" w:lineRule="auto"/>
              <w:ind w:left="107" w:right="95" w:firstLine="0" w:firstLineChars="0"/>
              <w:textAlignment w:val="auto"/>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i w:val="0"/>
                <w:iCs w:val="0"/>
                <w:snapToGrid w:val="0"/>
                <w:color w:val="auto"/>
                <w:kern w:val="0"/>
                <w:sz w:val="21"/>
                <w:szCs w:val="21"/>
                <w:highlight w:val="none"/>
              </w:rPr>
              <w:t>核心产品：</w:t>
            </w:r>
            <w:r>
              <w:rPr>
                <w:rFonts w:hint="eastAsia" w:asciiTheme="minorEastAsia" w:hAnsiTheme="minorEastAsia" w:eastAsiaTheme="minorEastAsia" w:cstheme="minorEastAsia"/>
                <w:i w:val="0"/>
                <w:iCs w:val="0"/>
                <w:snapToGrid w:val="0"/>
                <w:color w:val="auto"/>
                <w:kern w:val="0"/>
                <w:sz w:val="21"/>
                <w:szCs w:val="21"/>
                <w:highlight w:val="none"/>
                <w:lang w:val="en-US" w:eastAsia="zh-CN"/>
              </w:rPr>
              <w:t>生物反馈治疗仪</w:t>
            </w:r>
          </w:p>
        </w:tc>
      </w:tr>
    </w:tbl>
    <w:p w14:paraId="79DE9011">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注：表格中“□”项或“</w:t>
      </w:r>
      <w:r>
        <w:rPr>
          <w:rFonts w:hint="eastAsia" w:asciiTheme="minorEastAsia" w:hAnsiTheme="minorEastAsia" w:eastAsiaTheme="minorEastAsia" w:cstheme="minorEastAsia"/>
          <w:color w:val="auto"/>
          <w:sz w:val="21"/>
          <w:szCs w:val="21"/>
          <w:highlight w:val="none"/>
        </w:rPr>
        <w:sym w:font="Wingdings" w:char="F0FE"/>
      </w:r>
      <w:r>
        <w:rPr>
          <w:rFonts w:hint="eastAsia" w:asciiTheme="minorEastAsia" w:hAnsiTheme="minorEastAsia" w:eastAsiaTheme="minorEastAsia" w:cstheme="minorEastAsia"/>
          <w:color w:val="auto"/>
          <w:sz w:val="21"/>
          <w:szCs w:val="21"/>
          <w:highlight w:val="none"/>
        </w:rPr>
        <w:t>”项为被选中项。</w:t>
      </w:r>
    </w:p>
    <w:p w14:paraId="16ECD9C8">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sectPr>
          <w:footerReference r:id="rId9" w:type="first"/>
          <w:footerReference r:id="rId8" w:type="default"/>
          <w:pgSz w:w="11906" w:h="16838"/>
          <w:pgMar w:top="1418" w:right="1418" w:bottom="1417" w:left="1701" w:header="851" w:footer="992" w:gutter="0"/>
          <w:pgBorders>
            <w:top w:val="none" w:sz="0" w:space="0"/>
            <w:left w:val="none" w:sz="0" w:space="0"/>
            <w:bottom w:val="none" w:sz="0" w:space="0"/>
            <w:right w:val="none" w:sz="0" w:space="0"/>
          </w:pgBorders>
          <w:cols w:space="720" w:num="1"/>
          <w:docGrid w:type="lines" w:linePitch="312" w:charSpace="0"/>
        </w:sectPr>
      </w:pPr>
    </w:p>
    <w:bookmarkEnd w:id="54"/>
    <w:bookmarkEnd w:id="55"/>
    <w:p w14:paraId="47B97258">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56" w:name="_Toc70524419"/>
      <w:bookmarkStart w:id="57" w:name="_Toc18910"/>
      <w:bookmarkStart w:id="58" w:name="_Toc11876"/>
      <w:bookmarkStart w:id="59" w:name="_Toc11036"/>
      <w:bookmarkStart w:id="60" w:name="_Toc433093354"/>
      <w:r>
        <w:rPr>
          <w:rFonts w:hint="eastAsia" w:asciiTheme="minorEastAsia" w:hAnsiTheme="minorEastAsia" w:eastAsiaTheme="minorEastAsia" w:cstheme="minorEastAsia"/>
          <w:color w:val="auto"/>
          <w:sz w:val="21"/>
          <w:szCs w:val="21"/>
          <w:highlight w:val="none"/>
        </w:rPr>
        <w:t>1、总则</w:t>
      </w:r>
      <w:bookmarkEnd w:id="56"/>
      <w:bookmarkEnd w:id="57"/>
      <w:bookmarkEnd w:id="58"/>
    </w:p>
    <w:p w14:paraId="027D7898">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61" w:name="BM1_1_项目概况"/>
      <w:bookmarkEnd w:id="61"/>
      <w:r>
        <w:rPr>
          <w:rFonts w:hint="eastAsia" w:asciiTheme="minorEastAsia" w:hAnsiTheme="minorEastAsia" w:eastAsiaTheme="minorEastAsia" w:cstheme="minorEastAsia"/>
          <w:b/>
          <w:bCs/>
          <w:color w:val="auto"/>
          <w:sz w:val="21"/>
          <w:szCs w:val="21"/>
          <w:highlight w:val="none"/>
        </w:rPr>
        <w:t>1.1项目概况</w:t>
      </w:r>
    </w:p>
    <w:p w14:paraId="21B300C0">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1.1.1采购人：是指依法进行政府采购的国家机关、事业单位、团体组织。本项目的采购人见：</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w:t>
      </w:r>
    </w:p>
    <w:p w14:paraId="5726F101">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1.1.2采购代理机构是指：</w:t>
      </w:r>
      <w:r>
        <w:rPr>
          <w:rFonts w:hint="eastAsia" w:asciiTheme="minorEastAsia" w:hAnsiTheme="minorEastAsia" w:eastAsiaTheme="minorEastAsia" w:cstheme="minorEastAsia"/>
          <w:b/>
          <w:bCs/>
          <w:color w:val="auto"/>
          <w:sz w:val="21"/>
          <w:szCs w:val="21"/>
          <w:highlight w:val="none"/>
          <w:u w:val="single"/>
        </w:rPr>
        <w:t>见供应商须知前附表。</w:t>
      </w:r>
    </w:p>
    <w:p w14:paraId="7927CDBD">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1.1.3采购项目名称：</w:t>
      </w:r>
      <w:r>
        <w:rPr>
          <w:rFonts w:hint="eastAsia" w:asciiTheme="minorEastAsia" w:hAnsiTheme="minorEastAsia" w:eastAsiaTheme="minorEastAsia" w:cstheme="minorEastAsia"/>
          <w:b/>
          <w:bCs/>
          <w:color w:val="auto"/>
          <w:sz w:val="21"/>
          <w:szCs w:val="21"/>
          <w:highlight w:val="none"/>
          <w:u w:val="single"/>
        </w:rPr>
        <w:t>见供应商须知前附表</w:t>
      </w:r>
      <w:r>
        <w:rPr>
          <w:rFonts w:hint="eastAsia" w:asciiTheme="minorEastAsia" w:hAnsiTheme="minorEastAsia" w:eastAsiaTheme="minorEastAsia" w:cstheme="minorEastAsia"/>
          <w:color w:val="auto"/>
          <w:sz w:val="21"/>
          <w:szCs w:val="21"/>
          <w:highlight w:val="none"/>
        </w:rPr>
        <w:t>。</w:t>
      </w:r>
    </w:p>
    <w:p w14:paraId="4C875D99">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w:t>
      </w:r>
      <w:r>
        <w:rPr>
          <w:rFonts w:hint="eastAsia" w:asciiTheme="minorEastAsia" w:hAnsiTheme="minorEastAsia" w:eastAsiaTheme="minorEastAsia" w:cstheme="minorEastAsia"/>
          <w:color w:val="auto"/>
          <w:sz w:val="21"/>
          <w:szCs w:val="21"/>
          <w:highlight w:val="none"/>
          <w:lang w:eastAsia="zh-CN"/>
        </w:rPr>
        <w:t>交货地点</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
          <w:bCs/>
          <w:color w:val="auto"/>
          <w:sz w:val="21"/>
          <w:szCs w:val="21"/>
          <w:highlight w:val="none"/>
          <w:u w:val="single"/>
        </w:rPr>
        <w:t>见供应商须知前附表</w:t>
      </w:r>
      <w:r>
        <w:rPr>
          <w:rFonts w:hint="eastAsia" w:asciiTheme="minorEastAsia" w:hAnsiTheme="minorEastAsia" w:eastAsiaTheme="minorEastAsia" w:cstheme="minorEastAsia"/>
          <w:color w:val="auto"/>
          <w:sz w:val="21"/>
          <w:szCs w:val="21"/>
          <w:highlight w:val="none"/>
        </w:rPr>
        <w:t>。</w:t>
      </w:r>
    </w:p>
    <w:p w14:paraId="3E237EA4">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1.1.5采购方式：</w:t>
      </w:r>
      <w:r>
        <w:rPr>
          <w:rFonts w:hint="eastAsia" w:asciiTheme="minorEastAsia" w:hAnsiTheme="minorEastAsia" w:eastAsiaTheme="minorEastAsia" w:cstheme="minorEastAsia"/>
          <w:b/>
          <w:bCs/>
          <w:color w:val="auto"/>
          <w:sz w:val="21"/>
          <w:szCs w:val="21"/>
          <w:highlight w:val="none"/>
        </w:rPr>
        <w:t>竞争性磋商。</w:t>
      </w:r>
      <w:r>
        <w:rPr>
          <w:rFonts w:hint="eastAsia" w:asciiTheme="minorEastAsia" w:hAnsiTheme="minorEastAsia" w:eastAsiaTheme="minorEastAsia" w:cstheme="minorEastAsia"/>
          <w:color w:val="auto"/>
          <w:sz w:val="21"/>
          <w:szCs w:val="21"/>
          <w:highlight w:val="none"/>
        </w:rPr>
        <w:t>采购人、采购代理机构通过组建竞争性磋商小组（以下简称磋商小组）与符合条件的供应商就采购</w:t>
      </w:r>
      <w:r>
        <w:rPr>
          <w:rFonts w:hint="eastAsia" w:asciiTheme="minorEastAsia" w:hAnsiTheme="minorEastAsia" w:eastAsiaTheme="minorEastAsia" w:cstheme="minorEastAsia"/>
          <w:b/>
          <w:bCs/>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货物</w:t>
      </w:r>
      <w:r>
        <w:rPr>
          <w:rFonts w:hint="eastAsia" w:asciiTheme="minorEastAsia" w:hAnsiTheme="minorEastAsia" w:eastAsiaTheme="minorEastAsia" w:cstheme="minorEastAsia"/>
          <w:b/>
          <w:bCs/>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事宜进行磋商，供应商按照竞争性磋商文件（以下简称采购文件）的要求提交响应文件和报价，采购人从磋商小组评审后提出的候选供应商名单中确定成交供应商。</w:t>
      </w:r>
    </w:p>
    <w:p w14:paraId="7A3017FF">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62" w:name="BM1_2_资金来源"/>
      <w:bookmarkEnd w:id="62"/>
      <w:r>
        <w:rPr>
          <w:rFonts w:hint="eastAsia" w:asciiTheme="minorEastAsia" w:hAnsiTheme="minorEastAsia" w:eastAsiaTheme="minorEastAsia" w:cstheme="minorEastAsia"/>
          <w:b/>
          <w:bCs/>
          <w:color w:val="auto"/>
          <w:sz w:val="21"/>
          <w:szCs w:val="21"/>
          <w:highlight w:val="none"/>
        </w:rPr>
        <w:t>1.2资金来源</w:t>
      </w:r>
    </w:p>
    <w:p w14:paraId="1A7D3C7E">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1.2.1本项目的采购人已获得足以支付本次采购后所签订合同项下的资金（包括财政性资金和本项目采购中无法与财政性资金分割的非财政性资金）。</w:t>
      </w:r>
    </w:p>
    <w:p w14:paraId="4477349F">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1.2.2项目预算金额和最高限价（如有）见：</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w:t>
      </w:r>
    </w:p>
    <w:p w14:paraId="6AC02434">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1.2.3供应商报价超过采购文件规定的预算金额或者最高限价的，其响应文件将被认定为</w:t>
      </w:r>
      <w:r>
        <w:rPr>
          <w:rFonts w:hint="eastAsia" w:asciiTheme="minorEastAsia" w:hAnsiTheme="minorEastAsia" w:eastAsiaTheme="minorEastAsia" w:cstheme="minorEastAsia"/>
          <w:b/>
          <w:bCs/>
          <w:color w:val="auto"/>
          <w:sz w:val="21"/>
          <w:szCs w:val="21"/>
          <w:highlight w:val="none"/>
        </w:rPr>
        <w:t>无效响应文件</w:t>
      </w:r>
      <w:r>
        <w:rPr>
          <w:rFonts w:hint="eastAsia" w:asciiTheme="minorEastAsia" w:hAnsiTheme="minorEastAsia" w:eastAsiaTheme="minorEastAsia" w:cstheme="minorEastAsia"/>
          <w:color w:val="auto"/>
          <w:sz w:val="21"/>
          <w:szCs w:val="21"/>
          <w:highlight w:val="none"/>
        </w:rPr>
        <w:t>。</w:t>
      </w:r>
    </w:p>
    <w:p w14:paraId="59C341EA">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63" w:name="BM1_3_采购需求及其它相关要求"/>
      <w:bookmarkEnd w:id="63"/>
      <w:r>
        <w:rPr>
          <w:rFonts w:hint="eastAsia" w:asciiTheme="minorEastAsia" w:hAnsiTheme="minorEastAsia" w:eastAsiaTheme="minorEastAsia" w:cstheme="minorEastAsia"/>
          <w:b/>
          <w:bCs/>
          <w:color w:val="auto"/>
          <w:sz w:val="21"/>
          <w:szCs w:val="21"/>
          <w:highlight w:val="none"/>
        </w:rPr>
        <w:t>1.3采购需求及其它相关要求</w:t>
      </w:r>
    </w:p>
    <w:p w14:paraId="2739AF0C">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1.3.1采购需求：</w:t>
      </w:r>
      <w:r>
        <w:rPr>
          <w:rFonts w:hint="eastAsia" w:asciiTheme="minorEastAsia" w:hAnsiTheme="minorEastAsia" w:eastAsiaTheme="minorEastAsia" w:cstheme="minorEastAsia"/>
          <w:b/>
          <w:bCs/>
          <w:color w:val="auto"/>
          <w:sz w:val="21"/>
          <w:szCs w:val="21"/>
          <w:highlight w:val="none"/>
          <w:u w:val="single"/>
        </w:rPr>
        <w:t>见采购文件第三章</w:t>
      </w:r>
    </w:p>
    <w:p w14:paraId="3FAB3B68">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1.3.2合同履行期限：</w:t>
      </w:r>
      <w:r>
        <w:rPr>
          <w:rFonts w:hint="eastAsia" w:asciiTheme="minorEastAsia" w:hAnsiTheme="minorEastAsia" w:eastAsiaTheme="minorEastAsia" w:cstheme="minorEastAsia"/>
          <w:b/>
          <w:bCs/>
          <w:color w:val="auto"/>
          <w:sz w:val="21"/>
          <w:szCs w:val="21"/>
          <w:highlight w:val="none"/>
          <w:u w:val="single"/>
        </w:rPr>
        <w:t>见供应商须知前附表</w:t>
      </w:r>
      <w:r>
        <w:rPr>
          <w:rFonts w:hint="eastAsia" w:asciiTheme="minorEastAsia" w:hAnsiTheme="minorEastAsia" w:eastAsiaTheme="minorEastAsia" w:cstheme="minorEastAsia"/>
          <w:color w:val="auto"/>
          <w:sz w:val="21"/>
          <w:szCs w:val="21"/>
          <w:highlight w:val="none"/>
        </w:rPr>
        <w:t>。</w:t>
      </w:r>
    </w:p>
    <w:p w14:paraId="40786251">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1.3.3质量标准：</w:t>
      </w:r>
      <w:r>
        <w:rPr>
          <w:rFonts w:hint="eastAsia" w:asciiTheme="minorEastAsia" w:hAnsiTheme="minorEastAsia" w:eastAsiaTheme="minorEastAsia" w:cstheme="minorEastAsia"/>
          <w:b/>
          <w:bCs/>
          <w:color w:val="auto"/>
          <w:sz w:val="21"/>
          <w:szCs w:val="21"/>
          <w:highlight w:val="none"/>
          <w:u w:val="single"/>
        </w:rPr>
        <w:t>见供应商须知前附表</w:t>
      </w:r>
      <w:r>
        <w:rPr>
          <w:rFonts w:hint="eastAsia" w:asciiTheme="minorEastAsia" w:hAnsiTheme="minorEastAsia" w:eastAsiaTheme="minorEastAsia" w:cstheme="minorEastAsia"/>
          <w:color w:val="auto"/>
          <w:sz w:val="21"/>
          <w:szCs w:val="21"/>
          <w:highlight w:val="none"/>
        </w:rPr>
        <w:t>。</w:t>
      </w:r>
    </w:p>
    <w:p w14:paraId="7C4EA705">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64" w:name="BM1_4_对供应商的要求"/>
      <w:bookmarkEnd w:id="64"/>
      <w:r>
        <w:rPr>
          <w:rFonts w:hint="eastAsia" w:asciiTheme="minorEastAsia" w:hAnsiTheme="minorEastAsia" w:eastAsiaTheme="minorEastAsia" w:cstheme="minorEastAsia"/>
          <w:b/>
          <w:bCs/>
          <w:color w:val="auto"/>
          <w:sz w:val="21"/>
          <w:szCs w:val="21"/>
          <w:highlight w:val="none"/>
        </w:rPr>
        <w:t>1.4对供应商的要求</w:t>
      </w:r>
    </w:p>
    <w:p w14:paraId="06F248A7">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1.4.1供应商（申请人）：是指向采购人提供货物的法人、非法人组织或者自然人。申请人与供应商含义相同，以下均称为供应商。</w:t>
      </w:r>
    </w:p>
    <w:p w14:paraId="45AE810F">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1.4.2本项目的供应商及其提供的货物须满足以下条件：</w:t>
      </w:r>
    </w:p>
    <w:p w14:paraId="36BCF4E6">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1.4.2.1在中华人民共和国境内注册（或中华人民共和国公民），能够独立承担民事责任，有生产或供应能力或施工能力的本国供应商。</w:t>
      </w:r>
    </w:p>
    <w:p w14:paraId="48A619D4">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1.4.2.2符合《中华人民共和国政府采购法》第二十二条关于供应商条件的规定。</w:t>
      </w:r>
    </w:p>
    <w:p w14:paraId="73ABE648">
      <w:pPr>
        <w:pStyle w:val="93"/>
        <w:pageBreakBefore w:val="0"/>
        <w:tabs>
          <w:tab w:val="left" w:pos="194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遵守本项目采购人本级和上级财政部门关于政府采购的有关规定。</w:t>
      </w:r>
    </w:p>
    <w:p w14:paraId="1F203931">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1.4.2.3以本项目竞争性磋商公告中规定的方式获取了本项目的竞争性磋商文件。</w:t>
      </w:r>
    </w:p>
    <w:p w14:paraId="5CF73245">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1.4.2.4符合</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中规定的合格供应商的其他要求。</w:t>
      </w:r>
    </w:p>
    <w:p w14:paraId="5B3552C7">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1.4.2.5若</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中写明允许采购进口产品，但不限制满足采购文件要求的国内产品参与采购活动。</w:t>
      </w:r>
    </w:p>
    <w:p w14:paraId="470991E5">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若</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中未写明允许采购进口产品，如供应商提供产品为进口产品，其响应文件将被认定为无效响应文件。</w:t>
      </w:r>
    </w:p>
    <w:p w14:paraId="31F94F49">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1.4.2.6若</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中写明专门面向中小企业采购的，如供应商为非中小企业或所提供产品为非中小企业产品，其响应文件将被认定为</w:t>
      </w:r>
      <w:r>
        <w:rPr>
          <w:rFonts w:hint="eastAsia" w:asciiTheme="minorEastAsia" w:hAnsiTheme="minorEastAsia" w:eastAsiaTheme="minorEastAsia" w:cstheme="minorEastAsia"/>
          <w:b/>
          <w:bCs/>
          <w:color w:val="auto"/>
          <w:sz w:val="21"/>
          <w:szCs w:val="21"/>
          <w:highlight w:val="none"/>
        </w:rPr>
        <w:t>无效响应文件</w:t>
      </w:r>
      <w:r>
        <w:rPr>
          <w:rFonts w:hint="eastAsia" w:asciiTheme="minorEastAsia" w:hAnsiTheme="minorEastAsia" w:eastAsiaTheme="minorEastAsia" w:cstheme="minorEastAsia"/>
          <w:color w:val="auto"/>
          <w:sz w:val="21"/>
          <w:szCs w:val="21"/>
          <w:highlight w:val="none"/>
        </w:rPr>
        <w:t>。</w:t>
      </w:r>
    </w:p>
    <w:p w14:paraId="3E94147C">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1.4.2.7若</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写明采购的产品为财政部、发展改革委、生态环境部等部门发布的品目清单中属于实施政府强制采购品目清单范围的节能产品、信息安全产品、列入国家CCC认证等产品，供应商应按采购文件中的具体要求提供相关证明材料。</w:t>
      </w:r>
    </w:p>
    <w:p w14:paraId="1090D8D0">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1.4.3如</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中允许联合体参加采购活动，对联合体规定如下：</w:t>
      </w:r>
    </w:p>
    <w:p w14:paraId="2C65AF8C">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1.4.3.1两个及以上供应商可以组成一个联合体，以一个供应商的身份参加采购活动。</w:t>
      </w:r>
    </w:p>
    <w:p w14:paraId="0EBF9497">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1.4.3.2联合体各方均应符合《中华人民共和国政府采购法》第二十二条规定的条件。</w:t>
      </w:r>
    </w:p>
    <w:p w14:paraId="3B9C96E3">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1.4.3.3采购人根据采购项目对供应商的特殊要求，联合体中至少应当有一方符合相关规定。</w:t>
      </w:r>
    </w:p>
    <w:p w14:paraId="2A9C48CE">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1.4.3.4联合体各方应当签订联合体共同参加采购活动协议，明确约定联合体各方承担的工作和相应的责任，并将联合体共同参加采购活动协议作为响应文件第一部分的内容提交。</w:t>
      </w:r>
    </w:p>
    <w:p w14:paraId="36AB7B90">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1.4.3.5大中型企业、其他自然人、法人或者非法人组织与小型、微型企业组成联合体共同参加采购活动，联合体共同参加采购活动协议中应写明小型、微型企业所提供产品的合同金额占到联合体各方全部提供产品合同总金额的比例。</w:t>
      </w:r>
    </w:p>
    <w:p w14:paraId="01D00E62">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1.4.3.6联合体中有同类资质的供应商按照联合体分工承担相同工作的，按照较低的资质等级确定联合体的资质等级。</w:t>
      </w:r>
    </w:p>
    <w:p w14:paraId="03E000FC">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1.4.3.7以联合体形式参加政府采购活动的，联合体各方不得再单独参加或者与其他供应商另外组成联合体参加本项目同一合同项下的采购活动，否则相关响应文件将被认定为</w:t>
      </w:r>
      <w:r>
        <w:rPr>
          <w:rFonts w:hint="eastAsia" w:asciiTheme="minorEastAsia" w:hAnsiTheme="minorEastAsia" w:eastAsiaTheme="minorEastAsia" w:cstheme="minorEastAsia"/>
          <w:b/>
          <w:bCs/>
          <w:color w:val="auto"/>
          <w:sz w:val="21"/>
          <w:szCs w:val="21"/>
          <w:highlight w:val="none"/>
        </w:rPr>
        <w:t>无效响应文件</w:t>
      </w:r>
      <w:r>
        <w:rPr>
          <w:rFonts w:hint="eastAsia" w:asciiTheme="minorEastAsia" w:hAnsiTheme="minorEastAsia" w:eastAsiaTheme="minorEastAsia" w:cstheme="minorEastAsia"/>
          <w:color w:val="auto"/>
          <w:sz w:val="21"/>
          <w:szCs w:val="21"/>
          <w:highlight w:val="none"/>
        </w:rPr>
        <w:t>。</w:t>
      </w:r>
    </w:p>
    <w:p w14:paraId="00936B07">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1.4.3.8两个以上的自然人、法人或者其他组织可以组成一个联合体，以一个供应商的身份共同参加政府采购活动。</w:t>
      </w:r>
    </w:p>
    <w:p w14:paraId="476871E2">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1.4.3.9联合体成交的，联合体各方应共同与采购人签订采购合同，就采购合同约定的事项对采购人承担连带责任。</w:t>
      </w:r>
    </w:p>
    <w:p w14:paraId="0838B05D">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1.4.3.10对联合体的其他资格要求见</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w:t>
      </w:r>
    </w:p>
    <w:p w14:paraId="60513C96">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1.4.3.11单位负责人为同一人或者存在直接控股、管理关系的不同供应商参与本项目同一合同项下采购活动的，其相关响应文件将被认定为无效响应文件。</w:t>
      </w:r>
    </w:p>
    <w:p w14:paraId="0D83B7B2">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1.4.3.12供应商在磋商过程中（在确定成交人之前）不得向采购人提供、给予任何有价值的物品，影响其正常决策行为。一经发现，其响应文件将被认定为无效响应文件。</w:t>
      </w:r>
      <w:bookmarkStart w:id="65" w:name="BM1_5_监督管理部门"/>
      <w:bookmarkEnd w:id="65"/>
    </w:p>
    <w:p w14:paraId="7402CBAB">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1.5监督管理部门</w:t>
      </w:r>
    </w:p>
    <w:p w14:paraId="3B588CE7">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bookmarkStart w:id="66" w:name="BM1_6_供应商参加磋商的费用"/>
      <w:bookmarkEnd w:id="66"/>
      <w:r>
        <w:rPr>
          <w:rFonts w:hint="eastAsia" w:asciiTheme="minorEastAsia" w:hAnsiTheme="minorEastAsia" w:eastAsiaTheme="minorEastAsia" w:cstheme="minorEastAsia"/>
          <w:color w:val="auto"/>
          <w:sz w:val="21"/>
          <w:szCs w:val="21"/>
          <w:highlight w:val="none"/>
        </w:rPr>
        <w:t>本次采购活动的监督管理部门为：采购人所属单位的监督部门。</w:t>
      </w:r>
    </w:p>
    <w:p w14:paraId="66A849AB">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1.6供应商参加磋商的费用</w:t>
      </w:r>
    </w:p>
    <w:p w14:paraId="6B32664C">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不论磋商的结果如何，供应商准备和参加本次政府采购活动发生的费用均应自行承担。</w:t>
      </w:r>
    </w:p>
    <w:p w14:paraId="6D57F807">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67" w:name="BM1_7现场考察、磋商前答疑会"/>
      <w:bookmarkEnd w:id="67"/>
      <w:r>
        <w:rPr>
          <w:rFonts w:hint="eastAsia" w:asciiTheme="minorEastAsia" w:hAnsiTheme="minorEastAsia" w:eastAsiaTheme="minorEastAsia" w:cstheme="minorEastAsia"/>
          <w:b/>
          <w:bCs/>
          <w:color w:val="auto"/>
          <w:sz w:val="21"/>
          <w:szCs w:val="21"/>
          <w:highlight w:val="none"/>
        </w:rPr>
        <w:t>1.7现场考察、磋商前答疑会</w:t>
      </w:r>
    </w:p>
    <w:p w14:paraId="29D1852D">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规定组织现场考察或磋商前答疑会的，采购人按供应商须知表1.7.1条规定的时间、地点组织供应商现场考察或磋商前答疑会，或者在领取采购文件期限截止后以书面形式通知所有获取采购文件的潜在供应商。</w:t>
      </w:r>
    </w:p>
    <w:p w14:paraId="33B8EAC5">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1.7.2由于未参加现场考察或磋商前答疑而导致对项目实际情况不了解，影响技术文件编制、</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"https://www.baidu.com/s?wd=%E6%8A%95%E6%A0%87%E6%8A%A5%E4%BB%B7&amp;amp;tn=44039180_cpr&amp;amp;fenlei=mv6quAkxTZn0IZRqIHckPjm4nH00T1dWuyfdP1u9uyPBrjKhmvDv0ZwV5Hcvrjm3rH6sPfKWUMw85HfYnjn4nH6sgvPsT6KdThsqpZwYTjCEQLGCpyw9Uz4Bmy-bIi4WUvYETgN-TLwGUv3EPj63P1RkPH6Y" \h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响应报价</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准确性、综合因素响应不全面等问题的，由供应商自行承担相应后果。</w:t>
      </w:r>
    </w:p>
    <w:p w14:paraId="33E78189">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1.7.3采购人在现场考察或磋商前答疑会中介绍的项目场地和相关的周边环境情况，仅供供应商在编制响应文件时参考，采购人不对供应商据此作出的判断和决策负责。</w:t>
      </w:r>
    </w:p>
    <w:p w14:paraId="074D91B1">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1.7.4现场考察及磋商前答疑会所发生的费用及一切责任由供应商自行承担。</w:t>
      </w:r>
      <w:bookmarkStart w:id="68" w:name="BM1_8_样品"/>
      <w:bookmarkEnd w:id="68"/>
    </w:p>
    <w:p w14:paraId="27CFE743">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1.8样品</w:t>
      </w:r>
    </w:p>
    <w:p w14:paraId="21E86DEB">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1.8.1原则上采购人、采购代理机构不要求供应商提供样品。除仅凭书面方式不能准确描述采购需求，或者需要对样品进行主观判断以确认是否满足采购需求等特殊情况除外。</w:t>
      </w:r>
      <w:bookmarkStart w:id="69" w:name="BM1_9_适用法律"/>
      <w:bookmarkEnd w:id="69"/>
    </w:p>
    <w:p w14:paraId="4DC10120">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1.9适用法律</w:t>
      </w:r>
    </w:p>
    <w:p w14:paraId="03E0241B">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1.9.1本项目采购人、采购代理机构、供应商、磋商小组的相关行为均受《中华人民共和国政府采购法》《中华人民共和国政府采购法实施条例》《政府采购竞争性磋商采购方式管理暂行办法》财库〔2014〕214号文、《财政部关于政府采购竞争性磋商采购方式管理暂行办法有关问题的补充通知》财库〔2015〕124号文及本项目本级和上级财政部门政府采购有关规定的约束和保护。</w:t>
      </w:r>
      <w:bookmarkStart w:id="70" w:name="BM1_10_保密"/>
      <w:bookmarkEnd w:id="70"/>
    </w:p>
    <w:p w14:paraId="0CC9CE6F">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1.10保密</w:t>
      </w:r>
    </w:p>
    <w:p w14:paraId="52E2E57E">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参与采购活动的各方应对采购文件和响应文件中的商业和技术等秘密保密，违者应对由此造成的后果承担法律责任。</w:t>
      </w:r>
    </w:p>
    <w:p w14:paraId="157A1EBE">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71" w:name="BM2、采购文件"/>
      <w:bookmarkEnd w:id="71"/>
      <w:bookmarkStart w:id="72" w:name="_Toc30717"/>
      <w:bookmarkStart w:id="73" w:name="_Toc70524420"/>
      <w:bookmarkStart w:id="74" w:name="_Toc25608"/>
      <w:r>
        <w:rPr>
          <w:rFonts w:hint="eastAsia" w:asciiTheme="minorEastAsia" w:hAnsiTheme="minorEastAsia" w:eastAsiaTheme="minorEastAsia" w:cstheme="minorEastAsia"/>
          <w:color w:val="auto"/>
          <w:sz w:val="21"/>
          <w:szCs w:val="21"/>
          <w:highlight w:val="none"/>
        </w:rPr>
        <w:t>2、采购文件</w:t>
      </w:r>
      <w:bookmarkEnd w:id="72"/>
      <w:bookmarkEnd w:id="73"/>
      <w:bookmarkEnd w:id="74"/>
    </w:p>
    <w:p w14:paraId="6741505C">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75" w:name="BM2_1_采购文件构成"/>
      <w:bookmarkEnd w:id="75"/>
      <w:r>
        <w:rPr>
          <w:rFonts w:hint="eastAsia" w:asciiTheme="minorEastAsia" w:hAnsiTheme="minorEastAsia" w:eastAsiaTheme="minorEastAsia" w:cstheme="minorEastAsia"/>
          <w:b/>
          <w:bCs/>
          <w:color w:val="auto"/>
          <w:sz w:val="21"/>
          <w:szCs w:val="21"/>
          <w:highlight w:val="none"/>
        </w:rPr>
        <w:t>2.1采购文件构成</w:t>
      </w:r>
    </w:p>
    <w:p w14:paraId="6D65B6C3">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2.1.1采购文件共七章，构成如下：</w:t>
      </w:r>
    </w:p>
    <w:p w14:paraId="7E37ABD4">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第一章 竞争性磋商公告</w:t>
      </w:r>
    </w:p>
    <w:p w14:paraId="464C955C">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第二章 供应商须知</w:t>
      </w:r>
    </w:p>
    <w:p w14:paraId="08168B21">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第三章 采购需求</w:t>
      </w:r>
    </w:p>
    <w:p w14:paraId="018C4715">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第四章 磋商内容、磋商过程中可能实质性变动的内容</w:t>
      </w:r>
    </w:p>
    <w:p w14:paraId="37882E16">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第五章 磋商程序、评审方法和标准</w:t>
      </w:r>
    </w:p>
    <w:p w14:paraId="64FF8CFA">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第六章 合同条款及格式</w:t>
      </w:r>
    </w:p>
    <w:p w14:paraId="7AA6AB4A">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第七章 响应文件格式</w:t>
      </w:r>
    </w:p>
    <w:p w14:paraId="30E88092">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2.1.2采购文件中有不一致（或矛盾）的，有澄清的部分以最终的澄清更正内容为准；未澄清的，按照竞争性磋商公告、供应商须知、采购需求、“磋商程序、评审方法及评审标准”、合同条款及格式、响应文件格式的顺序进行解释，排名在前的具有优先解释权。第二章供应商须知中，如果</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的内容与供应商须知中的内容有不一致（或矛盾）的</w:t>
      </w:r>
      <w:r>
        <w:rPr>
          <w:rFonts w:hint="eastAsia" w:asciiTheme="minorEastAsia" w:hAnsiTheme="minorEastAsia" w:eastAsiaTheme="minorEastAsia" w:cstheme="minorEastAsia"/>
          <w:b/>
          <w:bCs/>
          <w:color w:val="auto"/>
          <w:sz w:val="21"/>
          <w:szCs w:val="21"/>
          <w:highlight w:val="none"/>
        </w:rPr>
        <w:t>以</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b/>
          <w:bCs/>
          <w:color w:val="auto"/>
          <w:sz w:val="21"/>
          <w:szCs w:val="21"/>
          <w:highlight w:val="none"/>
        </w:rPr>
        <w:t>为准</w:t>
      </w:r>
      <w:r>
        <w:rPr>
          <w:rFonts w:hint="eastAsia" w:asciiTheme="minorEastAsia" w:hAnsiTheme="minorEastAsia" w:eastAsiaTheme="minorEastAsia" w:cstheme="minorEastAsia"/>
          <w:color w:val="auto"/>
          <w:sz w:val="21"/>
          <w:szCs w:val="21"/>
          <w:highlight w:val="none"/>
        </w:rPr>
        <w:t>。</w:t>
      </w:r>
    </w:p>
    <w:p w14:paraId="117F0E0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供应商应认真阅读采购文件中所有的事项、格式、条款和技术规范等。如供应商没有按照采购文件要求提交全部资料，或者响应文件没有对采购文件的实质性要求做出响应，其响应文件将被认定为无效响应文件。</w:t>
      </w:r>
    </w:p>
    <w:p w14:paraId="0B22F3A1">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76" w:name="BM2_2_采购文件的澄清与修改"/>
      <w:bookmarkEnd w:id="76"/>
      <w:r>
        <w:rPr>
          <w:rFonts w:hint="eastAsia" w:asciiTheme="minorEastAsia" w:hAnsiTheme="minorEastAsia" w:eastAsiaTheme="minorEastAsia" w:cstheme="minorEastAsia"/>
          <w:b/>
          <w:bCs/>
          <w:color w:val="auto"/>
          <w:sz w:val="21"/>
          <w:szCs w:val="21"/>
          <w:highlight w:val="none"/>
        </w:rPr>
        <w:t>2.2采购文件的澄清与修改</w:t>
      </w:r>
    </w:p>
    <w:p w14:paraId="75CDBAB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2.2.1供应商应仔细阅读和检查采购文件的全部内容。如发现缺页或附件不全，应及时向采购人（或采购代理机构）提出，以便补齐。如有疑问，应在</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规定的时间在交易平台上进行提问，要求采购人对采购文件予以澄清。</w:t>
      </w:r>
    </w:p>
    <w:p w14:paraId="19D0824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采购人或采购代理机构可主动地或在解答供应商提出的澄清问题时对采购文件进行澄清或修改。采购代理机构将以发布澄清（更正）公告的方式，澄清或修改采购文件，澄清或修改的内容作为采购文件的组成部分。澄清或者修改的内容可能影响响应文件编制的，应当在递交首次响应文件截止时间至少3个工作日前，在原公告发布媒体上发布变更公告（或澄清公告），不足3个工作日的，应当顺延首次递交响应文件截止时间。</w:t>
      </w:r>
    </w:p>
    <w:p w14:paraId="58923656">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2.2.3采购文件的澄清将在</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规定的时间在交易平台上公布给供应商，但不指明澄清问题的来源。</w:t>
      </w:r>
    </w:p>
    <w:p w14:paraId="252FB2FD">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2.2.4采购人、采购代理机构对已发出的采购文件进行的澄清、更正或修改，澄清、更正或修改的内容将作为采购文件的组成部分。采购代理机构将通过公共资源交易中心交易平台“变更（澄清或更正）公告”和系统内部“答疑文件”告知供应商，各供应商须重新下载最新的答疑、变更（澄清或更正）文件，以此编制响应文件。</w:t>
      </w:r>
    </w:p>
    <w:p w14:paraId="600A13E3">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2.2.5</w:t>
      </w:r>
      <w:r>
        <w:rPr>
          <w:rFonts w:hint="eastAsia" w:asciiTheme="minorEastAsia" w:hAnsiTheme="minorEastAsia" w:eastAsiaTheme="minorEastAsia" w:cstheme="minorEastAsia"/>
          <w:b/>
          <w:bCs/>
          <w:color w:val="auto"/>
          <w:sz w:val="21"/>
          <w:szCs w:val="21"/>
          <w:highlight w:val="none"/>
        </w:rPr>
        <w:t>交易中心平台供应商信息在磋商开始前具有保密性，供应商在响应文件提交截止时间前应当自行查看项目进展、答疑、变更（澄清或更正）通知、澄清及回复，因供应商未及时查看而造成的后果自负。</w:t>
      </w:r>
    </w:p>
    <w:p w14:paraId="14B65DAB">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77" w:name="BM2_3_采购文件的解释"/>
      <w:bookmarkEnd w:id="77"/>
      <w:r>
        <w:rPr>
          <w:rFonts w:hint="eastAsia" w:asciiTheme="minorEastAsia" w:hAnsiTheme="minorEastAsia" w:eastAsiaTheme="minorEastAsia" w:cstheme="minorEastAsia"/>
          <w:b/>
          <w:bCs/>
          <w:color w:val="auto"/>
          <w:sz w:val="21"/>
          <w:szCs w:val="21"/>
          <w:highlight w:val="none"/>
        </w:rPr>
        <w:t>2.3采购文件的解释</w:t>
      </w:r>
    </w:p>
    <w:p w14:paraId="547E52F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文件的最终解释权归采购人，所有解释均依据本采购文件及有关的法律、法规；在磋商时，若出现采购文件无明确说明和处理的情况时，由磋商小组讨论确定处理方案；磋商小组成员之间对处理方案有争议时，采取少数服从多数的投票方式确定。</w:t>
      </w:r>
    </w:p>
    <w:p w14:paraId="7C526F2D">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78" w:name="BM2_4_响应文件提交截止时间的顺延"/>
      <w:bookmarkEnd w:id="78"/>
      <w:r>
        <w:rPr>
          <w:rFonts w:hint="eastAsia" w:asciiTheme="minorEastAsia" w:hAnsiTheme="minorEastAsia" w:eastAsiaTheme="minorEastAsia" w:cstheme="minorEastAsia"/>
          <w:b/>
          <w:bCs/>
          <w:color w:val="auto"/>
          <w:sz w:val="21"/>
          <w:szCs w:val="21"/>
          <w:highlight w:val="none"/>
        </w:rPr>
        <w:t>2.4响应文件提交截止时间的顺延</w:t>
      </w:r>
    </w:p>
    <w:p w14:paraId="59501E33">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为使供应商有足够的时间对采购文件的澄清或者修改部分进行研究而准备编制响应文件或因其他原因，采购人将依法决定是否顺延响应文件提交截止时间。</w:t>
      </w:r>
    </w:p>
    <w:p w14:paraId="09AACA45">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79" w:name="BM3、响应文件编制"/>
      <w:bookmarkEnd w:id="79"/>
      <w:bookmarkStart w:id="80" w:name="_Toc10448"/>
      <w:bookmarkStart w:id="81" w:name="_Toc70524421"/>
      <w:bookmarkStart w:id="82" w:name="_Toc1705"/>
      <w:r>
        <w:rPr>
          <w:rFonts w:hint="eastAsia" w:asciiTheme="minorEastAsia" w:hAnsiTheme="minorEastAsia" w:eastAsiaTheme="minorEastAsia" w:cstheme="minorEastAsia"/>
          <w:color w:val="auto"/>
          <w:sz w:val="21"/>
          <w:szCs w:val="21"/>
          <w:highlight w:val="none"/>
        </w:rPr>
        <w:t>3、响应文件编制</w:t>
      </w:r>
      <w:bookmarkEnd w:id="80"/>
      <w:bookmarkEnd w:id="81"/>
      <w:bookmarkEnd w:id="82"/>
    </w:p>
    <w:p w14:paraId="530C96D8">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83" w:name="BM3_1_供应商参加磋商的响应范围及响应文件中的标准和计量单位的使用"/>
      <w:bookmarkEnd w:id="83"/>
      <w:r>
        <w:rPr>
          <w:rFonts w:hint="eastAsia" w:asciiTheme="minorEastAsia" w:hAnsiTheme="minorEastAsia" w:eastAsiaTheme="minorEastAsia" w:cstheme="minorEastAsia"/>
          <w:b/>
          <w:bCs/>
          <w:color w:val="auto"/>
          <w:sz w:val="21"/>
          <w:szCs w:val="21"/>
          <w:highlight w:val="none"/>
        </w:rPr>
        <w:t>3.1供应商参加磋商的响应范围及响应文件中的标准和计量单位的使用</w:t>
      </w:r>
    </w:p>
    <w:p w14:paraId="65B7DD7D">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3.1.1采购项目分为两个及以上不同“包”或“标段”的，供应商可以同时参加各个“包”或“标段”的采购活动，除非在供应商须知前附表中另有规定。</w:t>
      </w:r>
    </w:p>
    <w:p w14:paraId="531CFA48">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3.1.2采购项目分为两个及以上不同“包”或“标段”的，供应商应当以采购文件中的“包”或“标段”为单位编制响应文件；供应商应当对所响应“包”或“标段”采购文件中的“采购需求”所列的所有采购内容进行响应及报价，如仅对“包”或“标段”中的部分内容进行响应（或报价），其该包（或标段）的响应文件将被认定为无效响应文件。竞争性磋商文件中允许的偏差除外。</w:t>
      </w:r>
    </w:p>
    <w:p w14:paraId="66F73B7C">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3.1.3无论采购文件中是否要求，供应商所提供的货物均应符合国家强制性标准。</w:t>
      </w:r>
    </w:p>
    <w:p w14:paraId="1703E3D2">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3.1.4除采购文件中有特殊要求外，响应文件中所使用的计量单位，应采用中华人民共和国法定计量单位。</w:t>
      </w:r>
    </w:p>
    <w:p w14:paraId="778FD7B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3.1.5</w:t>
      </w:r>
      <w:r>
        <w:rPr>
          <w:rFonts w:hint="eastAsia" w:asciiTheme="minorEastAsia" w:hAnsiTheme="minorEastAsia" w:eastAsiaTheme="minorEastAsia" w:cstheme="minorEastAsia"/>
          <w:b/>
          <w:bCs/>
          <w:color w:val="auto"/>
          <w:sz w:val="21"/>
          <w:szCs w:val="21"/>
          <w:highlight w:val="none"/>
        </w:rPr>
        <w:t>磋商语言文字</w:t>
      </w:r>
      <w:r>
        <w:rPr>
          <w:rFonts w:hint="eastAsia" w:asciiTheme="minorEastAsia" w:hAnsiTheme="minorEastAsia" w:eastAsiaTheme="minorEastAsia" w:cstheme="minorEastAsia"/>
          <w:color w:val="auto"/>
          <w:sz w:val="21"/>
          <w:szCs w:val="21"/>
          <w:highlight w:val="none"/>
        </w:rPr>
        <w:t>：响应文件以及供应商所有与采购人及采购代理机构就磋商来往的文件、资料均使用中文。如果供应商提供有外文资料应附有相应的中文译本，并以中文译本为准。</w:t>
      </w:r>
    </w:p>
    <w:p w14:paraId="4892A8BE">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84" w:name="BM3_2_响应文件组成"/>
      <w:bookmarkEnd w:id="84"/>
      <w:r>
        <w:rPr>
          <w:rFonts w:hint="eastAsia" w:asciiTheme="minorEastAsia" w:hAnsiTheme="minorEastAsia" w:eastAsiaTheme="minorEastAsia" w:cstheme="minorEastAsia"/>
          <w:b/>
          <w:bCs/>
          <w:color w:val="auto"/>
          <w:sz w:val="21"/>
          <w:szCs w:val="21"/>
          <w:highlight w:val="none"/>
        </w:rPr>
        <w:t>3.2响应文件组成</w:t>
      </w:r>
    </w:p>
    <w:p w14:paraId="028F0F4D">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3.2.1供应商应完整地按照采购文件第七章“响应文件格式”中提供的格式及要求编写响应文件，采购文件提供标准格式的按标准格式填列，未提供标准格式的可自行拟定。</w:t>
      </w:r>
    </w:p>
    <w:p w14:paraId="726B9C2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3.2.2具体详见采购文件第七章“响应文件格式”。响应文件中资格审查和符合性审查涉及的事项不满足采购文件要求的，其响应文件将被认定为无效响应文件。</w:t>
      </w:r>
    </w:p>
    <w:p w14:paraId="0E063F2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3.2.3电子响应文件的签字或盖章：供应商必须按照采购文件的要求签字、盖章或加盖电子章。</w:t>
      </w:r>
    </w:p>
    <w:p w14:paraId="66E788FC">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85" w:name="BM3_3__供应商证明所提供标的的合格性和符合采购文件规定的技术文件"/>
      <w:bookmarkEnd w:id="85"/>
      <w:r>
        <w:rPr>
          <w:rFonts w:hint="eastAsia" w:asciiTheme="minorEastAsia" w:hAnsiTheme="minorEastAsia" w:eastAsiaTheme="minorEastAsia" w:cstheme="minorEastAsia"/>
          <w:b/>
          <w:bCs/>
          <w:color w:val="auto"/>
          <w:sz w:val="21"/>
          <w:szCs w:val="21"/>
          <w:highlight w:val="none"/>
        </w:rPr>
        <w:t>3.3供应商证明所提供标的的合格性和符合采购文件规定的技术文件</w:t>
      </w:r>
    </w:p>
    <w:p w14:paraId="60B0E9C2">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3.3.1供应商应按采购文件中的具体要求提交证明文件，证明所提供标的符合采购文件的规定。该证明文件是响应文件的技术文件。</w:t>
      </w:r>
    </w:p>
    <w:p w14:paraId="394C0A3C">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3.3.2上款所述的证明文件，可以是文字资料、图纸和数据，包括：</w:t>
      </w:r>
    </w:p>
    <w:p w14:paraId="6651CF9E">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3.3.2.1货物主要技术指标和性能的详细说明；</w:t>
      </w:r>
    </w:p>
    <w:p w14:paraId="5FAD0132">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3.3.3供应商应注意采购人在采购文件中指出的材料和设备的品牌、型号仅起说明作用，并没有任何倾向性或限制性。评审时不以上述品牌、型号作为评审因素判定其响应文件是否为有效的标准。提供任何品牌的供应商均可依法参加本项目的采购活动。</w:t>
      </w:r>
    </w:p>
    <w:p w14:paraId="2169B857">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3.3.4若采购文件未明确要求提供相应技术证明文件的，供应商可不提供。</w:t>
      </w:r>
    </w:p>
    <w:p w14:paraId="7245712B">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86" w:name="BM3_4响应报价"/>
      <w:bookmarkEnd w:id="86"/>
      <w:r>
        <w:rPr>
          <w:rFonts w:hint="eastAsia" w:asciiTheme="minorEastAsia" w:hAnsiTheme="minorEastAsia" w:eastAsiaTheme="minorEastAsia" w:cstheme="minorEastAsia"/>
          <w:b/>
          <w:bCs/>
          <w:color w:val="auto"/>
          <w:sz w:val="21"/>
          <w:szCs w:val="21"/>
          <w:highlight w:val="none"/>
        </w:rPr>
        <w:t>3.4响应报价</w:t>
      </w:r>
    </w:p>
    <w:p w14:paraId="323B454A">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3.4.1供应商的响应报价（及最后报价）应当包括满足所响应“包”或“标段”所应提供的货物等全部内容（除非在供应商须知前附表中另有规定）。所有报价均应以人民币报价。供应商的报价应遵守《中华人民共和国价格法》。</w:t>
      </w:r>
    </w:p>
    <w:p w14:paraId="7E6488C8">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3.4.2供应商应参考采购人所提供的采购范围及工作内容、质量要求、采购预算等全部内容，结合本项目实际情况和供应商自身成本、市场行情等因素，自主报价。不得低于企业成本报价，且不得高于采购人给定的预算价或最高限价，否则响应文件将被认定为无效响应文件。</w:t>
      </w:r>
    </w:p>
    <w:p w14:paraId="4AF9CEA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3.4.3供应商应当按照采购文件提供的报价表格式如实填写各项货物的单价、分项总价和总报价。供应商应认真填报所有项目的单价和合价，响应文件中若有漏项、漏报，采购人视为供应商的报价在总报价中已经包括；供应商提交最后报价后，如果被确定为成交人，该供应商所报价格，在合同履行过程中是固定不变的，除因采购人原因引起的变更外，不予调整。供应商报价有算术错误的，其风险由供应商承担。</w:t>
      </w:r>
    </w:p>
    <w:p w14:paraId="52101F44">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3.4.4供应商的最后报价应当包括：所提供货物需要缴纳的所有税费的价格，所提供服务、培训和采购文件要求提供的其它内容等费用及交付采购人使用前发生的其它费用。</w:t>
      </w:r>
    </w:p>
    <w:p w14:paraId="6F0FB05C">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3.4.5除非采购文件另有规定，每一“包”或“标段”只允许有一个最后总报价，任何有选择的最后总报价或替代方案将导致响应文件无效。</w:t>
      </w:r>
    </w:p>
    <w:p w14:paraId="3D440A39">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3.4.6供应商在提交最后总报价后，不得以任何理由再对最后总报价予以修改，最后总报价在响应文件有效期内是固定的，除采购文件中约定的原因外，不能随意改变。</w:t>
      </w:r>
    </w:p>
    <w:p w14:paraId="3D566E9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3.4.7供应商在报价时应考虑期间的物价上涨，政策性调整等诸多因素以及由此引起的费用变动并计入总报价（包含最后总报价）。</w:t>
      </w:r>
    </w:p>
    <w:p w14:paraId="0C05DC57">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3.4.8采购人不接受具有附加条件的最后总报价或多个方案的最后总报价。</w:t>
      </w:r>
    </w:p>
    <w:p w14:paraId="4D2C5ED8">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3.4.9供应商的最后总报价应是采购人指定地点交付（全部货物内容）的包括交付前发生的各种税费、以及伴随的其它服务费总报价。</w:t>
      </w:r>
    </w:p>
    <w:p w14:paraId="78B1C2AA">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3.4.10供应商的最后总报价应是由供应商计算的完成采购文件中规定的全部工作内容所需一切费用的期望值。</w:t>
      </w:r>
    </w:p>
    <w:p w14:paraId="3BF6E3E4">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87" w:name="BM3_5_磋商保证金"/>
      <w:bookmarkEnd w:id="87"/>
      <w:r>
        <w:rPr>
          <w:rFonts w:hint="eastAsia" w:asciiTheme="minorEastAsia" w:hAnsiTheme="minorEastAsia" w:eastAsiaTheme="minorEastAsia" w:cstheme="minorEastAsia"/>
          <w:b/>
          <w:bCs/>
          <w:color w:val="auto"/>
          <w:sz w:val="21"/>
          <w:szCs w:val="21"/>
          <w:highlight w:val="none"/>
        </w:rPr>
        <w:t>3.5磋商保证金</w:t>
      </w:r>
    </w:p>
    <w:p w14:paraId="4997771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bookmarkStart w:id="88" w:name="BM3_6_响应文件有效期"/>
      <w:bookmarkEnd w:id="88"/>
      <w:r>
        <w:rPr>
          <w:rFonts w:hint="eastAsia" w:asciiTheme="minorEastAsia" w:hAnsiTheme="minorEastAsia" w:eastAsiaTheme="minorEastAsia" w:cstheme="minorEastAsia"/>
          <w:color w:val="auto"/>
          <w:sz w:val="21"/>
          <w:szCs w:val="21"/>
          <w:highlight w:val="none"/>
        </w:rPr>
        <w:t>见</w:t>
      </w:r>
      <w:r>
        <w:rPr>
          <w:rFonts w:hint="eastAsia" w:asciiTheme="minorEastAsia" w:hAnsiTheme="minorEastAsia" w:eastAsiaTheme="minorEastAsia" w:cstheme="minorEastAsia"/>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w:t>
      </w:r>
    </w:p>
    <w:p w14:paraId="24A22F28">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3.6响应文件有效期</w:t>
      </w:r>
    </w:p>
    <w:p w14:paraId="57A60EE9">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3.6.1响应文件应在供应商须知前附表中规定时间内保持有效。响应文件有效期不满足要求的响应文件，将被认定为无效响应文件。</w:t>
      </w:r>
    </w:p>
    <w:p w14:paraId="4630D7D0">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3.6.2因特殊原因，采购人或采购代理机构可在原响应文件有效期截止之前，要求供应商延长响应文件的有效期。接受该要求的供应商将不会被要求和允许修正其响应文件。供应商也可以拒绝延长响应文件有效期的要求，且不承担任何责任。上述要求和答复都应以书面形式提交。</w:t>
      </w:r>
    </w:p>
    <w:p w14:paraId="473DF256">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89" w:name="BM3_7_响应文件的制作"/>
      <w:bookmarkEnd w:id="89"/>
      <w:r>
        <w:rPr>
          <w:rFonts w:hint="eastAsia" w:asciiTheme="minorEastAsia" w:hAnsiTheme="minorEastAsia" w:eastAsiaTheme="minorEastAsia" w:cstheme="minorEastAsia"/>
          <w:b/>
          <w:bCs/>
          <w:color w:val="auto"/>
          <w:sz w:val="21"/>
          <w:szCs w:val="21"/>
          <w:highlight w:val="none"/>
        </w:rPr>
        <w:t>3.7响应文件的制作</w:t>
      </w:r>
    </w:p>
    <w:p w14:paraId="2902E60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3.7.1供应商在制作电子响应文件时，按照公共资源交易中心提供的“</w:t>
      </w:r>
      <w:r>
        <w:rPr>
          <w:rFonts w:hint="eastAsia" w:asciiTheme="minorEastAsia" w:hAnsiTheme="minorEastAsia" w:eastAsiaTheme="minorEastAsia" w:cstheme="minorEastAsia"/>
          <w:color w:val="auto"/>
          <w:sz w:val="21"/>
          <w:szCs w:val="21"/>
          <w:highlight w:val="none"/>
          <w:lang w:eastAsia="zh-CN"/>
        </w:rPr>
        <w:t>响应文件</w:t>
      </w:r>
      <w:r>
        <w:rPr>
          <w:rFonts w:hint="eastAsia" w:asciiTheme="minorEastAsia" w:hAnsiTheme="minorEastAsia" w:eastAsiaTheme="minorEastAsia" w:cstheme="minorEastAsia"/>
          <w:color w:val="auto"/>
          <w:sz w:val="21"/>
          <w:szCs w:val="21"/>
          <w:highlight w:val="none"/>
        </w:rPr>
        <w:t>制作工具”制作电子响应文件。具体查询公共资源交易中心网站主页→办事指南及下载专区。</w:t>
      </w:r>
    </w:p>
    <w:p w14:paraId="48C74BAE">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b/>
          <w:bCs/>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3.7.2响应文件格式所要求包含的全部资料应全部制作在响应文件内（格式中写明可以不提供的除外），严格按照本项目采购文件中提供的所有格式如实填写（不涉及的内容除外），不应存在漏项或缺项，否则将存在响应文件被拒绝的风险。</w:t>
      </w:r>
      <w:r>
        <w:rPr>
          <w:rFonts w:hint="eastAsia" w:asciiTheme="minorEastAsia" w:hAnsiTheme="minorEastAsia" w:eastAsiaTheme="minorEastAsia" w:cstheme="minorEastAsia"/>
          <w:b/>
          <w:bCs/>
          <w:color w:val="auto"/>
          <w:sz w:val="21"/>
          <w:szCs w:val="21"/>
          <w:highlight w:val="none"/>
          <w:u w:val="single"/>
        </w:rPr>
        <w:t>响应函（磋商函）及报价一览表，须严格按照格式编辑，并作为电子评审系统上传的依据。</w:t>
      </w:r>
    </w:p>
    <w:p w14:paraId="29F20FA2">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3.7.3供应商编辑电子响应文件时，根据采购文件要求用法人 CA 数字证书和企业 CA数字证书进行签章制作；最后一步生成电子响应文件时，只能用本单位的企业 CA数字证书。</w:t>
      </w:r>
    </w:p>
    <w:p w14:paraId="39396EEB">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3.7.4供应商须在响应文件提交截止时间前制作并提交响应文件。加密的电子响应文件，应在响应文件提交截止时间前通过“公共资源交易中心”电子交易平台内上传。</w:t>
      </w:r>
    </w:p>
    <w:p w14:paraId="24F5789D">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3.7.5加密的电子响应文件为“公共资源交易中心”网站提供的“</w:t>
      </w:r>
      <w:r>
        <w:rPr>
          <w:rFonts w:hint="eastAsia" w:asciiTheme="minorEastAsia" w:hAnsiTheme="minorEastAsia" w:eastAsiaTheme="minorEastAsia" w:cstheme="minorEastAsia"/>
          <w:color w:val="auto"/>
          <w:sz w:val="21"/>
          <w:szCs w:val="21"/>
          <w:highlight w:val="none"/>
          <w:lang w:eastAsia="zh-CN"/>
        </w:rPr>
        <w:t>响应文件</w:t>
      </w:r>
      <w:r>
        <w:rPr>
          <w:rFonts w:hint="eastAsia" w:asciiTheme="minorEastAsia" w:hAnsiTheme="minorEastAsia" w:eastAsiaTheme="minorEastAsia" w:cstheme="minorEastAsia"/>
          <w:color w:val="auto"/>
          <w:sz w:val="21"/>
          <w:szCs w:val="21"/>
          <w:highlight w:val="none"/>
        </w:rPr>
        <w:t>制作工具”软件制作生成的加密版响应文件。</w:t>
      </w:r>
    </w:p>
    <w:p w14:paraId="3EECDD45">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3.7.6响应文件的修改：供应商如果对响应文件进行了修改，则应在修改处加盖企业（单位）的电子签章。</w:t>
      </w:r>
    </w:p>
    <w:p w14:paraId="05F8D0BB">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90" w:name="BM4、响应文件的提交"/>
      <w:bookmarkEnd w:id="90"/>
      <w:bookmarkStart w:id="91" w:name="_Toc27310"/>
      <w:bookmarkStart w:id="92" w:name="_Toc21274"/>
      <w:bookmarkStart w:id="93" w:name="_Toc70524422"/>
      <w:r>
        <w:rPr>
          <w:rFonts w:hint="eastAsia" w:asciiTheme="minorEastAsia" w:hAnsiTheme="minorEastAsia" w:eastAsiaTheme="minorEastAsia" w:cstheme="minorEastAsia"/>
          <w:color w:val="auto"/>
          <w:sz w:val="21"/>
          <w:szCs w:val="21"/>
          <w:highlight w:val="none"/>
        </w:rPr>
        <w:t>4、响应文件的提交</w:t>
      </w:r>
      <w:bookmarkEnd w:id="91"/>
      <w:bookmarkEnd w:id="92"/>
      <w:bookmarkEnd w:id="93"/>
    </w:p>
    <w:p w14:paraId="38ED0C10">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94" w:name="BM4_1_响应文件的密封和标记"/>
      <w:bookmarkEnd w:id="94"/>
      <w:r>
        <w:rPr>
          <w:rFonts w:hint="eastAsia" w:asciiTheme="minorEastAsia" w:hAnsiTheme="minorEastAsia" w:eastAsiaTheme="minorEastAsia" w:cstheme="minorEastAsia"/>
          <w:b/>
          <w:bCs/>
          <w:color w:val="auto"/>
          <w:sz w:val="21"/>
          <w:szCs w:val="21"/>
          <w:highlight w:val="none"/>
        </w:rPr>
        <w:t>4.1响应文件的密封和标记</w:t>
      </w:r>
    </w:p>
    <w:p w14:paraId="20D6083D">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4.1.1因采用全程不见面磋商、评审方式，故电子响应文件按本采购文件第4.2.2条要求加密上传到指定平台。</w:t>
      </w:r>
    </w:p>
    <w:p w14:paraId="39751A3D">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95" w:name="BM4_2_响应文件提交截止时间"/>
      <w:bookmarkEnd w:id="95"/>
      <w:r>
        <w:rPr>
          <w:rFonts w:hint="eastAsia" w:asciiTheme="minorEastAsia" w:hAnsiTheme="minorEastAsia" w:eastAsiaTheme="minorEastAsia" w:cstheme="minorEastAsia"/>
          <w:b/>
          <w:bCs/>
          <w:color w:val="auto"/>
          <w:sz w:val="21"/>
          <w:szCs w:val="21"/>
          <w:highlight w:val="none"/>
        </w:rPr>
        <w:t>4.2响应文件提交截止时间</w:t>
      </w:r>
    </w:p>
    <w:p w14:paraId="07D78DE4">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4.2.1响应文件提交截止时间</w:t>
      </w:r>
      <w:r>
        <w:rPr>
          <w:rFonts w:hint="eastAsia" w:asciiTheme="minorEastAsia" w:hAnsiTheme="minorEastAsia" w:eastAsiaTheme="minorEastAsia" w:cstheme="minorEastAsia"/>
          <w:b/>
          <w:bCs/>
          <w:color w:val="auto"/>
          <w:sz w:val="21"/>
          <w:szCs w:val="21"/>
          <w:highlight w:val="none"/>
          <w:u w:val="single"/>
        </w:rPr>
        <w:t>见供应商须知前附表</w:t>
      </w:r>
      <w:r>
        <w:rPr>
          <w:rFonts w:hint="eastAsia" w:asciiTheme="minorEastAsia" w:hAnsiTheme="minorEastAsia" w:eastAsiaTheme="minorEastAsia" w:cstheme="minorEastAsia"/>
          <w:color w:val="auto"/>
          <w:sz w:val="21"/>
          <w:szCs w:val="21"/>
          <w:highlight w:val="none"/>
        </w:rPr>
        <w:t>。</w:t>
      </w:r>
    </w:p>
    <w:p w14:paraId="39AF8110">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4.2.2加密的电子响应文件应在响应文件提交截止时间前通过“公共资源交易中心”电子交易平台上传。</w:t>
      </w:r>
    </w:p>
    <w:p w14:paraId="75D6A2DF">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4.2.3采购人和采购代理机构可以按本章第2.2.2条、2.4条的规定，通过修改采购文件自行决定是否酌情延长响应文件提交截止时间的期限。如果采购人和采购代理机构延长了响应文件提交截止时间的期限，供应商提交响应文件的截止时间则以延长后的时间为准。</w:t>
      </w:r>
    </w:p>
    <w:p w14:paraId="2B895E35">
      <w:pPr>
        <w:pageBreakBefore w:val="0"/>
        <w:tabs>
          <w:tab w:val="left" w:pos="1664"/>
        </w:tabs>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4.2.4迟交的响应文件</w:t>
      </w:r>
    </w:p>
    <w:p w14:paraId="3941FC15">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采购人和采购代理机构将拒绝在规定的时间内未上传、未解密的响应文件。</w:t>
      </w:r>
      <w:bookmarkStart w:id="96" w:name="BM4_3__响应文件的提交、修改与撤回"/>
      <w:bookmarkEnd w:id="96"/>
    </w:p>
    <w:p w14:paraId="47362551">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4.3响应文件的提交、修改与撤回</w:t>
      </w:r>
    </w:p>
    <w:p w14:paraId="0A4B08DE">
      <w:pPr>
        <w:pageBreakBefore w:val="0"/>
        <w:tabs>
          <w:tab w:val="left" w:pos="1587"/>
        </w:tabs>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4.3.1响应文件的提交</w:t>
      </w:r>
    </w:p>
    <w:p w14:paraId="692FAA08">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4.3.1.1供应商应在响应文件提交截止时间前上传加密的电子响应文件到公共资源交易中心系统的指定位置。请供应商在上传时认真检查上传的响应文件是否完整、正确。</w:t>
      </w:r>
    </w:p>
    <w:p w14:paraId="4FB6A55B">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4.3.1.2供应商因交易中心投标系统问题无法上传电子响应文件时，请在工作时间与公共资源交易中心联系。</w:t>
      </w:r>
    </w:p>
    <w:p w14:paraId="2C98E55C">
      <w:pPr>
        <w:pageBreakBefore w:val="0"/>
        <w:tabs>
          <w:tab w:val="left" w:pos="1664"/>
        </w:tabs>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4.3.2响应文件的修改和撤回</w:t>
      </w:r>
    </w:p>
    <w:p w14:paraId="22CB62AF">
      <w:pPr>
        <w:pageBreakBefore w:val="0"/>
        <w:tabs>
          <w:tab w:val="left" w:pos="1664"/>
        </w:tabs>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4.3.2.1供应商在提交响应文件后，在响应文件提交截止时间之前可以修改或撤回其响应文件。</w:t>
      </w:r>
    </w:p>
    <w:p w14:paraId="08C49CEF">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4.3.2.2供应商在提交了最后报价之后至供应商在响应文件中载明的响应文件有效期满期间，供应商不得撤回（撤销）其响应文件。</w:t>
      </w:r>
    </w:p>
    <w:p w14:paraId="24221413">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97" w:name="BM5、磋商及评审"/>
      <w:bookmarkEnd w:id="97"/>
      <w:bookmarkStart w:id="98" w:name="_Toc31160"/>
      <w:bookmarkStart w:id="99" w:name="_Toc28798"/>
      <w:bookmarkStart w:id="100" w:name="_Toc70524423"/>
      <w:r>
        <w:rPr>
          <w:rFonts w:hint="eastAsia" w:asciiTheme="minorEastAsia" w:hAnsiTheme="minorEastAsia" w:eastAsiaTheme="minorEastAsia" w:cstheme="minorEastAsia"/>
          <w:color w:val="auto"/>
          <w:sz w:val="21"/>
          <w:szCs w:val="21"/>
          <w:highlight w:val="none"/>
        </w:rPr>
        <w:t>5、磋商及评审</w:t>
      </w:r>
      <w:bookmarkEnd w:id="98"/>
      <w:bookmarkEnd w:id="99"/>
      <w:bookmarkEnd w:id="100"/>
    </w:p>
    <w:p w14:paraId="711AF557">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01" w:name="BM5_1磋商会议"/>
      <w:bookmarkEnd w:id="101"/>
      <w:r>
        <w:rPr>
          <w:rFonts w:hint="eastAsia" w:asciiTheme="minorEastAsia" w:hAnsiTheme="minorEastAsia" w:eastAsiaTheme="minorEastAsia" w:cstheme="minorEastAsia"/>
          <w:b/>
          <w:bCs/>
          <w:color w:val="auto"/>
          <w:sz w:val="21"/>
          <w:szCs w:val="21"/>
          <w:highlight w:val="none"/>
        </w:rPr>
        <w:t>5.1磋商会议</w:t>
      </w:r>
    </w:p>
    <w:p w14:paraId="6DE143B2">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5.1.1采购人和采购代理机构将在“</w:t>
      </w:r>
      <w:r>
        <w:rPr>
          <w:rFonts w:hint="eastAsia" w:asciiTheme="minorEastAsia" w:hAnsiTheme="minorEastAsia" w:eastAsiaTheme="minorEastAsia" w:cstheme="minorEastAsia"/>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规定的时间和地点组织磋商会议。供应商无需到现场参加磋商会议，磋商会议采用“远程不见面”方式，供应商须在采购文件规定的响应文件提交截止时间前，登录远程开标大厅，在线准时参加磋商会议活动，并在规定的时间内对响应文件进行解密、答疑澄清（如需要）、最后报价等（</w:t>
      </w:r>
      <w:r>
        <w:rPr>
          <w:rFonts w:hint="eastAsia" w:asciiTheme="minorEastAsia" w:hAnsiTheme="minorEastAsia" w:eastAsiaTheme="minorEastAsia" w:cstheme="minorEastAsia"/>
          <w:b/>
          <w:bCs/>
          <w:color w:val="auto"/>
          <w:sz w:val="21"/>
          <w:szCs w:val="21"/>
          <w:highlight w:val="none"/>
        </w:rPr>
        <w:t>除非在</w:t>
      </w:r>
      <w:r>
        <w:rPr>
          <w:rFonts w:hint="eastAsia" w:asciiTheme="minorEastAsia" w:hAnsiTheme="minorEastAsia" w:eastAsiaTheme="minorEastAsia" w:cstheme="minorEastAsia"/>
          <w:b/>
          <w:bCs/>
          <w:color w:val="auto"/>
          <w:sz w:val="21"/>
          <w:szCs w:val="21"/>
          <w:highlight w:val="none"/>
          <w:u w:val="single"/>
        </w:rPr>
        <w:t>供应商须知前附表中另有规定</w:t>
      </w:r>
      <w:r>
        <w:rPr>
          <w:rFonts w:hint="eastAsia" w:asciiTheme="minorEastAsia" w:hAnsiTheme="minorEastAsia" w:eastAsiaTheme="minorEastAsia" w:cstheme="minorEastAsia"/>
          <w:color w:val="auto"/>
          <w:sz w:val="21"/>
          <w:szCs w:val="21"/>
          <w:highlight w:val="none"/>
        </w:rPr>
        <w:t>）。</w:t>
      </w:r>
    </w:p>
    <w:p w14:paraId="2B480FDE">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5.1.2供应商须在</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规定的时间内完成响应文件的解密。由于供应商的自身原因，在规定时间内解密不成功的，其响应文件将被拒绝。</w:t>
      </w:r>
    </w:p>
    <w:p w14:paraId="17F36197">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5.1.3供应商在“公共资源交易中心”网站下载采购文件成功后，如未在采购文件规定的“响应文件提交截止时间”前成功上传或误传加密的响应文件，而导致的解密失败，其响应文件将被拒绝。</w:t>
      </w:r>
    </w:p>
    <w:p w14:paraId="00451A21">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5.1.4供应商代表对磋商会议过程有疑义的，应当在磋商开始前通过交易系统提出询问。</w:t>
      </w:r>
    </w:p>
    <w:p w14:paraId="46C8F9FB">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5.1.5在</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规定的时间内完成响应文件解密的供应商不足3家的，将不再进行磋商（特殊情况除外）。</w:t>
      </w:r>
      <w:bookmarkStart w:id="102" w:name="BM5_2_组建磋商小组"/>
      <w:bookmarkEnd w:id="102"/>
    </w:p>
    <w:p w14:paraId="03DB087A">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5.2组建磋商小组</w:t>
      </w:r>
    </w:p>
    <w:p w14:paraId="243178D7">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5.2.1采购人与采购代理机构将按照《中华人民共和国政府采购法》《中华人民共和国政府采购法实施条例》《政府采购竞争性磋商采购方式管理暂行办法》财库〔2014〕214号文及本项目本级和上级财政部门的有关规定依法组建竞争性磋商小组（以下简称磋商小组），负责本项目的磋商及评审工作。</w:t>
      </w:r>
    </w:p>
    <w:p w14:paraId="431FD6E7">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5.2.2磋商小组由采购人代表和评审专家组成，成员人数为三人以上单数。其中，评审专家不得少于成员总数的三分之二。具体成员人数见</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w:t>
      </w:r>
    </w:p>
    <w:p w14:paraId="18BF801D">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03" w:name="BM5_3资格审查"/>
      <w:bookmarkEnd w:id="103"/>
      <w:r>
        <w:rPr>
          <w:rFonts w:hint="eastAsia" w:asciiTheme="minorEastAsia" w:hAnsiTheme="minorEastAsia" w:eastAsiaTheme="minorEastAsia" w:cstheme="minorEastAsia"/>
          <w:b/>
          <w:bCs/>
          <w:color w:val="auto"/>
          <w:sz w:val="21"/>
          <w:szCs w:val="21"/>
          <w:highlight w:val="none"/>
        </w:rPr>
        <w:t>5.3资格审查</w:t>
      </w:r>
    </w:p>
    <w:p w14:paraId="4681288E">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5.3.1磋商小组依据法律法规和采购文件中规定的内容，对供应商的资格（提交的资格证明材料见</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）进行审查。未通过资格审查的供应商不能进入下一阶段评审；通过资格审查的供应商不足3家的（特殊情况下不足2家的），不得进入下一阶段评审。</w:t>
      </w:r>
    </w:p>
    <w:p w14:paraId="27C04E8C">
      <w:pPr>
        <w:pStyle w:val="16"/>
        <w:pageBreakBefore w:val="0"/>
        <w:overflowPunct/>
        <w:topLinePunct w:val="0"/>
        <w:bidi w:val="0"/>
        <w:spacing w:after="0"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特殊情况：</w:t>
      </w:r>
      <w:r>
        <w:rPr>
          <w:rFonts w:hint="eastAsia" w:asciiTheme="minorEastAsia" w:hAnsiTheme="minorEastAsia" w:eastAsiaTheme="minorEastAsia" w:cstheme="minorEastAsia"/>
          <w:color w:val="auto"/>
          <w:sz w:val="21"/>
          <w:szCs w:val="21"/>
          <w:highlight w:val="none"/>
        </w:rPr>
        <w:t>采用竞争性磋商采购方式采购“市场竞争不充分的科研项目，以及需要扶持的科技成果转化项目”，通过资格审查的供应商不足2家的，不得进入下一阶段评审。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3E61E94">
      <w:pPr>
        <w:pStyle w:val="93"/>
        <w:pageBreakBefore w:val="0"/>
        <w:tabs>
          <w:tab w:val="left" w:pos="1774"/>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5.3.2采购人或采购代理机构将按照</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中规定的时间查询供应商的信用记录。供应商存在不良信用记录的，其响应文件将被认定为</w:t>
      </w:r>
      <w:r>
        <w:rPr>
          <w:rFonts w:hint="eastAsia" w:asciiTheme="minorEastAsia" w:hAnsiTheme="minorEastAsia" w:eastAsiaTheme="minorEastAsia" w:cstheme="minorEastAsia"/>
          <w:b/>
          <w:bCs/>
          <w:color w:val="auto"/>
          <w:sz w:val="21"/>
          <w:szCs w:val="21"/>
          <w:highlight w:val="none"/>
        </w:rPr>
        <w:t>无效响应文件</w:t>
      </w:r>
      <w:r>
        <w:rPr>
          <w:rFonts w:hint="eastAsia" w:asciiTheme="minorEastAsia" w:hAnsiTheme="minorEastAsia" w:eastAsiaTheme="minorEastAsia" w:cstheme="minorEastAsia"/>
          <w:color w:val="auto"/>
          <w:sz w:val="21"/>
          <w:szCs w:val="21"/>
          <w:highlight w:val="none"/>
        </w:rPr>
        <w:t>。</w:t>
      </w:r>
    </w:p>
    <w:p w14:paraId="25F64C3E">
      <w:pPr>
        <w:pStyle w:val="93"/>
        <w:keepNext w:val="0"/>
        <w:keepLines w:val="0"/>
        <w:pageBreakBefore w:val="0"/>
        <w:widowControl w:val="0"/>
        <w:tabs>
          <w:tab w:val="left" w:pos="1880"/>
        </w:tabs>
        <w:kinsoku/>
        <w:wordWrap w:val="0"/>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5.3.2.1供应商在中国政府采购</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"http://www.ccgp.gov.cn/" \h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网（www.ccgp.gov.cn</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）被列入政府采购严重违法失信行为信息记录名单，在“信用中国”网站（</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"http://www.creditchina.gov.cn/" \h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www.creditchina.gov.cn</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）被列入失信被执行人、重大税收违法失信主体，以及存在《中华人民共和国政府采购法实施条例》第十九条规定的行政处罚记录。</w:t>
      </w:r>
    </w:p>
    <w:p w14:paraId="0E25B712">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以联合体形式参加政府采购活动的，联合体任何成员存在以上不良信用记录的，联合体响应文件将被认定为无效响应文件。</w:t>
      </w:r>
    </w:p>
    <w:p w14:paraId="4006EE8D">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5.3.2.2查询及记录方式：</w:t>
      </w:r>
      <w:r>
        <w:rPr>
          <w:rFonts w:hint="eastAsia" w:asciiTheme="minorEastAsia" w:hAnsiTheme="minorEastAsia" w:eastAsiaTheme="minorEastAsia" w:cstheme="minorEastAsia"/>
          <w:b/>
          <w:bCs/>
          <w:color w:val="auto"/>
          <w:sz w:val="21"/>
          <w:szCs w:val="21"/>
          <w:highlight w:val="none"/>
        </w:rPr>
        <w:t>采购人或采购代理机构经办人</w:t>
      </w:r>
      <w:r>
        <w:rPr>
          <w:rFonts w:hint="eastAsia" w:asciiTheme="minorEastAsia" w:hAnsiTheme="minorEastAsia" w:eastAsiaTheme="minorEastAsia" w:cstheme="minorEastAsia"/>
          <w:color w:val="auto"/>
          <w:sz w:val="21"/>
          <w:szCs w:val="21"/>
          <w:highlight w:val="none"/>
        </w:rPr>
        <w:t>将查询网页打印并存档备查。供应商不良信用记录以</w:t>
      </w:r>
      <w:r>
        <w:rPr>
          <w:rFonts w:hint="eastAsia" w:asciiTheme="minorEastAsia" w:hAnsiTheme="minorEastAsia" w:eastAsiaTheme="minorEastAsia" w:cstheme="minorEastAsia"/>
          <w:b/>
          <w:bCs/>
          <w:color w:val="auto"/>
          <w:sz w:val="21"/>
          <w:szCs w:val="21"/>
          <w:highlight w:val="none"/>
        </w:rPr>
        <w:t>采购人或采购代理机构</w:t>
      </w:r>
      <w:r>
        <w:rPr>
          <w:rFonts w:hint="eastAsia" w:asciiTheme="minorEastAsia" w:hAnsiTheme="minorEastAsia" w:eastAsiaTheme="minorEastAsia" w:cstheme="minorEastAsia"/>
          <w:color w:val="auto"/>
          <w:sz w:val="21"/>
          <w:szCs w:val="21"/>
          <w:highlight w:val="none"/>
        </w:rPr>
        <w:t>查询结果为准。供应商自行提供的与网站信息不一致的其他证明材料亦不作为资格审查依据。在磋商文件规定的查询时间之外，网站信息发生的任何变更均不作为资格审查依据。</w:t>
      </w:r>
    </w:p>
    <w:p w14:paraId="0840672E">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04" w:name="BM5_4_响应文件符合性审查与澄清"/>
      <w:bookmarkEnd w:id="104"/>
      <w:r>
        <w:rPr>
          <w:rFonts w:hint="eastAsia" w:asciiTheme="minorEastAsia" w:hAnsiTheme="minorEastAsia" w:eastAsiaTheme="minorEastAsia" w:cstheme="minorEastAsia"/>
          <w:b/>
          <w:bCs/>
          <w:color w:val="auto"/>
          <w:sz w:val="21"/>
          <w:szCs w:val="21"/>
          <w:highlight w:val="none"/>
        </w:rPr>
        <w:t>5.4响应文件符合性审查与澄清</w:t>
      </w:r>
    </w:p>
    <w:p w14:paraId="1DEA7CCF">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5.4.1符合性审查是指依据采购文件的规定，从商务和技术角度对响应文件的有效性、完整性和响应程度进行审查，以确定是否对采购文件的实质性要求做出响应。供应商应当按照采购文件中的相关要求，提交符合性证明材料。未通过符合性审查的供应商不能进入下一阶段评审，其响应文件将被认定为无效响应文件；通过符合性审查的供应商数量不足3家的（特殊情况下不足2家的），不得作进一步的比较和评价。</w:t>
      </w:r>
    </w:p>
    <w:p w14:paraId="744E9864">
      <w:pPr>
        <w:pStyle w:val="16"/>
        <w:pageBreakBefore w:val="0"/>
        <w:overflowPunct/>
        <w:topLinePunct w:val="0"/>
        <w:bidi w:val="0"/>
        <w:spacing w:after="0"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特殊情况：</w:t>
      </w:r>
      <w:r>
        <w:rPr>
          <w:rFonts w:hint="eastAsia" w:asciiTheme="minorEastAsia" w:hAnsiTheme="minorEastAsia" w:eastAsiaTheme="minorEastAsia" w:cstheme="minorEastAsia"/>
          <w:color w:val="auto"/>
          <w:sz w:val="21"/>
          <w:szCs w:val="21"/>
          <w:highlight w:val="none"/>
        </w:rPr>
        <w:t>采用竞争性磋商采购方式采购“市场竞争不充分的科研项目，以及需要扶持的科技成果转化项目”，通过符合性审查的供应商不足2家的，不得进入下一阶段评审。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E345C25">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5.4.2响应文件的澄清</w:t>
      </w:r>
    </w:p>
    <w:p w14:paraId="7673F872">
      <w:pPr>
        <w:pStyle w:val="93"/>
        <w:pageBreakBefore w:val="0"/>
        <w:tabs>
          <w:tab w:val="left" w:pos="193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5.4.2.1在磋商期间，磋商小组可以书面要求供应商对其响应文件中含义不明确、同类问题表述不一致或者有明显文字和计算错误的内容等作必要的澄清、说明或更正。供应商的澄清、说明或更正应在磋商小组规定的时间内以书面方式进行，并不得超出响应文件范围或者改变响应文件的实质性内容。供应商拒不进行澄清、说明、更正的，或者不能在规定时间内作出书面澄清、说明、更正的，其响应文件将被作为无效响应文件处理。</w:t>
      </w:r>
    </w:p>
    <w:p w14:paraId="23732F8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要求供应商澄清、说明或者更正响应文件将以书面形式作出，并在交易系统中向供应商发出，供应商在收到该要求后，应在磋商小组规定时间内在交易系统中做出相应的回复，如果磋商小组在规定时间内没有收到供应商的回复则视为该供应商没有回复。</w:t>
      </w:r>
    </w:p>
    <w:p w14:paraId="3BD67E71">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5.4.2.2供应商应当在采购文件中确定的响应文件递交截止时间前，登录远程开标大厅，在线准时参加磋商活动并根据需要进行文件答疑澄清等。</w:t>
      </w:r>
    </w:p>
    <w:p w14:paraId="69D6C330">
      <w:pPr>
        <w:pStyle w:val="93"/>
        <w:pageBreakBefore w:val="0"/>
        <w:tabs>
          <w:tab w:val="left" w:pos="193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5.4.2.3供应商的澄清、说明或者更正应当加盖单位的电子签章及法定代表人（或单位负责人）的电子签章。供应商为自然人的，应当由本人签字并附身份证明。</w:t>
      </w:r>
    </w:p>
    <w:p w14:paraId="3445B081">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5.4.2.4响应文件的澄清、说明或者更正不得对响应文件的内容进行实质性修改。</w:t>
      </w:r>
    </w:p>
    <w:p w14:paraId="1C35179F">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5.4.2.5供应商的澄清、说明或更正将作为响应文件的一部分并取代响应文件中被澄清的部分。</w:t>
      </w:r>
    </w:p>
    <w:p w14:paraId="77916416">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05" w:name="BM5_5磋商"/>
      <w:bookmarkEnd w:id="105"/>
      <w:r>
        <w:rPr>
          <w:rFonts w:hint="eastAsia" w:asciiTheme="minorEastAsia" w:hAnsiTheme="minorEastAsia" w:eastAsiaTheme="minorEastAsia" w:cstheme="minorEastAsia"/>
          <w:b/>
          <w:bCs/>
          <w:color w:val="auto"/>
          <w:sz w:val="21"/>
          <w:szCs w:val="21"/>
          <w:highlight w:val="none"/>
        </w:rPr>
        <w:t>5.5磋商</w:t>
      </w:r>
    </w:p>
    <w:p w14:paraId="2487A825">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5.5.1磋商小组所有成员应当集中与单一供应商分别进行磋商。磋商小组将根据采购文件规定的程序、评定成交的标准等事项与实质性响应采购文件要求的供应商分别进行磋商。在磋商中，磋商的任何一方不得透露与磋商有关的其他供应商的技术资料、价格和其他信息。</w:t>
      </w:r>
    </w:p>
    <w:p w14:paraId="620E2027">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5.5.2在磋商过程中，磋商小组可以根据采购文件和磋商情况，经采购人代表确认后变动采购需求中的技术、服务要求以及合同草案条款等实质性内容，但不得变动磋商文件中的其他内容。</w:t>
      </w:r>
    </w:p>
    <w:p w14:paraId="7731224A">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5.5.3对采购文件作出实质性变动是采购文件的有效组成部分，磋商小组将及时以书面形式同时通知所有参加磋商的供应商。</w:t>
      </w:r>
    </w:p>
    <w:p w14:paraId="5B09D697">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5.5.4如果采购文件作出实质性变动，供应商应当按照采购文件的变动情况和磋商小组的要求重新提交响应文件，并按要求加盖电子签章，供应商为自然人的，应当由本人签字并附身份证明。</w:t>
      </w:r>
      <w:bookmarkStart w:id="106" w:name="BM5_6_最后报价"/>
      <w:bookmarkEnd w:id="106"/>
    </w:p>
    <w:p w14:paraId="75DA6CFF">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5.6最后报价</w:t>
      </w:r>
    </w:p>
    <w:p w14:paraId="391F6FBC">
      <w:pPr>
        <w:pStyle w:val="93"/>
        <w:pageBreakBefore w:val="0"/>
        <w:tabs>
          <w:tab w:val="left" w:pos="1879"/>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5.6.1采购文件能够详细列明采购标的的技术、服务要求的，磋商结束后，磋商小组将要求所有实质性响应的供应商在规定时间内提交最后报价。供应商在接到磋商小组的通知后，未在规定的时间内提交最后报价的，视为该供应商退出磋商。磋商小组将不再评审该供应商递交的响应文件。</w:t>
      </w:r>
    </w:p>
    <w:p w14:paraId="2378EF86">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B0154D7">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提交最后报价的供应商不得少于3家，本须知第5.6.2条规定的情形除外。</w:t>
      </w:r>
    </w:p>
    <w:p w14:paraId="1B945A83">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5.6.2采用竞争性磋商方式开展采购的“市场竞争不充分的科研项目，以及需要扶持的科技成果转化项目”，提交最后报价的供应商可以为2家。</w:t>
      </w:r>
    </w:p>
    <w:p w14:paraId="626A3074">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17786A3">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5.6.3最后报价是供应商响应文件的有效组成部分，且以最后报价为准。大写金额和小写金额不一致的，以大写金额为准；报价有算术错误的，其风险由供应商承担。</w:t>
      </w:r>
    </w:p>
    <w:p w14:paraId="66CF150F">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5.6.4已提交响应文件的供应商，在提交最后报价之前，可以根据磋商情况退出磋商，退出磋商不视为撤回响应文件，退出磋商不影响退出磋商的供应商对已经递交的响应文件承担法律、法规和采购文件中规定的相应责任。</w:t>
      </w:r>
    </w:p>
    <w:p w14:paraId="06737BA2">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5.6.5磋商小组认为某供应商的报价明显低于其他通过符合性审查供应商的报价，有可能影响产品质量或者不能诚信履约的，磋商小组将通过交易系统向该供应商发出通知，要求该供应商通过交易系统（接到通知后30分钟内）提供书面说明，并提交相关证明材料，供应商不能证明其报价合理性的，磋商小组将其响应文件作为</w:t>
      </w:r>
      <w:r>
        <w:rPr>
          <w:rFonts w:hint="eastAsia" w:asciiTheme="minorEastAsia" w:hAnsiTheme="minorEastAsia" w:eastAsiaTheme="minorEastAsia" w:cstheme="minorEastAsia"/>
          <w:b/>
          <w:bCs/>
          <w:color w:val="auto"/>
          <w:sz w:val="21"/>
          <w:szCs w:val="21"/>
          <w:highlight w:val="none"/>
        </w:rPr>
        <w:t>无效响应文件处理</w:t>
      </w:r>
      <w:r>
        <w:rPr>
          <w:rFonts w:hint="eastAsia" w:asciiTheme="minorEastAsia" w:hAnsiTheme="minorEastAsia" w:eastAsiaTheme="minorEastAsia" w:cstheme="minorEastAsia"/>
          <w:color w:val="auto"/>
          <w:sz w:val="21"/>
          <w:szCs w:val="21"/>
          <w:highlight w:val="none"/>
        </w:rPr>
        <w:t>。</w:t>
      </w:r>
    </w:p>
    <w:p w14:paraId="20C02BC5">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供应商的书面说明材料包含货物本身成本、人工费用、税费等，以及最后报价不会影响产品质量或诚信履约能力的说明等。</w:t>
      </w:r>
    </w:p>
    <w:p w14:paraId="1B40E918">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供应商的书面说明材料应当加盖供应商单位及法定代表人（或负责人）的电子签章，否则无效。</w:t>
      </w:r>
    </w:p>
    <w:p w14:paraId="69D793E3">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提供书面说明后，磋商小组应当结合采购项目采购需求、专业实际情况、供应商财务状况、与其他供应商比较情况等就供应商的书面说明进行审查评价。供应商如有下列情况的，磋商小组将其响应文件作为无效处理：</w:t>
      </w:r>
    </w:p>
    <w:p w14:paraId="52DC3B7A">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（1）拒绝或者变相拒绝提供有效书面说明；</w:t>
      </w:r>
    </w:p>
    <w:p w14:paraId="27AFDE65">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（2）书面说明不能证明其报价合理性的；</w:t>
      </w:r>
    </w:p>
    <w:p w14:paraId="56121BDA">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（3）书面说明或相关证明材料不被磋商小组认可的；</w:t>
      </w:r>
    </w:p>
    <w:p w14:paraId="649546D5">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（4）未在规定时间内提供书面说明或相关证明材料的。</w:t>
      </w:r>
      <w:bookmarkStart w:id="107" w:name="BM5_7_无效响应文件的规定"/>
      <w:bookmarkEnd w:id="107"/>
    </w:p>
    <w:p w14:paraId="22311E53">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5.7无效响应文件的规定</w:t>
      </w:r>
    </w:p>
    <w:p w14:paraId="3F402B62">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5.7.1在评审之前，根据采购文件的规定，磋商小组将审查每份响应文件是否实质性响应了采购文件的要求。供应商不得通过修正或撤销不符合要求的偏离，从而使其响应文件成为实质上响应采购文件。磋商小组决定响应文件是否符合要求是否实质性响应只根据采购文件要求、响应文件内容及政府采购的相关法律法规、财政主管部门的相关文件。</w:t>
      </w:r>
    </w:p>
    <w:p w14:paraId="6DA86166">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5.7.2如果响应文件没有对采购文件的实质性要求进行响应，将作为无效响应处理，供应商不得再对响应文件进行任何修正从而使其响应成为实质上响应。</w:t>
      </w:r>
    </w:p>
    <w:p w14:paraId="36F10272">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5.7.3如发现下列情况之一的，其响应文件将被认定为无效响应文件：</w:t>
      </w:r>
    </w:p>
    <w:p w14:paraId="4052C72F">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5.7.3.1供应商未按磋商文件要求签字或加盖电子签章的；</w:t>
      </w:r>
    </w:p>
    <w:p w14:paraId="014C9D0A">
      <w:pPr>
        <w:pStyle w:val="93"/>
        <w:pageBreakBefore w:val="0"/>
        <w:tabs>
          <w:tab w:val="left" w:pos="193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5.7.3.2供应商的报价超过了采购文件中规定的预算金额或者最高限价的；</w:t>
      </w:r>
    </w:p>
    <w:p w14:paraId="51CA5A83">
      <w:pPr>
        <w:pStyle w:val="93"/>
        <w:pageBreakBefore w:val="0"/>
        <w:tabs>
          <w:tab w:val="left" w:pos="193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5.7.3.3不具备采购文件中规定的资格要求的；</w:t>
      </w:r>
    </w:p>
    <w:p w14:paraId="1BECF273">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5.7.3.4不同供应商递交的响应文件制作机器码一致的；</w:t>
      </w:r>
    </w:p>
    <w:p w14:paraId="55F08A85">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5.7.3.5未满足采购文件中商务和技术条款的实质性要求；</w:t>
      </w:r>
    </w:p>
    <w:p w14:paraId="239ED81A">
      <w:pPr>
        <w:pStyle w:val="93"/>
        <w:pageBreakBefore w:val="0"/>
        <w:tabs>
          <w:tab w:val="left" w:pos="1880"/>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5.7.3.6属于供应商之间串通，或者依法被视为供应商之间串通；</w:t>
      </w:r>
    </w:p>
    <w:p w14:paraId="207685E2">
      <w:pPr>
        <w:pStyle w:val="93"/>
        <w:pageBreakBefore w:val="0"/>
        <w:tabs>
          <w:tab w:val="left" w:pos="193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5.7.3.7磋商小组认为供应商的报价明显低于其他符合要求供应商的报价，有可能影响履约的，且供应商未按照磋商小组要求提供证明其报价合理性的相关材料；</w:t>
      </w:r>
    </w:p>
    <w:p w14:paraId="7612486C">
      <w:pPr>
        <w:pStyle w:val="93"/>
        <w:pageBreakBefore w:val="0"/>
        <w:tabs>
          <w:tab w:val="left" w:pos="193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5.7.3.8响应文件含有采购人不能接受的附加条件的；</w:t>
      </w:r>
    </w:p>
    <w:p w14:paraId="058D783C">
      <w:pPr>
        <w:pStyle w:val="93"/>
        <w:pageBreakBefore w:val="0"/>
        <w:tabs>
          <w:tab w:val="left" w:pos="1932"/>
        </w:tabs>
        <w:overflowPunct/>
        <w:topLinePunct w:val="0"/>
        <w:bidi w:val="0"/>
        <w:spacing w:line="360" w:lineRule="auto"/>
        <w:ind w:firstLine="48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5.7.3.9属于法律、法规和采购文件中规定的其他无效响应情形的。</w:t>
      </w:r>
      <w:bookmarkStart w:id="108" w:name="BM5_8_响应文件的评审"/>
      <w:bookmarkEnd w:id="108"/>
    </w:p>
    <w:p w14:paraId="292C2E5D">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5.8响应文件的评审</w:t>
      </w:r>
    </w:p>
    <w:p w14:paraId="635943A6">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5.8.1磋商小组成员将按照客观、公正、审慎的原则，根据采购文件规定的评审程序、评审方法和评审标准进行独立评审。经符合性审查合格的响应文件，磋商小组将对其技术部分和商务部分作进一步的评审。未实质性响应采购文件的响应文件按无效响应处理，磋商小组将告知提交响应文件的供应商。</w:t>
      </w:r>
    </w:p>
    <w:p w14:paraId="714A1E76">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经磋商确定最终采购需求和提交最后报价的供应商后，由磋商小组采用综合评分法对提交最后报价的供应商的响应文件和最后报价进行综合评分。</w:t>
      </w:r>
    </w:p>
    <w:p w14:paraId="17E8ABB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时，磋商小组各成员应当独立对每个有效响应的文件进行评价、打分，然后汇总每个供应商每项评分因素的得分。以磋商小组所有成员打分的算数平均值作为供应商的最终得分，按最终得分由高到低的顺序推荐成交候选人。分值计算保留小数点后两位，第三位四舍五入。</w:t>
      </w:r>
    </w:p>
    <w:p w14:paraId="1DA23387">
      <w:pPr>
        <w:pStyle w:val="93"/>
        <w:pageBreakBefore w:val="0"/>
        <w:tabs>
          <w:tab w:val="left" w:pos="167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5.8.2评审严格按照采购文件的要求和标准进行，采用综合评分法进行评审。详细评审标准见采购文件磋商程序、评审方法及评审标准；</w:t>
      </w:r>
    </w:p>
    <w:p w14:paraId="590F656E">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综合评分法，是指响应文件满足磋商文件全部实质性要求且按评审因素的量化指标评审得分最高的供应商为成交候选供应商的评审方法。</w:t>
      </w:r>
    </w:p>
    <w:p w14:paraId="401922EA">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09" w:name="BM5_9_采购文件执行的政府采购政策"/>
      <w:bookmarkEnd w:id="109"/>
      <w:r>
        <w:rPr>
          <w:rFonts w:hint="eastAsia" w:asciiTheme="minorEastAsia" w:hAnsiTheme="minorEastAsia" w:eastAsiaTheme="minorEastAsia" w:cstheme="minorEastAsia"/>
          <w:b/>
          <w:bCs/>
          <w:color w:val="auto"/>
          <w:sz w:val="21"/>
          <w:szCs w:val="21"/>
          <w:highlight w:val="none"/>
        </w:rPr>
        <w:t>5.9采购文件执行的政府采购政策</w:t>
      </w:r>
    </w:p>
    <w:p w14:paraId="1AE6E30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本项目需要执行的政府采购政策：详见采购文件第五章磋商程序、评审方法及评审标准。</w:t>
      </w:r>
    </w:p>
    <w:p w14:paraId="688C4406">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10" w:name="BM5_10终止本次磋商"/>
      <w:bookmarkEnd w:id="110"/>
      <w:r>
        <w:rPr>
          <w:rFonts w:hint="eastAsia" w:asciiTheme="minorEastAsia" w:hAnsiTheme="minorEastAsia" w:eastAsiaTheme="minorEastAsia" w:cstheme="minorEastAsia"/>
          <w:b/>
          <w:bCs/>
          <w:color w:val="auto"/>
          <w:sz w:val="21"/>
          <w:szCs w:val="21"/>
          <w:highlight w:val="none"/>
        </w:rPr>
        <w:t>5.10终止本次磋商</w:t>
      </w:r>
    </w:p>
    <w:p w14:paraId="2789196D">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出现下列情形之一的，采购人或采购代理机构应当终止本次竞争性磋商。</w:t>
      </w:r>
    </w:p>
    <w:p w14:paraId="52D6C91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（1）因情况变化，不再符合规定的竞争性磋商采购方式适用情形的；</w:t>
      </w:r>
    </w:p>
    <w:p w14:paraId="491FBCB8">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（2）出现影响采购公正的违法、违规行为的；</w:t>
      </w:r>
    </w:p>
    <w:p w14:paraId="571FCD17">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（3）在采购过程中符合要求的供应商不足3家的（特殊情况下为不足2家的）。</w:t>
      </w:r>
    </w:p>
    <w:p w14:paraId="30BB4E2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（4）因重大变故，采购任务取消的。</w:t>
      </w:r>
    </w:p>
    <w:p w14:paraId="7E0BF7D4">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11" w:name="BM5_11保密要求"/>
      <w:bookmarkEnd w:id="111"/>
      <w:r>
        <w:rPr>
          <w:rFonts w:hint="eastAsia" w:asciiTheme="minorEastAsia" w:hAnsiTheme="minorEastAsia" w:eastAsiaTheme="minorEastAsia" w:cstheme="minorEastAsia"/>
          <w:b/>
          <w:bCs/>
          <w:color w:val="auto"/>
          <w:sz w:val="21"/>
          <w:szCs w:val="21"/>
          <w:highlight w:val="none"/>
        </w:rPr>
        <w:t>5.11保密要求</w:t>
      </w:r>
    </w:p>
    <w:p w14:paraId="0DAA93CF">
      <w:pPr>
        <w:pStyle w:val="93"/>
        <w:pageBreakBefore w:val="0"/>
        <w:tabs>
          <w:tab w:val="left" w:pos="1826"/>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5.11.1评审将在严格保密的情况下进行。</w:t>
      </w:r>
    </w:p>
    <w:p w14:paraId="7895DB91">
      <w:pPr>
        <w:pStyle w:val="93"/>
        <w:pageBreakBefore w:val="0"/>
        <w:tabs>
          <w:tab w:val="left" w:pos="1777"/>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5.11.2有关人员应当遵守评审工作纪律，不得泄露评审文件、评审情况和评审过程中获悉的国家秘密、商业秘密。</w:t>
      </w:r>
    </w:p>
    <w:p w14:paraId="0908134E">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12" w:name="BM6、确定成交供应商"/>
      <w:bookmarkEnd w:id="112"/>
      <w:bookmarkStart w:id="113" w:name="_Toc10045"/>
      <w:bookmarkStart w:id="114" w:name="_Toc70524424"/>
      <w:bookmarkStart w:id="115" w:name="_Toc25473"/>
      <w:r>
        <w:rPr>
          <w:rFonts w:hint="eastAsia" w:asciiTheme="minorEastAsia" w:hAnsiTheme="minorEastAsia" w:eastAsiaTheme="minorEastAsia" w:cstheme="minorEastAsia"/>
          <w:color w:val="auto"/>
          <w:sz w:val="21"/>
          <w:szCs w:val="21"/>
          <w:highlight w:val="none"/>
        </w:rPr>
        <w:t>6、确定成交供应商</w:t>
      </w:r>
      <w:bookmarkEnd w:id="113"/>
      <w:bookmarkEnd w:id="114"/>
      <w:bookmarkEnd w:id="115"/>
    </w:p>
    <w:p w14:paraId="65F25787">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16" w:name="BM6_1_成交候选供应商的确定原则及标准"/>
      <w:bookmarkEnd w:id="116"/>
      <w:r>
        <w:rPr>
          <w:rFonts w:hint="eastAsia" w:asciiTheme="minorEastAsia" w:hAnsiTheme="minorEastAsia" w:eastAsiaTheme="minorEastAsia" w:cstheme="minorEastAsia"/>
          <w:b/>
          <w:bCs/>
          <w:color w:val="auto"/>
          <w:sz w:val="21"/>
          <w:szCs w:val="21"/>
          <w:highlight w:val="none"/>
        </w:rPr>
        <w:t>6.1成交候选供应商的确定原则及标准</w:t>
      </w:r>
    </w:p>
    <w:p w14:paraId="438E7151">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6.1.1除第6.3条规定外，磋商结束后，除了算数修正和落实政府采购政策需进行的价格扣除外，不对供应商的最后报价进行任何调整。评审结果按照得分由高至低的顺序排序。得分相同的，按修正和扣除后的最后报价由低到高顺序排列。具体处理办法详见磋商程序、评审方法及评审标准。</w:t>
      </w:r>
    </w:p>
    <w:p w14:paraId="5B9366DB">
      <w:pPr>
        <w:pStyle w:val="93"/>
        <w:pageBreakBefore w:val="0"/>
        <w:tabs>
          <w:tab w:val="left" w:pos="1776"/>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6.1.2磋商小组将按</w:t>
      </w:r>
      <w:r>
        <w:rPr>
          <w:rFonts w:hint="eastAsia" w:asciiTheme="minorEastAsia" w:hAnsiTheme="minorEastAsia" w:eastAsiaTheme="minorEastAsia" w:cstheme="minorEastAsia"/>
          <w:b/>
          <w:bCs/>
          <w:color w:val="auto"/>
          <w:sz w:val="21"/>
          <w:szCs w:val="21"/>
          <w:highlight w:val="none"/>
          <w:u w:val="single"/>
        </w:rPr>
        <w:t>供应商须知表</w:t>
      </w:r>
      <w:r>
        <w:rPr>
          <w:rFonts w:hint="eastAsia" w:asciiTheme="minorEastAsia" w:hAnsiTheme="minorEastAsia" w:eastAsiaTheme="minorEastAsia" w:cstheme="minorEastAsia"/>
          <w:color w:val="auto"/>
          <w:sz w:val="21"/>
          <w:szCs w:val="21"/>
          <w:highlight w:val="none"/>
        </w:rPr>
        <w:t>中规定的数量推荐成交候选供应商或按</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中规定，由采购人或磋商小组直接确定成交供应商。</w:t>
      </w:r>
    </w:p>
    <w:p w14:paraId="57002C59">
      <w:pPr>
        <w:pStyle w:val="93"/>
        <w:pageBreakBefore w:val="0"/>
        <w:tabs>
          <w:tab w:val="left" w:pos="1721"/>
        </w:tabs>
        <w:overflowPunct/>
        <w:topLinePunct w:val="0"/>
        <w:bidi w:val="0"/>
        <w:spacing w:line="360" w:lineRule="auto"/>
        <w:ind w:firstLine="48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6.1.3因推荐成交候选供应商名单产生其他问题，由磋商小组集体研究处理。</w:t>
      </w:r>
      <w:bookmarkStart w:id="117" w:name="BM6_2_确定成交供应商"/>
      <w:bookmarkEnd w:id="117"/>
    </w:p>
    <w:p w14:paraId="139109E0">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6.2确定成交供应商</w:t>
      </w:r>
    </w:p>
    <w:p w14:paraId="432B8517">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6.2.1采购人在收到评审报告5个工作日内，从评审报告提出的成交候选供应商中，根据质量和服务均能满足采购文件实质性响应要求且综合得分最高的原则确定成交供应商，也可以书面授权磋商小组直接确定成交供应商。本项目成交供应商确定方式详见</w:t>
      </w:r>
      <w:r>
        <w:rPr>
          <w:rFonts w:hint="eastAsia" w:asciiTheme="minorEastAsia" w:hAnsiTheme="minorEastAsia" w:eastAsiaTheme="minorEastAsia" w:cstheme="minorEastAsia"/>
          <w:b/>
          <w:bCs/>
          <w:color w:val="auto"/>
          <w:sz w:val="21"/>
          <w:szCs w:val="21"/>
          <w:highlight w:val="none"/>
          <w:u w:val="single"/>
        </w:rPr>
        <w:t>供应商须知表6.2.1条</w:t>
      </w:r>
      <w:r>
        <w:rPr>
          <w:rFonts w:hint="eastAsia" w:asciiTheme="minorEastAsia" w:hAnsiTheme="minorEastAsia" w:eastAsiaTheme="minorEastAsia" w:cstheme="minorEastAsia"/>
          <w:color w:val="auto"/>
          <w:sz w:val="21"/>
          <w:szCs w:val="21"/>
          <w:highlight w:val="none"/>
        </w:rPr>
        <w:t>。</w:t>
      </w:r>
    </w:p>
    <w:p w14:paraId="5EBF81F2">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18" w:name="BM6_3采购任务取消"/>
      <w:bookmarkEnd w:id="118"/>
      <w:r>
        <w:rPr>
          <w:rFonts w:hint="eastAsia" w:asciiTheme="minorEastAsia" w:hAnsiTheme="minorEastAsia" w:eastAsiaTheme="minorEastAsia" w:cstheme="minorEastAsia"/>
          <w:b/>
          <w:bCs/>
          <w:color w:val="auto"/>
          <w:sz w:val="21"/>
          <w:szCs w:val="21"/>
          <w:highlight w:val="none"/>
        </w:rPr>
        <w:t>6.3采购任务取消</w:t>
      </w:r>
    </w:p>
    <w:p w14:paraId="5C916E54">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因重大变故采购任务取消时，采购人有权拒绝任何供应商成交，且对受影响的供应商不承担任何责任。</w:t>
      </w:r>
    </w:p>
    <w:p w14:paraId="2D2E242F">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19" w:name="BM6_4_发出成交通知书"/>
      <w:bookmarkEnd w:id="119"/>
      <w:r>
        <w:rPr>
          <w:rFonts w:hint="eastAsia" w:asciiTheme="minorEastAsia" w:hAnsiTheme="minorEastAsia" w:eastAsiaTheme="minorEastAsia" w:cstheme="minorEastAsia"/>
          <w:b/>
          <w:bCs/>
          <w:color w:val="auto"/>
          <w:sz w:val="21"/>
          <w:szCs w:val="21"/>
          <w:highlight w:val="none"/>
        </w:rPr>
        <w:t>6.4发出成交通知书</w:t>
      </w:r>
    </w:p>
    <w:p w14:paraId="6AA40E5D">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采购人或者采购代理机构应当在成交供应商确定之日起2个工作日内，在相关网站公告成交结果，同时向成交供应商发出成交通知书，成交通知书是合同的组成部分。</w:t>
      </w:r>
    </w:p>
    <w:p w14:paraId="3F23BDBF">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20" w:name="BM7、签订合同"/>
      <w:bookmarkEnd w:id="120"/>
      <w:bookmarkStart w:id="121" w:name="_Toc70524425"/>
      <w:bookmarkStart w:id="122" w:name="_Toc11003"/>
      <w:bookmarkStart w:id="123" w:name="_Toc2321"/>
      <w:r>
        <w:rPr>
          <w:rFonts w:hint="eastAsia" w:asciiTheme="minorEastAsia" w:hAnsiTheme="minorEastAsia" w:eastAsiaTheme="minorEastAsia" w:cstheme="minorEastAsia"/>
          <w:color w:val="auto"/>
          <w:sz w:val="21"/>
          <w:szCs w:val="21"/>
          <w:highlight w:val="none"/>
        </w:rPr>
        <w:t>7、签订合同</w:t>
      </w:r>
      <w:bookmarkEnd w:id="121"/>
      <w:bookmarkEnd w:id="122"/>
      <w:bookmarkEnd w:id="123"/>
    </w:p>
    <w:p w14:paraId="27E308CA">
      <w:pPr>
        <w:pStyle w:val="93"/>
        <w:pageBreakBefore w:val="0"/>
        <w:tabs>
          <w:tab w:val="left" w:pos="156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7.1成交供应商应当自发出成交通知书之日起15日历天内（另有规定的除外），按照采购文件确定的合同文本以及采购标的、规格型号、采购金额、采购数量、技术和服务要求等事项与采购人签订政府采购合同。</w:t>
      </w:r>
    </w:p>
    <w:p w14:paraId="12A6D16C">
      <w:pPr>
        <w:pStyle w:val="93"/>
        <w:pageBreakBefore w:val="0"/>
        <w:tabs>
          <w:tab w:val="left" w:pos="151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7.2除不可抗力等因素外，成交通知书发出后，采购人改变成交结果，或者成交供应商拒绝签订政府采购合同的，应当承担相应的法律责任。</w:t>
      </w:r>
    </w:p>
    <w:p w14:paraId="7C73B797">
      <w:pPr>
        <w:pStyle w:val="93"/>
        <w:pageBreakBefore w:val="0"/>
        <w:tabs>
          <w:tab w:val="left" w:pos="151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7.3采购文件、成交供应商的响应文件及其澄清文件等，均为签订合同的依据。所签订的合同不得对采购文件确定的事项和成交供应商响应文件作实质性修改。采购人不得向成交供应商提出超出采购文件以外的任何不合理的要求，作为签订合同的条件，不得与成交供应商订立背离采购文件确定的合同文本以及采购标的、规格型号、采购金额、采购数量、技术和服务要求等实质性内容的协议。</w:t>
      </w:r>
    </w:p>
    <w:p w14:paraId="487AF339">
      <w:pPr>
        <w:pStyle w:val="93"/>
        <w:pageBreakBefore w:val="0"/>
        <w:tabs>
          <w:tab w:val="left" w:pos="151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7.4如成交供应商拒绝与采购人签订合同的，成交供应商须按“供应商参加磋商采购活动的承诺书”中的承诺内容向采购人和采购代理机构支付赔偿；采购人可以按照评审报告推荐的成交候选供应商名单排序，确定下一成交候选供应商为成交供应商，也可以重新开展政府采购活动。拒绝签订政府采购合同的成交供应商不得参加对该项目重新开展的采购活动。</w:t>
      </w:r>
    </w:p>
    <w:p w14:paraId="149092D8">
      <w:pPr>
        <w:pStyle w:val="93"/>
        <w:pageBreakBefore w:val="0"/>
        <w:tabs>
          <w:tab w:val="left" w:pos="151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7.5当出现法律法规规定的成交无效或成交结果无效情形时，采购人可以按照评审报告推荐的成交候选供应商名单排序，确定下一成交候选供应商为成交供应商，也可以重新开展政府采购活动。</w:t>
      </w:r>
    </w:p>
    <w:p w14:paraId="6304C884">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24" w:name="BM8、履约保证金"/>
      <w:bookmarkEnd w:id="124"/>
      <w:bookmarkStart w:id="125" w:name="_Toc14535"/>
      <w:bookmarkStart w:id="126" w:name="_Toc27023"/>
      <w:bookmarkStart w:id="127" w:name="_Toc70524426"/>
      <w:r>
        <w:rPr>
          <w:rFonts w:hint="eastAsia" w:asciiTheme="minorEastAsia" w:hAnsiTheme="minorEastAsia" w:eastAsiaTheme="minorEastAsia" w:cstheme="minorEastAsia"/>
          <w:color w:val="auto"/>
          <w:sz w:val="21"/>
          <w:szCs w:val="21"/>
          <w:highlight w:val="none"/>
        </w:rPr>
        <w:t>8、履约保证金</w:t>
      </w:r>
      <w:bookmarkEnd w:id="125"/>
      <w:bookmarkEnd w:id="126"/>
      <w:bookmarkEnd w:id="127"/>
    </w:p>
    <w:p w14:paraId="05BA279E">
      <w:pPr>
        <w:pStyle w:val="93"/>
        <w:pageBreakBefore w:val="0"/>
        <w:tabs>
          <w:tab w:val="left" w:pos="151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8.1如果需要交纳履约保证金，成交供应商应按照</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中的规定向采购人提供履约保证金。经采购人同意，成交供应商也可以自愿采用其他履约保证金的提供方式。</w:t>
      </w:r>
    </w:p>
    <w:p w14:paraId="11E21A5F">
      <w:pPr>
        <w:pStyle w:val="93"/>
        <w:pageBreakBefore w:val="0"/>
        <w:tabs>
          <w:tab w:val="left" w:pos="151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8.2政府采购利用担保试点范围内的项目，成交供应商也可以按照财政部门的规定，向采购人提供合格的履约担保函。</w:t>
      </w:r>
    </w:p>
    <w:p w14:paraId="6CB14212">
      <w:pPr>
        <w:pStyle w:val="93"/>
        <w:pageBreakBefore w:val="0"/>
        <w:tabs>
          <w:tab w:val="left" w:pos="151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8.3如果成交供应商没有按照上述履约保证金的规定执行，将视为拒绝签订合同并放弃成交资格，应当按照《供应商参加磋商采购活动的承诺书》中的承诺向采购人和采购代理机构支付赔偿。在此情况下，采购人可确定下一成交候选供应商为成交供应商，也可以重新开展采购活动。</w:t>
      </w:r>
    </w:p>
    <w:p w14:paraId="7A574B89">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28" w:name="BM9、预付款"/>
      <w:bookmarkEnd w:id="128"/>
      <w:bookmarkStart w:id="129" w:name="_Toc17500"/>
      <w:bookmarkStart w:id="130" w:name="_Toc13287"/>
      <w:bookmarkStart w:id="131" w:name="_Toc70524427"/>
      <w:r>
        <w:rPr>
          <w:rFonts w:hint="eastAsia" w:asciiTheme="minorEastAsia" w:hAnsiTheme="minorEastAsia" w:eastAsiaTheme="minorEastAsia" w:cstheme="minorEastAsia"/>
          <w:color w:val="auto"/>
          <w:sz w:val="21"/>
          <w:szCs w:val="21"/>
          <w:highlight w:val="none"/>
        </w:rPr>
        <w:t>9、预付款</w:t>
      </w:r>
      <w:bookmarkEnd w:id="129"/>
      <w:bookmarkEnd w:id="130"/>
      <w:bookmarkEnd w:id="131"/>
    </w:p>
    <w:p w14:paraId="1FF1AF59">
      <w:pPr>
        <w:pStyle w:val="93"/>
        <w:pageBreakBefore w:val="0"/>
        <w:tabs>
          <w:tab w:val="left" w:pos="151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9.1预付款是在指政府采购合同签订后、履行前，采购人向成交供应商预先支付部分合同款项，预付款比例按照</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规定执行。</w:t>
      </w:r>
    </w:p>
    <w:p w14:paraId="18518C19">
      <w:pPr>
        <w:pStyle w:val="93"/>
        <w:pageBreakBefore w:val="0"/>
        <w:tabs>
          <w:tab w:val="left" w:pos="1512"/>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如采购人要求，成交供应商在收到预付款前，需向采购人提供预付款保函。预付款保函是指成交供应商向银行或者有资质的专业的担保机构申请，由其向采购人出具的确保预付款直接或者间接用于政府采购合同履约或者保障政府采购履约质量的银行保函或者担保保函等。</w:t>
      </w:r>
    </w:p>
    <w:p w14:paraId="012E9ED4">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32" w:name="BM10、采购代理服务费"/>
      <w:bookmarkEnd w:id="132"/>
      <w:bookmarkStart w:id="133" w:name="_Toc70524428"/>
      <w:bookmarkStart w:id="134" w:name="_Toc21635"/>
      <w:bookmarkStart w:id="135" w:name="_Toc8556"/>
      <w:r>
        <w:rPr>
          <w:rFonts w:hint="eastAsia" w:asciiTheme="minorEastAsia" w:hAnsiTheme="minorEastAsia" w:eastAsiaTheme="minorEastAsia" w:cstheme="minorEastAsia"/>
          <w:color w:val="auto"/>
          <w:sz w:val="21"/>
          <w:szCs w:val="21"/>
          <w:highlight w:val="none"/>
        </w:rPr>
        <w:t>10、采购代理服务费</w:t>
      </w:r>
      <w:bookmarkEnd w:id="133"/>
      <w:bookmarkEnd w:id="134"/>
      <w:bookmarkEnd w:id="135"/>
    </w:p>
    <w:p w14:paraId="4C2869B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成交供应商须按照供应商须知表10条规定，向采购代理机构支付采购代理服务费。</w:t>
      </w:r>
    </w:p>
    <w:p w14:paraId="0536496E">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36" w:name="BM11、政府采购信用担保"/>
      <w:bookmarkEnd w:id="136"/>
      <w:bookmarkStart w:id="137" w:name="_Toc70524429"/>
      <w:bookmarkStart w:id="138" w:name="_Toc799"/>
      <w:bookmarkStart w:id="139" w:name="_Toc21973"/>
      <w:r>
        <w:rPr>
          <w:rFonts w:hint="eastAsia" w:asciiTheme="minorEastAsia" w:hAnsiTheme="minorEastAsia" w:eastAsiaTheme="minorEastAsia" w:cstheme="minorEastAsia"/>
          <w:color w:val="auto"/>
          <w:sz w:val="21"/>
          <w:szCs w:val="21"/>
          <w:highlight w:val="none"/>
        </w:rPr>
        <w:t>11、政府采购信用担保</w:t>
      </w:r>
      <w:bookmarkEnd w:id="137"/>
      <w:bookmarkEnd w:id="138"/>
      <w:bookmarkEnd w:id="139"/>
    </w:p>
    <w:p w14:paraId="2065C593">
      <w:pPr>
        <w:pStyle w:val="93"/>
        <w:pageBreakBefore w:val="0"/>
        <w:tabs>
          <w:tab w:val="left" w:pos="1668"/>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11.1如属于政府采购信用担保试点范围内，中小型企业供应商可以自由按照财政部门的规定，采用履约担保和融资担保。</w:t>
      </w:r>
    </w:p>
    <w:p w14:paraId="016932CF">
      <w:pPr>
        <w:pStyle w:val="93"/>
        <w:pageBreakBefore w:val="0"/>
        <w:tabs>
          <w:tab w:val="left" w:pos="1615"/>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11.2供应商递交的履约担保函应符合本采购文件的规定。</w:t>
      </w:r>
    </w:p>
    <w:p w14:paraId="66C9FCA5">
      <w:pPr>
        <w:pStyle w:val="93"/>
        <w:pageBreakBefore w:val="0"/>
        <w:tabs>
          <w:tab w:val="left" w:pos="1615"/>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11.3成交供应商可以采取融资担保的形式为政府采购项目履约进行融资。</w:t>
      </w:r>
    </w:p>
    <w:p w14:paraId="66348D7F">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40" w:name="BM12、质疑的提出与接收"/>
      <w:bookmarkEnd w:id="140"/>
      <w:bookmarkStart w:id="141" w:name="_Toc70524430"/>
      <w:bookmarkStart w:id="142" w:name="_Toc19059"/>
      <w:bookmarkStart w:id="143" w:name="_Toc16958"/>
      <w:r>
        <w:rPr>
          <w:rFonts w:hint="eastAsia" w:asciiTheme="minorEastAsia" w:hAnsiTheme="minorEastAsia" w:eastAsiaTheme="minorEastAsia" w:cstheme="minorEastAsia"/>
          <w:color w:val="auto"/>
          <w:sz w:val="21"/>
          <w:szCs w:val="21"/>
          <w:highlight w:val="none"/>
        </w:rPr>
        <w:t>12、质疑的提出与接收</w:t>
      </w:r>
      <w:bookmarkEnd w:id="141"/>
      <w:bookmarkEnd w:id="142"/>
      <w:bookmarkEnd w:id="143"/>
    </w:p>
    <w:p w14:paraId="45545CB1">
      <w:pPr>
        <w:pStyle w:val="93"/>
        <w:pageBreakBefore w:val="0"/>
        <w:tabs>
          <w:tab w:val="left" w:pos="1615"/>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12.1供应商认为采购文件、采购过程和成交结果使自己的权益受到损害的，可以根据《中华人民共和国政府采购法》《中华人民共和国政府采购法实施条例》《政府采购竞争性磋商采购方式暂行办法》和《政府采购质疑和投诉办法》等有关规定，依法向采购人或其委托的采购代理机构提出质疑。</w:t>
      </w:r>
    </w:p>
    <w:p w14:paraId="6283EB6A">
      <w:pPr>
        <w:pStyle w:val="93"/>
        <w:pageBreakBefore w:val="0"/>
        <w:tabs>
          <w:tab w:val="left" w:pos="1668"/>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12.2质疑供应商应按照财政部门制定的《政府采购质疑函范本》格式（可从财政部官方网站下载）和《政府采购质疑和投诉办法》的要求，在法定质疑期内以书面形式提出质疑，针对同一采购程序环节的质疑应一次性提出。超出法定质疑期的、重复提出的、分次提出的或内容、形式不符合《政府采购质疑和投诉办法》的，质疑供应商将依法承担不利后果。</w:t>
      </w:r>
    </w:p>
    <w:p w14:paraId="79634B58">
      <w:pPr>
        <w:pStyle w:val="93"/>
        <w:pageBreakBefore w:val="0"/>
        <w:tabs>
          <w:tab w:val="left" w:pos="1615"/>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12.3采购代理机构质疑函接收部门、联系电话和通讯地址，见</w:t>
      </w:r>
      <w:r>
        <w:rPr>
          <w:rFonts w:hint="eastAsia" w:asciiTheme="minorEastAsia" w:hAnsiTheme="minorEastAsia" w:eastAsiaTheme="minorEastAsia" w:cstheme="minorEastAsia"/>
          <w:b/>
          <w:bCs/>
          <w:color w:val="auto"/>
          <w:sz w:val="21"/>
          <w:szCs w:val="21"/>
          <w:highlight w:val="none"/>
          <w:u w:val="single"/>
        </w:rPr>
        <w:t>供应商须知表</w:t>
      </w:r>
      <w:r>
        <w:rPr>
          <w:rFonts w:hint="eastAsia" w:asciiTheme="minorEastAsia" w:hAnsiTheme="minorEastAsia" w:eastAsiaTheme="minorEastAsia" w:cstheme="minorEastAsia"/>
          <w:color w:val="auto"/>
          <w:sz w:val="21"/>
          <w:szCs w:val="21"/>
          <w:highlight w:val="none"/>
        </w:rPr>
        <w:t>12条。</w:t>
      </w:r>
    </w:p>
    <w:p w14:paraId="727A0A7D">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44" w:name="BM13、知识产权"/>
      <w:bookmarkEnd w:id="144"/>
      <w:bookmarkStart w:id="145" w:name="_Toc70524431"/>
      <w:bookmarkStart w:id="146" w:name="_Toc11681"/>
      <w:bookmarkStart w:id="147" w:name="_Toc23255"/>
      <w:r>
        <w:rPr>
          <w:rFonts w:hint="eastAsia" w:asciiTheme="minorEastAsia" w:hAnsiTheme="minorEastAsia" w:eastAsiaTheme="minorEastAsia" w:cstheme="minorEastAsia"/>
          <w:color w:val="auto"/>
          <w:sz w:val="21"/>
          <w:szCs w:val="21"/>
          <w:highlight w:val="none"/>
        </w:rPr>
        <w:t>13、知识产权</w:t>
      </w:r>
      <w:bookmarkEnd w:id="145"/>
      <w:bookmarkEnd w:id="146"/>
      <w:bookmarkEnd w:id="147"/>
    </w:p>
    <w:p w14:paraId="517CAD75">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须保证采购人在中华人民共和国境内使用供应商所提供的货物或其任何一部分时，不会产生因第三方提出侵犯其专利权、商标权或其它知识产权而引起的法律或经济纠纷。如供应商不拥有相应的知识产权，则在响应报价中必须包括合法获取该知识产权的一切相关费用。如因此导致采购人损失的，供应商须承担全部赔偿责任。</w:t>
      </w:r>
    </w:p>
    <w:p w14:paraId="2C6ED189">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48" w:name="BM14、供应商的赔偿责任"/>
      <w:bookmarkEnd w:id="148"/>
      <w:bookmarkStart w:id="149" w:name="_Toc70524432"/>
      <w:bookmarkStart w:id="150" w:name="_Toc10945"/>
      <w:bookmarkStart w:id="151" w:name="_Toc7496"/>
      <w:r>
        <w:rPr>
          <w:rFonts w:hint="eastAsia" w:asciiTheme="minorEastAsia" w:hAnsiTheme="minorEastAsia" w:eastAsiaTheme="minorEastAsia" w:cstheme="minorEastAsia"/>
          <w:color w:val="auto"/>
          <w:sz w:val="21"/>
          <w:szCs w:val="21"/>
          <w:highlight w:val="none"/>
        </w:rPr>
        <w:t>14、供应商的赔偿责任</w:t>
      </w:r>
      <w:bookmarkEnd w:id="149"/>
      <w:bookmarkEnd w:id="150"/>
      <w:bookmarkEnd w:id="151"/>
    </w:p>
    <w:p w14:paraId="20F9530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有下列情形之一的，给采购人造成的损失的，成交供应商还应当予以赔偿。</w:t>
      </w:r>
    </w:p>
    <w:p w14:paraId="782B5D2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（1）供应商在提交响应文件截止时间后撤回（撤销）响应文件的（不包括在提交最后报价之前退出磋商的）；</w:t>
      </w:r>
    </w:p>
    <w:p w14:paraId="562E4C58">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（2）供应商在响应文件中提供虚假材料的；</w:t>
      </w:r>
    </w:p>
    <w:p w14:paraId="17B1DA55">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（3）除因不可抗力或采购文件认可的情形以外，成交供应商不与采购人签订合同的；</w:t>
      </w:r>
    </w:p>
    <w:p w14:paraId="130AF779">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（4）供应商与采购人、其他供应商或者采购代理机构恶意串通的；</w:t>
      </w:r>
    </w:p>
    <w:p w14:paraId="65D5F86E">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（5）磋商文件规定的其他情形。</w:t>
      </w:r>
    </w:p>
    <w:p w14:paraId="677403D0">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52" w:name="BM15、廉洁自律规定"/>
      <w:bookmarkEnd w:id="152"/>
      <w:bookmarkStart w:id="153" w:name="_Toc70524433"/>
      <w:bookmarkStart w:id="154" w:name="_Toc29864"/>
      <w:bookmarkStart w:id="155" w:name="_Toc5201"/>
      <w:r>
        <w:rPr>
          <w:rFonts w:hint="eastAsia" w:asciiTheme="minorEastAsia" w:hAnsiTheme="minorEastAsia" w:eastAsiaTheme="minorEastAsia" w:cstheme="minorEastAsia"/>
          <w:color w:val="auto"/>
          <w:sz w:val="21"/>
          <w:szCs w:val="21"/>
          <w:highlight w:val="none"/>
        </w:rPr>
        <w:t>15、廉洁自律规定</w:t>
      </w:r>
      <w:bookmarkEnd w:id="153"/>
      <w:bookmarkEnd w:id="154"/>
      <w:bookmarkEnd w:id="155"/>
    </w:p>
    <w:p w14:paraId="66EB9845">
      <w:pPr>
        <w:pStyle w:val="93"/>
        <w:pageBreakBefore w:val="0"/>
        <w:tabs>
          <w:tab w:val="left" w:pos="1668"/>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15.1采购代理机构工作人员不得以不正当手段获取政府采购代理业务，不得与采购人、供应商恶意串通操纵政府采购活动。</w:t>
      </w:r>
    </w:p>
    <w:p w14:paraId="035F9830">
      <w:pPr>
        <w:pStyle w:val="93"/>
        <w:pageBreakBefore w:val="0"/>
        <w:tabs>
          <w:tab w:val="left" w:pos="1668"/>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15.2采购代理机构工作人员不得接受采购人或者供应商组织的宴请、旅游、娱乐，不得收受礼品、现金、有价证券等，不得向采购人或者供应商报销应当由个人承担的费用。</w:t>
      </w:r>
    </w:p>
    <w:p w14:paraId="53BF77E8">
      <w:pPr>
        <w:pStyle w:val="93"/>
        <w:pageBreakBefore w:val="0"/>
        <w:tabs>
          <w:tab w:val="left" w:pos="1661"/>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15.3为强化内部监督机制，供应商可按</w:t>
      </w:r>
      <w:r>
        <w:rPr>
          <w:rFonts w:hint="eastAsia" w:asciiTheme="minorEastAsia" w:hAnsiTheme="minorEastAsia" w:eastAsiaTheme="minorEastAsia" w:cstheme="minorEastAsia"/>
          <w:b/>
          <w:bCs/>
          <w:color w:val="auto"/>
          <w:sz w:val="21"/>
          <w:szCs w:val="21"/>
          <w:highlight w:val="none"/>
          <w:u w:val="single"/>
        </w:rPr>
        <w:t>供应商须知前附表</w:t>
      </w:r>
      <w:r>
        <w:rPr>
          <w:rFonts w:hint="eastAsia" w:asciiTheme="minorEastAsia" w:hAnsiTheme="minorEastAsia" w:eastAsiaTheme="minorEastAsia" w:cstheme="minorEastAsia"/>
          <w:color w:val="auto"/>
          <w:sz w:val="21"/>
          <w:szCs w:val="21"/>
          <w:highlight w:val="none"/>
        </w:rPr>
        <w:t>中代理机构的反腐倡廉监督电话/邮箱，反映采购代理机构的廉洁自律等问题。</w:t>
      </w:r>
    </w:p>
    <w:p w14:paraId="11AA4535">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56" w:name="BM16、人员回避"/>
      <w:bookmarkEnd w:id="156"/>
      <w:bookmarkStart w:id="157" w:name="_Toc6254"/>
      <w:bookmarkStart w:id="158" w:name="_Toc26043"/>
      <w:bookmarkStart w:id="159" w:name="_Toc70524434"/>
      <w:r>
        <w:rPr>
          <w:rFonts w:hint="eastAsia" w:asciiTheme="minorEastAsia" w:hAnsiTheme="minorEastAsia" w:eastAsiaTheme="minorEastAsia" w:cstheme="minorEastAsia"/>
          <w:color w:val="auto"/>
          <w:sz w:val="21"/>
          <w:szCs w:val="21"/>
          <w:highlight w:val="none"/>
        </w:rPr>
        <w:t>16、人员回避</w:t>
      </w:r>
      <w:bookmarkEnd w:id="157"/>
      <w:bookmarkEnd w:id="158"/>
      <w:bookmarkEnd w:id="159"/>
    </w:p>
    <w:p w14:paraId="1A0EB5D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供应商认为采购人员及其相关人员有法律法规所列与其他供应商有利害关系的，可以向采购人或采购代理机构书面提出回避申请，并说明理由。</w:t>
      </w:r>
    </w:p>
    <w:p w14:paraId="5722186C">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60" w:name="BM17、纪律和监督"/>
      <w:bookmarkEnd w:id="160"/>
      <w:bookmarkStart w:id="161" w:name="_Toc70524435"/>
      <w:bookmarkStart w:id="162" w:name="_Toc11869"/>
      <w:bookmarkStart w:id="163" w:name="_Toc9116"/>
      <w:r>
        <w:rPr>
          <w:rFonts w:hint="eastAsia" w:asciiTheme="minorEastAsia" w:hAnsiTheme="minorEastAsia" w:eastAsiaTheme="minorEastAsia" w:cstheme="minorEastAsia"/>
          <w:color w:val="auto"/>
          <w:sz w:val="21"/>
          <w:szCs w:val="21"/>
          <w:highlight w:val="none"/>
        </w:rPr>
        <w:t>17、纪律和监督</w:t>
      </w:r>
      <w:bookmarkEnd w:id="161"/>
      <w:bookmarkEnd w:id="162"/>
      <w:bookmarkEnd w:id="163"/>
    </w:p>
    <w:p w14:paraId="603F3442">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64" w:name="BM17_1对采购人的纪律要求"/>
      <w:bookmarkEnd w:id="164"/>
      <w:r>
        <w:rPr>
          <w:rFonts w:hint="eastAsia" w:asciiTheme="minorEastAsia" w:hAnsiTheme="minorEastAsia" w:eastAsiaTheme="minorEastAsia" w:cstheme="minorEastAsia"/>
          <w:b/>
          <w:bCs/>
          <w:color w:val="auto"/>
          <w:sz w:val="21"/>
          <w:szCs w:val="21"/>
          <w:highlight w:val="none"/>
        </w:rPr>
        <w:t>17.1对采购人的纪律要求</w:t>
      </w:r>
    </w:p>
    <w:p w14:paraId="19EEAEEA">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采购人不得泄漏采购活动中应当保密的情况和资料，不得与供应商串通损害国家利益、社会公共利益或者他人合法权益。</w:t>
      </w:r>
    </w:p>
    <w:p w14:paraId="4A39BD46">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65" w:name="BM17_2对供应商的纪律要求"/>
      <w:bookmarkEnd w:id="165"/>
      <w:r>
        <w:rPr>
          <w:rFonts w:hint="eastAsia" w:asciiTheme="minorEastAsia" w:hAnsiTheme="minorEastAsia" w:eastAsiaTheme="minorEastAsia" w:cstheme="minorEastAsia"/>
          <w:b/>
          <w:bCs/>
          <w:color w:val="auto"/>
          <w:sz w:val="21"/>
          <w:szCs w:val="21"/>
          <w:highlight w:val="none"/>
        </w:rPr>
        <w:t>17.2对供应商的纪律要求</w:t>
      </w:r>
    </w:p>
    <w:p w14:paraId="4B3AD9F7">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供应商不得相互串通或者与采购人串通，不得向采购人或者磋商小组成员行贿谋取成交，不得以他人名义参加采购活动或者以其他方式弄虚作假骗取成交；供应商不得以任何方式干扰、影响采购工作。</w:t>
      </w:r>
    </w:p>
    <w:p w14:paraId="5379B016">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66" w:name="BM17_3对磋商小组成员的纪律要求"/>
      <w:bookmarkEnd w:id="166"/>
      <w:r>
        <w:rPr>
          <w:rFonts w:hint="eastAsia" w:asciiTheme="minorEastAsia" w:hAnsiTheme="minorEastAsia" w:eastAsiaTheme="minorEastAsia" w:cstheme="minorEastAsia"/>
          <w:b/>
          <w:bCs/>
          <w:color w:val="auto"/>
          <w:sz w:val="21"/>
          <w:szCs w:val="21"/>
          <w:highlight w:val="none"/>
        </w:rPr>
        <w:t>17.3对磋商小组成员的纪律要求</w:t>
      </w:r>
    </w:p>
    <w:p w14:paraId="3FE73FC4">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成员不得收受他人的财物或者其他好处，不得向他人透漏对响应文件的评审和比较、成交候选人的推荐情况以及评审有关的其他情况。在评审过程中，磋商小组成员不得擅离职守，影响评审程序正常进行，不得使用第五章“磋商程序、评审方法和标准”没有规定的评审因素和标准进行评审。</w:t>
      </w:r>
    </w:p>
    <w:p w14:paraId="558F186A">
      <w:pPr>
        <w:pStyle w:val="93"/>
        <w:pageBreakBefore w:val="0"/>
        <w:tabs>
          <w:tab w:val="left" w:pos="1040"/>
        </w:tabs>
        <w:overflowPunct/>
        <w:topLinePunct w:val="0"/>
        <w:bidi w:val="0"/>
        <w:spacing w:line="360" w:lineRule="auto"/>
        <w:ind w:firstLine="482"/>
        <w:rPr>
          <w:rFonts w:hint="eastAsia" w:asciiTheme="minorEastAsia" w:hAnsiTheme="minorEastAsia" w:eastAsiaTheme="minorEastAsia" w:cstheme="minorEastAsia"/>
          <w:b/>
          <w:bCs/>
          <w:color w:val="auto"/>
          <w:sz w:val="21"/>
          <w:szCs w:val="21"/>
          <w:highlight w:val="none"/>
        </w:rPr>
      </w:pPr>
      <w:bookmarkStart w:id="167" w:name="BM17_4对与评审活动有关的工作人员的纪律要求"/>
      <w:bookmarkEnd w:id="167"/>
      <w:r>
        <w:rPr>
          <w:rFonts w:hint="eastAsia" w:asciiTheme="minorEastAsia" w:hAnsiTheme="minorEastAsia" w:eastAsiaTheme="minorEastAsia" w:cstheme="minorEastAsia"/>
          <w:b/>
          <w:bCs/>
          <w:color w:val="auto"/>
          <w:sz w:val="21"/>
          <w:szCs w:val="21"/>
          <w:highlight w:val="none"/>
        </w:rPr>
        <w:t>17.4对与评审活动有关的工作人员的纪律要求</w:t>
      </w:r>
    </w:p>
    <w:p w14:paraId="1001F0EA">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与评审活动有关的工作人员不得收受他人的财物或者其他好处，不得向他人透漏对响应文件的评审和比较、成交候选人的推荐情况以及评审有关的其他情况。在评审过程中，与评审活动有关的工作人员不得擅离职守，影响评审程序正常进行。</w:t>
      </w:r>
    </w:p>
    <w:p w14:paraId="52EC155C">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68" w:name="BM18、履约验收"/>
      <w:bookmarkEnd w:id="168"/>
      <w:bookmarkStart w:id="169" w:name="_Toc70524436"/>
      <w:bookmarkStart w:id="170" w:name="_Toc28079"/>
      <w:bookmarkStart w:id="171" w:name="_Toc15509"/>
      <w:r>
        <w:rPr>
          <w:rFonts w:hint="eastAsia" w:asciiTheme="minorEastAsia" w:hAnsiTheme="minorEastAsia" w:eastAsiaTheme="minorEastAsia" w:cstheme="minorEastAsia"/>
          <w:color w:val="auto"/>
          <w:sz w:val="21"/>
          <w:szCs w:val="21"/>
          <w:highlight w:val="none"/>
        </w:rPr>
        <w:t>18、履约验收</w:t>
      </w:r>
      <w:bookmarkEnd w:id="169"/>
      <w:bookmarkEnd w:id="170"/>
      <w:bookmarkEnd w:id="171"/>
    </w:p>
    <w:p w14:paraId="2E2375C6">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本项目采购人将严格按照国家及相关行业法律法规的要求进行验收。</w:t>
      </w:r>
    </w:p>
    <w:p w14:paraId="338EB0E5">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72" w:name="_Toc26241"/>
      <w:bookmarkStart w:id="173" w:name="_Toc70524437"/>
      <w:bookmarkStart w:id="174" w:name="_Toc30227"/>
      <w:r>
        <w:rPr>
          <w:rFonts w:hint="eastAsia" w:asciiTheme="minorEastAsia" w:hAnsiTheme="minorEastAsia" w:eastAsiaTheme="minorEastAsia" w:cstheme="minorEastAsia"/>
          <w:color w:val="auto"/>
          <w:sz w:val="21"/>
          <w:szCs w:val="21"/>
          <w:highlight w:val="none"/>
        </w:rPr>
        <w:t>19、合同分包</w:t>
      </w:r>
      <w:bookmarkEnd w:id="172"/>
      <w:bookmarkEnd w:id="173"/>
      <w:bookmarkEnd w:id="174"/>
    </w:p>
    <w:p w14:paraId="651C9D5F">
      <w:pPr>
        <w:pStyle w:val="93"/>
        <w:pageBreakBefore w:val="0"/>
        <w:tabs>
          <w:tab w:val="left" w:pos="1566"/>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19.1经采购人同意，成交供应商可以依法采取分包方式履行合同，但必须在响应文件中事前载明。这种要求应当在合同签订之前征得采购人同意，并且分包供应商履行的分包项目的品牌、规格型号及技术要求等，必须与成交的一致。分包履行合同的部分应当为采购项目的非主体、非关键性工作，不属于成交供应商的主要合同义务。</w:t>
      </w:r>
    </w:p>
    <w:p w14:paraId="3B656216">
      <w:pPr>
        <w:pStyle w:val="93"/>
        <w:pageBreakBefore w:val="0"/>
        <w:tabs>
          <w:tab w:val="left" w:pos="1566"/>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19.2采购合同实行分包履行的，成交供应商就采购项目和分包项目向采购人负责，分包供应商就分包项目承担责任。</w:t>
      </w:r>
    </w:p>
    <w:p w14:paraId="799BA808">
      <w:pPr>
        <w:pStyle w:val="93"/>
        <w:pageBreakBefore w:val="0"/>
        <w:tabs>
          <w:tab w:val="left" w:pos="1566"/>
        </w:tabs>
        <w:overflowPunct/>
        <w:topLinePunct w:val="0"/>
        <w:bidi w:val="0"/>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19.3中小企业依据《政府采购促进中小企业发展管理办法》（财库[2020]46号）规定的政策获取政府采购合同后，小型、微型企业不得分包给大型、中型企业，中型企业不得分包给大型企业。</w:t>
      </w:r>
    </w:p>
    <w:p w14:paraId="5828AB50">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75" w:name="_Toc1071"/>
      <w:bookmarkStart w:id="176" w:name="_Toc27838"/>
      <w:bookmarkStart w:id="177" w:name="_Toc70524438"/>
      <w:r>
        <w:rPr>
          <w:rFonts w:hint="eastAsia" w:asciiTheme="minorEastAsia" w:hAnsiTheme="minorEastAsia" w:eastAsiaTheme="minorEastAsia" w:cstheme="minorEastAsia"/>
          <w:color w:val="auto"/>
          <w:sz w:val="21"/>
          <w:szCs w:val="21"/>
          <w:highlight w:val="none"/>
        </w:rPr>
        <w:t>20、合同转包</w:t>
      </w:r>
      <w:bookmarkEnd w:id="175"/>
      <w:bookmarkEnd w:id="176"/>
      <w:bookmarkEnd w:id="177"/>
    </w:p>
    <w:p w14:paraId="2D0BBDF6">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成交供应商转包的，视同拒绝履行政府采购合同义务，将依法追究法律责任。</w:t>
      </w:r>
      <w:bookmarkStart w:id="178" w:name="BM21、需要补充的其他内容"/>
      <w:bookmarkEnd w:id="178"/>
    </w:p>
    <w:p w14:paraId="724F2199">
      <w:pPr>
        <w:pStyle w:val="4"/>
        <w:pageBreakBefore w:val="0"/>
        <w:overflowPunct/>
        <w:topLinePunct w:val="0"/>
        <w:bidi w:val="0"/>
        <w:spacing w:before="0" w:after="0" w:line="360" w:lineRule="auto"/>
        <w:ind w:firstLine="482"/>
        <w:rPr>
          <w:rFonts w:hint="eastAsia" w:asciiTheme="minorEastAsia" w:hAnsiTheme="minorEastAsia" w:eastAsiaTheme="minorEastAsia" w:cstheme="minorEastAsia"/>
          <w:color w:val="auto"/>
          <w:sz w:val="21"/>
          <w:szCs w:val="21"/>
          <w:highlight w:val="none"/>
        </w:rPr>
      </w:pPr>
      <w:bookmarkStart w:id="179" w:name="_Toc70524439"/>
      <w:bookmarkStart w:id="180" w:name="_Toc20006"/>
      <w:bookmarkStart w:id="181" w:name="_Toc19774"/>
      <w:r>
        <w:rPr>
          <w:rFonts w:hint="eastAsia" w:asciiTheme="minorEastAsia" w:hAnsiTheme="minorEastAsia" w:eastAsiaTheme="minorEastAsia" w:cstheme="minorEastAsia"/>
          <w:color w:val="auto"/>
          <w:sz w:val="21"/>
          <w:szCs w:val="21"/>
          <w:highlight w:val="none"/>
        </w:rPr>
        <w:t>21、需要补充的其他内容</w:t>
      </w:r>
      <w:bookmarkEnd w:id="179"/>
      <w:bookmarkEnd w:id="180"/>
      <w:bookmarkEnd w:id="181"/>
    </w:p>
    <w:p w14:paraId="511F2E6C">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需要补充的其他内容：</w:t>
      </w:r>
      <w:r>
        <w:rPr>
          <w:rFonts w:hint="eastAsia" w:asciiTheme="minorEastAsia" w:hAnsiTheme="minorEastAsia" w:eastAsiaTheme="minorEastAsia" w:cstheme="minorEastAsia"/>
          <w:b/>
          <w:bCs/>
          <w:color w:val="auto"/>
          <w:sz w:val="21"/>
          <w:szCs w:val="21"/>
          <w:highlight w:val="none"/>
          <w:u w:val="single"/>
        </w:rPr>
        <w:t>见供应商须知前附表</w:t>
      </w:r>
      <w:r>
        <w:rPr>
          <w:rFonts w:hint="eastAsia" w:asciiTheme="minorEastAsia" w:hAnsiTheme="minorEastAsia" w:eastAsiaTheme="minorEastAsia" w:cstheme="minorEastAsia"/>
          <w:color w:val="auto"/>
          <w:sz w:val="21"/>
          <w:szCs w:val="21"/>
          <w:highlight w:val="none"/>
        </w:rPr>
        <w:t>。</w:t>
      </w:r>
    </w:p>
    <w:p w14:paraId="0A9E6D9D">
      <w:pPr>
        <w:pageBreakBefore w:val="0"/>
        <w:overflowPunct/>
        <w:topLinePunct w:val="0"/>
        <w:bidi w:val="0"/>
        <w:spacing w:line="240" w:lineRule="auto"/>
        <w:ind w:firstLine="0"/>
        <w:rPr>
          <w:rFonts w:hint="eastAsia" w:asciiTheme="minorEastAsia" w:hAnsiTheme="minorEastAsia" w:eastAsiaTheme="minorEastAsia" w:cstheme="minorEastAsia"/>
          <w:b/>
          <w:bCs/>
          <w:color w:val="auto"/>
          <w:sz w:val="21"/>
          <w:szCs w:val="21"/>
          <w:highlight w:val="none"/>
        </w:rPr>
      </w:pPr>
      <w:bookmarkStart w:id="182" w:name="_Toc28961"/>
      <w:r>
        <w:rPr>
          <w:rFonts w:hint="eastAsia" w:asciiTheme="minorEastAsia" w:hAnsiTheme="minorEastAsia" w:eastAsiaTheme="minorEastAsia" w:cstheme="minorEastAsia"/>
          <w:b/>
          <w:bCs/>
          <w:color w:val="auto"/>
          <w:sz w:val="21"/>
          <w:szCs w:val="21"/>
          <w:highlight w:val="none"/>
        </w:rPr>
        <w:br w:type="page"/>
      </w:r>
    </w:p>
    <w:p w14:paraId="0B9BB335">
      <w:pPr>
        <w:pStyle w:val="11"/>
        <w:rPr>
          <w:rFonts w:hint="eastAsia"/>
          <w:color w:val="auto"/>
          <w:highlight w:val="none"/>
        </w:rPr>
      </w:pPr>
    </w:p>
    <w:p w14:paraId="0427A147">
      <w:pPr>
        <w:pageBreakBefore w:val="0"/>
        <w:overflowPunct/>
        <w:topLinePunct w:val="0"/>
        <w:bidi w:val="0"/>
        <w:spacing w:line="360" w:lineRule="auto"/>
        <w:ind w:firstLine="640"/>
        <w:rPr>
          <w:rFonts w:hint="eastAsia" w:asciiTheme="minorEastAsia" w:hAnsiTheme="minorEastAsia" w:eastAsiaTheme="minorEastAsia" w:cstheme="minorEastAsia"/>
          <w:b/>
          <w:bCs/>
          <w:color w:val="auto"/>
          <w:sz w:val="21"/>
          <w:szCs w:val="21"/>
          <w:highlight w:val="none"/>
        </w:rPr>
      </w:pPr>
    </w:p>
    <w:p w14:paraId="4AB18155">
      <w:pPr>
        <w:pageBreakBefore w:val="0"/>
        <w:overflowPunct/>
        <w:topLinePunct w:val="0"/>
        <w:bidi w:val="0"/>
        <w:spacing w:line="360" w:lineRule="auto"/>
        <w:ind w:firstLine="640"/>
        <w:rPr>
          <w:rFonts w:hint="eastAsia" w:asciiTheme="minorEastAsia" w:hAnsiTheme="minorEastAsia" w:eastAsiaTheme="minorEastAsia" w:cstheme="minorEastAsia"/>
          <w:b/>
          <w:bCs/>
          <w:color w:val="auto"/>
          <w:sz w:val="21"/>
          <w:szCs w:val="21"/>
          <w:highlight w:val="none"/>
        </w:rPr>
      </w:pPr>
    </w:p>
    <w:p w14:paraId="49184955">
      <w:pPr>
        <w:pageBreakBefore w:val="0"/>
        <w:overflowPunct/>
        <w:topLinePunct w:val="0"/>
        <w:bidi w:val="0"/>
        <w:spacing w:line="360" w:lineRule="auto"/>
        <w:ind w:firstLine="640"/>
        <w:rPr>
          <w:rFonts w:hint="eastAsia" w:asciiTheme="minorEastAsia" w:hAnsiTheme="minorEastAsia" w:eastAsiaTheme="minorEastAsia" w:cstheme="minorEastAsia"/>
          <w:b/>
          <w:bCs/>
          <w:color w:val="auto"/>
          <w:sz w:val="21"/>
          <w:szCs w:val="21"/>
          <w:highlight w:val="none"/>
        </w:rPr>
      </w:pPr>
    </w:p>
    <w:p w14:paraId="554844D2">
      <w:pPr>
        <w:pStyle w:val="2"/>
        <w:pageBreakBefore w:val="0"/>
        <w:overflowPunct/>
        <w:topLinePunct w:val="0"/>
        <w:bidi w:val="0"/>
        <w:spacing w:line="360" w:lineRule="auto"/>
        <w:ind w:firstLine="643"/>
        <w:rPr>
          <w:rFonts w:hint="eastAsia" w:asciiTheme="minorEastAsia" w:hAnsiTheme="minorEastAsia" w:eastAsiaTheme="minorEastAsia" w:cstheme="minorEastAsia"/>
          <w:i/>
          <w:iCs/>
          <w:color w:val="auto"/>
          <w:sz w:val="44"/>
          <w:szCs w:val="44"/>
          <w:highlight w:val="none"/>
        </w:rPr>
      </w:pPr>
      <w:bookmarkStart w:id="183" w:name="_Toc19555"/>
      <w:bookmarkStart w:id="184" w:name="_Toc22212"/>
      <w:bookmarkStart w:id="185" w:name="_Toc19454"/>
      <w:bookmarkStart w:id="186" w:name="_Toc28279"/>
      <w:bookmarkStart w:id="187" w:name="_Toc15082"/>
      <w:r>
        <w:rPr>
          <w:rFonts w:hint="eastAsia" w:asciiTheme="minorEastAsia" w:hAnsiTheme="minorEastAsia" w:eastAsiaTheme="minorEastAsia" w:cstheme="minorEastAsia"/>
          <w:color w:val="auto"/>
          <w:sz w:val="44"/>
          <w:szCs w:val="44"/>
          <w:highlight w:val="none"/>
        </w:rPr>
        <w:t xml:space="preserve">第三章  </w:t>
      </w:r>
      <w:bookmarkEnd w:id="183"/>
      <w:bookmarkEnd w:id="184"/>
      <w:bookmarkStart w:id="188" w:name="_Toc9249"/>
      <w:r>
        <w:rPr>
          <w:rFonts w:hint="eastAsia" w:asciiTheme="minorEastAsia" w:hAnsiTheme="minorEastAsia" w:eastAsiaTheme="minorEastAsia" w:cstheme="minorEastAsia"/>
          <w:color w:val="auto"/>
          <w:sz w:val="44"/>
          <w:szCs w:val="44"/>
          <w:highlight w:val="none"/>
        </w:rPr>
        <w:t>货物需求及技术要求</w:t>
      </w:r>
      <w:bookmarkEnd w:id="185"/>
      <w:bookmarkEnd w:id="186"/>
      <w:bookmarkEnd w:id="187"/>
    </w:p>
    <w:p w14:paraId="0871F33E">
      <w:pPr>
        <w:pageBreakBefore w:val="0"/>
        <w:overflowPunct/>
        <w:topLinePunct w:val="0"/>
        <w:bidi w:val="0"/>
        <w:spacing w:line="240" w:lineRule="auto"/>
        <w:ind w:firstLine="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4F6C773B">
      <w:pPr>
        <w:numPr>
          <w:ilvl w:val="0"/>
          <w:numId w:val="0"/>
        </w:numPr>
        <w:jc w:val="left"/>
        <w:rPr>
          <w:rFonts w:hint="default" w:ascii="宋体" w:hAnsi="宋体" w:eastAsia="宋体" w:cs="宋体"/>
          <w:b/>
          <w:bCs w:val="0"/>
          <w:color w:val="auto"/>
          <w:kern w:val="44"/>
          <w:sz w:val="32"/>
          <w:szCs w:val="20"/>
          <w:highlight w:val="none"/>
          <w:lang w:val="en-US" w:eastAsia="zh-CN"/>
        </w:rPr>
      </w:pPr>
      <w:r>
        <w:rPr>
          <w:rFonts w:hint="eastAsia" w:ascii="宋体" w:hAnsi="宋体" w:cs="宋体"/>
          <w:b/>
          <w:bCs w:val="0"/>
          <w:color w:val="auto"/>
          <w:kern w:val="44"/>
          <w:sz w:val="32"/>
          <w:szCs w:val="20"/>
          <w:highlight w:val="none"/>
          <w:lang w:val="en-US" w:eastAsia="zh-CN"/>
        </w:rPr>
        <w:t>一、货物需求清单表</w:t>
      </w:r>
    </w:p>
    <w:tbl>
      <w:tblPr>
        <w:tblStyle w:val="38"/>
        <w:tblW w:w="47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633"/>
        <w:gridCol w:w="1315"/>
        <w:gridCol w:w="1231"/>
        <w:gridCol w:w="1397"/>
        <w:gridCol w:w="1470"/>
      </w:tblGrid>
      <w:tr w14:paraId="68C0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33" w:type="dxa"/>
            <w:noWrap w:val="0"/>
            <w:vAlign w:val="center"/>
          </w:tcPr>
          <w:p w14:paraId="2C6C5E38">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2551" w:type="dxa"/>
            <w:noWrap w:val="0"/>
            <w:vAlign w:val="center"/>
          </w:tcPr>
          <w:p w14:paraId="78CEFE56">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品名</w:t>
            </w:r>
          </w:p>
        </w:tc>
        <w:tc>
          <w:tcPr>
            <w:tcW w:w="1274" w:type="dxa"/>
            <w:noWrap w:val="0"/>
            <w:vAlign w:val="center"/>
          </w:tcPr>
          <w:p w14:paraId="0D2BB82C">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1193" w:type="dxa"/>
            <w:noWrap w:val="0"/>
            <w:vAlign w:val="center"/>
          </w:tcPr>
          <w:p w14:paraId="3CD55815">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354" w:type="dxa"/>
            <w:noWrap w:val="0"/>
            <w:vAlign w:val="center"/>
          </w:tcPr>
          <w:p w14:paraId="19EFFA84">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是否接受进口产品</w:t>
            </w:r>
          </w:p>
        </w:tc>
        <w:tc>
          <w:tcPr>
            <w:tcW w:w="1424" w:type="dxa"/>
            <w:noWrap w:val="0"/>
            <w:vAlign w:val="center"/>
          </w:tcPr>
          <w:p w14:paraId="1EF59973">
            <w:pP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是否核心产品</w:t>
            </w:r>
          </w:p>
        </w:tc>
      </w:tr>
      <w:tr w14:paraId="4BCB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3" w:type="dxa"/>
            <w:noWrap w:val="0"/>
            <w:vAlign w:val="center"/>
          </w:tcPr>
          <w:p w14:paraId="32EF7B82">
            <w:pPr>
              <w:bidi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2551" w:type="dxa"/>
            <w:noWrap w:val="0"/>
            <w:vAlign w:val="center"/>
          </w:tcPr>
          <w:p w14:paraId="717BB37D">
            <w:pPr>
              <w:bidi w:val="0"/>
              <w:snapToGrid w:val="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生物反馈治疗仪（10人台）</w:t>
            </w:r>
          </w:p>
        </w:tc>
        <w:tc>
          <w:tcPr>
            <w:tcW w:w="1274" w:type="dxa"/>
            <w:noWrap w:val="0"/>
            <w:vAlign w:val="center"/>
          </w:tcPr>
          <w:p w14:paraId="0F48B607">
            <w:pPr>
              <w:keepNext w:val="0"/>
              <w:keepLines w:val="0"/>
              <w:widowControl/>
              <w:suppressLineNumbers w:val="0"/>
              <w:snapToGrid w:val="0"/>
              <w:jc w:val="center"/>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套</w:t>
            </w:r>
          </w:p>
        </w:tc>
        <w:tc>
          <w:tcPr>
            <w:tcW w:w="1193" w:type="dxa"/>
            <w:noWrap w:val="0"/>
            <w:vAlign w:val="center"/>
          </w:tcPr>
          <w:p w14:paraId="08A832CA">
            <w:pPr>
              <w:keepNext w:val="0"/>
              <w:keepLines w:val="0"/>
              <w:widowControl/>
              <w:suppressLineNumbers w:val="0"/>
              <w:snapToGrid w:val="0"/>
              <w:jc w:val="center"/>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s="宋体"/>
                <w:i w:val="0"/>
                <w:iCs w:val="0"/>
                <w:color w:val="auto"/>
                <w:kern w:val="0"/>
                <w:sz w:val="21"/>
                <w:szCs w:val="21"/>
                <w:highlight w:val="none"/>
                <w:u w:val="none"/>
                <w:lang w:val="en-US" w:eastAsia="zh-CN" w:bidi="ar"/>
              </w:rPr>
              <w:t>4</w:t>
            </w:r>
          </w:p>
        </w:tc>
        <w:tc>
          <w:tcPr>
            <w:tcW w:w="1354" w:type="dxa"/>
            <w:noWrap w:val="0"/>
            <w:vAlign w:val="center"/>
          </w:tcPr>
          <w:p w14:paraId="04F39F80">
            <w:pPr>
              <w:bidi w:val="0"/>
              <w:snapToGrid w:val="0"/>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否</w:t>
            </w:r>
          </w:p>
        </w:tc>
        <w:tc>
          <w:tcPr>
            <w:tcW w:w="1424" w:type="dxa"/>
            <w:noWrap w:val="0"/>
            <w:vAlign w:val="center"/>
          </w:tcPr>
          <w:p w14:paraId="23159ED8">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是</w:t>
            </w:r>
          </w:p>
        </w:tc>
      </w:tr>
    </w:tbl>
    <w:p w14:paraId="427ED682">
      <w:pPr>
        <w:numPr>
          <w:ilvl w:val="0"/>
          <w:numId w:val="0"/>
        </w:numPr>
        <w:rPr>
          <w:rFonts w:hint="eastAsia" w:ascii="宋体" w:hAnsi="宋体" w:eastAsia="宋体" w:cs="宋体"/>
          <w:b/>
          <w:bCs w:val="0"/>
          <w:color w:val="auto"/>
          <w:kern w:val="44"/>
          <w:sz w:val="32"/>
          <w:szCs w:val="20"/>
          <w:highlight w:val="none"/>
        </w:rPr>
      </w:pPr>
      <w:r>
        <w:rPr>
          <w:rFonts w:hint="eastAsia" w:ascii="宋体" w:hAnsi="宋体" w:cs="宋体"/>
          <w:b/>
          <w:bCs w:val="0"/>
          <w:color w:val="auto"/>
          <w:kern w:val="44"/>
          <w:sz w:val="32"/>
          <w:szCs w:val="20"/>
          <w:highlight w:val="none"/>
          <w:lang w:val="en-US" w:eastAsia="zh-CN"/>
        </w:rPr>
        <w:t>二、</w:t>
      </w:r>
      <w:r>
        <w:rPr>
          <w:rFonts w:hint="eastAsia" w:ascii="宋体" w:hAnsi="宋体" w:eastAsia="宋体" w:cs="宋体"/>
          <w:b/>
          <w:bCs w:val="0"/>
          <w:color w:val="auto"/>
          <w:kern w:val="44"/>
          <w:sz w:val="32"/>
          <w:szCs w:val="20"/>
          <w:highlight w:val="none"/>
        </w:rPr>
        <w:t>技术要求</w:t>
      </w:r>
    </w:p>
    <w:tbl>
      <w:tblPr>
        <w:tblStyle w:val="39"/>
        <w:tblpPr w:leftFromText="180" w:rightFromText="180" w:vertAnchor="text" w:horzAnchor="page" w:tblpX="1451" w:tblpY="249"/>
        <w:tblOverlap w:val="never"/>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302"/>
        <w:gridCol w:w="4902"/>
        <w:gridCol w:w="669"/>
        <w:gridCol w:w="720"/>
        <w:gridCol w:w="905"/>
      </w:tblGrid>
      <w:tr w14:paraId="029F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93" w:type="dxa"/>
            <w:noWrap w:val="0"/>
            <w:vAlign w:val="center"/>
          </w:tcPr>
          <w:p w14:paraId="2596841D">
            <w:pPr>
              <w:widowControl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1302" w:type="dxa"/>
            <w:noWrap w:val="0"/>
            <w:vAlign w:val="center"/>
          </w:tcPr>
          <w:p w14:paraId="096F3A63">
            <w:pPr>
              <w:widowControl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仪器名称</w:t>
            </w:r>
          </w:p>
        </w:tc>
        <w:tc>
          <w:tcPr>
            <w:tcW w:w="4902" w:type="dxa"/>
            <w:noWrap w:val="0"/>
            <w:vAlign w:val="center"/>
          </w:tcPr>
          <w:p w14:paraId="6C6A7403">
            <w:pPr>
              <w:widowControl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技术参数</w:t>
            </w:r>
          </w:p>
        </w:tc>
        <w:tc>
          <w:tcPr>
            <w:tcW w:w="669" w:type="dxa"/>
            <w:noWrap w:val="0"/>
            <w:vAlign w:val="center"/>
          </w:tcPr>
          <w:p w14:paraId="568B352B">
            <w:pPr>
              <w:widowControl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数量</w:t>
            </w:r>
          </w:p>
        </w:tc>
        <w:tc>
          <w:tcPr>
            <w:tcW w:w="720" w:type="dxa"/>
            <w:noWrap w:val="0"/>
            <w:vAlign w:val="center"/>
          </w:tcPr>
          <w:p w14:paraId="3D60D83A">
            <w:pPr>
              <w:widowControl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单位</w:t>
            </w:r>
          </w:p>
        </w:tc>
        <w:tc>
          <w:tcPr>
            <w:tcW w:w="905" w:type="dxa"/>
            <w:noWrap w:val="0"/>
            <w:vAlign w:val="center"/>
          </w:tcPr>
          <w:p w14:paraId="5C696439">
            <w:pPr>
              <w:widowControl w:val="0"/>
              <w:jc w:val="center"/>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val="en-US" w:eastAsia="zh-CN"/>
              </w:rPr>
              <w:t>备注</w:t>
            </w:r>
          </w:p>
        </w:tc>
      </w:tr>
      <w:tr w14:paraId="2D7F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93" w:type="dxa"/>
            <w:noWrap w:val="0"/>
            <w:vAlign w:val="center"/>
          </w:tcPr>
          <w:p w14:paraId="5D67410C">
            <w:pPr>
              <w:widowControl w:val="0"/>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1</w:t>
            </w:r>
          </w:p>
        </w:tc>
        <w:tc>
          <w:tcPr>
            <w:tcW w:w="1302" w:type="dxa"/>
            <w:noWrap w:val="0"/>
            <w:vAlign w:val="center"/>
          </w:tcPr>
          <w:p w14:paraId="3A1C624A">
            <w:pPr>
              <w:widowControl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生物反馈治疗仪（10人台）</w:t>
            </w:r>
          </w:p>
        </w:tc>
        <w:tc>
          <w:tcPr>
            <w:tcW w:w="4902" w:type="dxa"/>
            <w:noWrap w:val="0"/>
            <w:vAlign w:val="center"/>
          </w:tcPr>
          <w:p w14:paraId="6E578B53">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 xml:space="preserve">一、软件配置： </w:t>
            </w:r>
          </w:p>
          <w:p w14:paraId="7C6F32C4">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1.符合国家医药行业YY0903-2013《脑电生物反馈仪》标准。</w:t>
            </w:r>
          </w:p>
          <w:p w14:paraId="328942D2">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2.功能：适用于抑郁症、焦虑症或失眠、儿童多动症等疾病的生物反馈治疗，具有心理量表评估功能。</w:t>
            </w:r>
          </w:p>
          <w:p w14:paraId="4DB0C47F">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.脑电参数可进行实时反馈，可通过不同病症的脑电图的改变，采取不同治疗方案，进行点对点训练，达到针对性治疗的目的。</w:t>
            </w:r>
          </w:p>
          <w:p w14:paraId="34EA9656">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lang w:eastAsia="zh-CN"/>
              </w:rPr>
              <w:t>.脑电反馈的频段可调节，从而对某一或某几频段的脑电波进行增加或减弱训练。例如对α、β、θ、δ四个波段进行分别训练及组合训练。</w:t>
            </w:r>
          </w:p>
          <w:p w14:paraId="47929B52">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lang w:eastAsia="zh-CN"/>
              </w:rPr>
              <w:t>.操作人员在控制端可通过无线链接方式，实时调控和观测各个治疗终端脑电图功能（包括动画选择、难易程度、数据分析等）设置及脑电图的变化。</w:t>
            </w:r>
          </w:p>
          <w:p w14:paraId="452A2478">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lang w:eastAsia="zh-CN"/>
              </w:rPr>
              <w:t>.具备新型无线传输技术，可达到10个以上的用户在同一网络中同时进行训练与治疗，服务器集中控制≥10台终端，操作人员可以通过服务器统一或自由设定终端训练方式，可以方便同一类型病人统一治疗，也可以方便不同类型病人的针对性治疗。</w:t>
            </w:r>
          </w:p>
          <w:p w14:paraId="00726283">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7</w:t>
            </w:r>
            <w:r>
              <w:rPr>
                <w:rFonts w:hint="eastAsia" w:ascii="宋体" w:hAnsi="宋体" w:eastAsia="宋体" w:cs="宋体"/>
                <w:b w:val="0"/>
                <w:bCs w:val="0"/>
                <w:color w:val="auto"/>
                <w:szCs w:val="21"/>
                <w:highlight w:val="none"/>
                <w:lang w:eastAsia="zh-CN"/>
              </w:rPr>
              <w:t>.通过服务器可以查询和打印病人治疗报告等。</w:t>
            </w:r>
          </w:p>
          <w:p w14:paraId="04ADA5E2">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lang w:eastAsia="zh-CN"/>
              </w:rPr>
              <w:t>.任何终端均可分离当作独立单机使用，不受主机控制可分配到其他分院或科室使用。</w:t>
            </w:r>
          </w:p>
          <w:p w14:paraId="2C9205FE">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cs="宋体"/>
                <w:b w:val="0"/>
                <w:bCs w:val="0"/>
                <w:color w:val="auto"/>
                <w:szCs w:val="21"/>
                <w:highlight w:val="none"/>
                <w:lang w:val="en-US" w:eastAsia="zh-CN"/>
              </w:rPr>
              <w:t>9</w:t>
            </w:r>
            <w:r>
              <w:rPr>
                <w:rFonts w:hint="eastAsia" w:ascii="宋体" w:hAnsi="宋体" w:eastAsia="宋体" w:cs="宋体"/>
                <w:b w:val="0"/>
                <w:bCs w:val="0"/>
                <w:color w:val="auto"/>
                <w:szCs w:val="21"/>
                <w:highlight w:val="none"/>
                <w:lang w:eastAsia="zh-CN"/>
              </w:rPr>
              <w:t>.任何终端可同时设置不同疾病的训练方案，针对不同疾病为患者提供不同的动画进行治疗。</w:t>
            </w:r>
          </w:p>
          <w:p w14:paraId="28167D3F">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w:t>
            </w:r>
            <w:r>
              <w:rPr>
                <w:rFonts w:hint="eastAsia" w:ascii="宋体" w:hAnsi="宋体" w:cs="宋体"/>
                <w:b w:val="0"/>
                <w:bCs w:val="0"/>
                <w:color w:val="auto"/>
                <w:szCs w:val="21"/>
                <w:highlight w:val="none"/>
                <w:lang w:val="en-US" w:eastAsia="zh-CN"/>
              </w:rPr>
              <w:t>0</w:t>
            </w:r>
            <w:r>
              <w:rPr>
                <w:rFonts w:hint="eastAsia" w:ascii="宋体" w:hAnsi="宋体" w:eastAsia="宋体" w:cs="宋体"/>
                <w:b w:val="0"/>
                <w:bCs w:val="0"/>
                <w:color w:val="auto"/>
                <w:szCs w:val="21"/>
                <w:highlight w:val="none"/>
                <w:lang w:eastAsia="zh-CN"/>
              </w:rPr>
              <w:t>.在治疗过程中，所有的训练信息都会被存储，以便医生能够对数据进行进一步的分析，以及能够方便将前后不同训练阶段的情况进行比较，以便随时观察治疗效果。</w:t>
            </w:r>
          </w:p>
          <w:p w14:paraId="40BA20DD">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w:t>
            </w:r>
            <w:r>
              <w:rPr>
                <w:rFonts w:hint="eastAsia" w:ascii="宋体" w:hAnsi="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eastAsia="zh-CN"/>
              </w:rPr>
              <w:t>.具备数据分析平台，对患者的病情进行跟踪性记录和分析。为医师提供大量的数据，保证决策支持的正确性。</w:t>
            </w:r>
          </w:p>
          <w:p w14:paraId="434B8DEC">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w:t>
            </w:r>
            <w:r>
              <w:rPr>
                <w:rFonts w:hint="eastAsia" w:ascii="宋体" w:hAnsi="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lang w:eastAsia="zh-CN"/>
              </w:rPr>
              <w:t>.可输出疗效报告、原始波形、波形分离、小波分析、快速傅里叶变化（FFT）、时频分析、趋势分析等。</w:t>
            </w:r>
          </w:p>
          <w:p w14:paraId="695FA895">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w:t>
            </w:r>
            <w:r>
              <w:rPr>
                <w:rFonts w:hint="eastAsia" w:ascii="宋体" w:hAnsi="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eastAsia="zh-CN"/>
              </w:rPr>
              <w:t>.报告输出：可对训练效果进行分析评价并生成报告，报告为word或PDF格式。</w:t>
            </w:r>
          </w:p>
          <w:p w14:paraId="176FC8A9">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w:t>
            </w:r>
            <w:r>
              <w:rPr>
                <w:rFonts w:hint="eastAsia" w:ascii="宋体" w:hAnsi="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lang w:eastAsia="zh-CN"/>
              </w:rPr>
              <w:t>.丰富灵活的动画种类，能针对患者的情况采用相应的动画类型进行治疗，可灵活自定义动画，扩展治疗动画类型。</w:t>
            </w:r>
          </w:p>
          <w:p w14:paraId="3C17ED19">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w:t>
            </w:r>
            <w:r>
              <w:rPr>
                <w:rFonts w:hint="eastAsia" w:ascii="宋体" w:hAnsi="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lang w:eastAsia="zh-CN"/>
              </w:rPr>
              <w:t>.具备EEG伪差鉴别功能，医务人员能准确，及时发现治疗过程中驱动动画的因素(患者躯体动作产生伪差)，以确保患者更好的配合治疗。</w:t>
            </w:r>
          </w:p>
          <w:p w14:paraId="01B505D7">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w:t>
            </w:r>
            <w:r>
              <w:rPr>
                <w:rFonts w:hint="eastAsia" w:ascii="宋体" w:hAnsi="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lang w:eastAsia="zh-CN"/>
              </w:rPr>
              <w:t>.软件免费升级,标准配置不少于50种治疗动画（需提供系统动画数量截图）。</w:t>
            </w:r>
          </w:p>
          <w:p w14:paraId="16A28886">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二、脑电信号传感器参数：</w:t>
            </w:r>
          </w:p>
          <w:p w14:paraId="529ADA3A">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 脑电(EEG)：噪声电平：≤3μV；共模抑制比：≥90 dB。</w:t>
            </w:r>
          </w:p>
          <w:p w14:paraId="6D13DB87">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输入范围：≥±500 μV；电压测量：误差不超过±10%；时间间隔：误差不超过±5%；高频截止频率：30 Hz，符合A0.9Fc≥0.7 A10≥A1.1 Fc要求；耐极化电压：加±300 mV的直流极化电压，偏差为±5%。</w:t>
            </w:r>
          </w:p>
          <w:p w14:paraId="0238F91A">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2.脑电传感器可实时传输各治疗终端的脑电信号，可实时监测各终端的治疗情况。</w:t>
            </w:r>
          </w:p>
          <w:p w14:paraId="3535C8A6">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3.脑电电极的生物相容性（国家强制性必检项目）：</w:t>
            </w:r>
          </w:p>
          <w:p w14:paraId="477405EF">
            <w:pPr>
              <w:widowControl w:val="0"/>
              <w:spacing w:line="360" w:lineRule="auto"/>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与患者接触的材料无细胞毒性、迟发型超敏反应和皮内反应。该材料必须进行生物相容性的试验或评价；细胞毒性：≤1级；迟发型超敏反应：无迟发型超敏反应；皮内反应：试验样品和溶剂对照平均积分之差≤1.0。</w:t>
            </w:r>
          </w:p>
        </w:tc>
        <w:tc>
          <w:tcPr>
            <w:tcW w:w="669" w:type="dxa"/>
            <w:noWrap w:val="0"/>
            <w:vAlign w:val="center"/>
          </w:tcPr>
          <w:p w14:paraId="359AC18D">
            <w:pPr>
              <w:widowControl w:val="0"/>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4</w:t>
            </w:r>
          </w:p>
        </w:tc>
        <w:tc>
          <w:tcPr>
            <w:tcW w:w="720" w:type="dxa"/>
            <w:noWrap w:val="0"/>
            <w:vAlign w:val="center"/>
          </w:tcPr>
          <w:p w14:paraId="736EC7D6">
            <w:pPr>
              <w:widowControl w:val="0"/>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套</w:t>
            </w:r>
          </w:p>
        </w:tc>
        <w:tc>
          <w:tcPr>
            <w:tcW w:w="905" w:type="dxa"/>
            <w:noWrap w:val="0"/>
            <w:vAlign w:val="center"/>
          </w:tcPr>
          <w:p w14:paraId="03184CB7">
            <w:pPr>
              <w:widowControl w:val="0"/>
              <w:jc w:val="center"/>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lang w:val="en-US" w:eastAsia="zh-CN"/>
              </w:rPr>
              <w:t>核心产品</w:t>
            </w:r>
          </w:p>
        </w:tc>
      </w:tr>
    </w:tbl>
    <w:p w14:paraId="2B1346C3">
      <w:pPr>
        <w:pStyle w:val="11"/>
        <w:rPr>
          <w:rFonts w:hint="eastAsia"/>
          <w:color w:val="auto"/>
          <w:highlight w:val="none"/>
        </w:rPr>
      </w:pPr>
    </w:p>
    <w:bookmarkEnd w:id="188"/>
    <w:p w14:paraId="591506D2">
      <w:pPr>
        <w:numPr>
          <w:ilvl w:val="0"/>
          <w:numId w:val="0"/>
        </w:numPr>
        <w:rPr>
          <w:rFonts w:hint="eastAsia" w:ascii="宋体" w:hAnsi="宋体" w:eastAsia="宋体" w:cs="宋体"/>
          <w:b/>
          <w:bCs w:val="0"/>
          <w:color w:val="auto"/>
          <w:kern w:val="44"/>
          <w:sz w:val="32"/>
          <w:szCs w:val="20"/>
          <w:highlight w:val="none"/>
        </w:rPr>
      </w:pPr>
      <w:r>
        <w:rPr>
          <w:rFonts w:hint="eastAsia" w:ascii="宋体" w:hAnsi="宋体" w:cs="宋体"/>
          <w:b/>
          <w:bCs w:val="0"/>
          <w:color w:val="auto"/>
          <w:kern w:val="44"/>
          <w:sz w:val="32"/>
          <w:szCs w:val="20"/>
          <w:highlight w:val="none"/>
          <w:lang w:val="en-US" w:eastAsia="zh-CN"/>
        </w:rPr>
        <w:t>三、配置清单</w:t>
      </w:r>
    </w:p>
    <w:tbl>
      <w:tblPr>
        <w:tblStyle w:val="38"/>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5750"/>
        <w:gridCol w:w="1185"/>
        <w:gridCol w:w="1067"/>
      </w:tblGrid>
      <w:tr w14:paraId="5EE9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exact"/>
          <w:jc w:val="center"/>
        </w:trPr>
        <w:tc>
          <w:tcPr>
            <w:tcW w:w="916" w:type="dxa"/>
            <w:vAlign w:val="center"/>
          </w:tcPr>
          <w:p w14:paraId="738FAE87">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5750" w:type="dxa"/>
            <w:vAlign w:val="center"/>
          </w:tcPr>
          <w:p w14:paraId="228E9BAC">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名称</w:t>
            </w:r>
          </w:p>
        </w:tc>
        <w:tc>
          <w:tcPr>
            <w:tcW w:w="1185" w:type="dxa"/>
            <w:vAlign w:val="center"/>
          </w:tcPr>
          <w:p w14:paraId="755E4CDC">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单位</w:t>
            </w:r>
          </w:p>
        </w:tc>
        <w:tc>
          <w:tcPr>
            <w:tcW w:w="1067" w:type="dxa"/>
            <w:vAlign w:val="center"/>
          </w:tcPr>
          <w:p w14:paraId="2B3EBDEC">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数量</w:t>
            </w:r>
          </w:p>
        </w:tc>
      </w:tr>
      <w:tr w14:paraId="0FAC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8918" w:type="dxa"/>
            <w:gridSpan w:val="4"/>
            <w:vAlign w:val="center"/>
          </w:tcPr>
          <w:p w14:paraId="720E12ED">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脑电生物反馈治疗仪软件配置</w:t>
            </w:r>
          </w:p>
        </w:tc>
      </w:tr>
      <w:tr w14:paraId="4D45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35EF681E">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5750" w:type="dxa"/>
            <w:vAlign w:val="center"/>
          </w:tcPr>
          <w:p w14:paraId="17C6F9CD">
            <w:pPr>
              <w:spacing w:line="26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生物反馈远程</w:t>
            </w:r>
            <w:r>
              <w:rPr>
                <w:rFonts w:hint="eastAsia" w:asciiTheme="minorEastAsia" w:hAnsiTheme="minorEastAsia" w:eastAsiaTheme="minorEastAsia" w:cstheme="minorEastAsia"/>
                <w:color w:val="auto"/>
                <w:kern w:val="0"/>
                <w:sz w:val="21"/>
                <w:szCs w:val="21"/>
                <w:highlight w:val="none"/>
                <w:lang w:val="en-US" w:eastAsia="zh-CN"/>
              </w:rPr>
              <w:t>网络团体</w:t>
            </w:r>
            <w:r>
              <w:rPr>
                <w:rFonts w:hint="eastAsia" w:asciiTheme="minorEastAsia" w:hAnsiTheme="minorEastAsia" w:eastAsiaTheme="minorEastAsia" w:cstheme="minorEastAsia"/>
                <w:color w:val="auto"/>
                <w:kern w:val="0"/>
                <w:sz w:val="21"/>
                <w:szCs w:val="21"/>
                <w:highlight w:val="none"/>
              </w:rPr>
              <w:t>控制</w:t>
            </w:r>
            <w:r>
              <w:rPr>
                <w:rFonts w:hint="eastAsia" w:asciiTheme="minorEastAsia" w:hAnsiTheme="minorEastAsia" w:eastAsiaTheme="minorEastAsia" w:cstheme="minorEastAsia"/>
                <w:color w:val="auto"/>
                <w:kern w:val="0"/>
                <w:sz w:val="21"/>
                <w:szCs w:val="21"/>
                <w:highlight w:val="none"/>
                <w:lang w:val="en-US" w:eastAsia="zh-CN"/>
              </w:rPr>
              <w:t>系统</w:t>
            </w:r>
          </w:p>
        </w:tc>
        <w:tc>
          <w:tcPr>
            <w:tcW w:w="1185" w:type="dxa"/>
            <w:vAlign w:val="center"/>
          </w:tcPr>
          <w:p w14:paraId="0614A114">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套</w:t>
            </w:r>
          </w:p>
        </w:tc>
        <w:tc>
          <w:tcPr>
            <w:tcW w:w="1067" w:type="dxa"/>
            <w:vAlign w:val="center"/>
          </w:tcPr>
          <w:p w14:paraId="426E4D23">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r>
      <w:tr w14:paraId="33A1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336A363B">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5750" w:type="dxa"/>
            <w:vAlign w:val="center"/>
          </w:tcPr>
          <w:p w14:paraId="576A3F37">
            <w:pPr>
              <w:spacing w:line="260" w:lineRule="exact"/>
              <w:jc w:val="cente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生物反馈</w:t>
            </w:r>
            <w:r>
              <w:rPr>
                <w:rFonts w:hint="eastAsia" w:asciiTheme="minorEastAsia" w:hAnsiTheme="minorEastAsia" w:eastAsiaTheme="minorEastAsia" w:cstheme="minorEastAsia"/>
                <w:color w:val="auto"/>
                <w:kern w:val="0"/>
                <w:sz w:val="21"/>
                <w:szCs w:val="21"/>
                <w:highlight w:val="none"/>
                <w:lang w:val="en-US" w:eastAsia="zh-CN"/>
              </w:rPr>
              <w:t>驱动</w:t>
            </w:r>
            <w:r>
              <w:rPr>
                <w:rFonts w:hint="eastAsia" w:asciiTheme="minorEastAsia" w:hAnsiTheme="minorEastAsia" w:eastAsiaTheme="minorEastAsia" w:cstheme="minorEastAsia"/>
                <w:color w:val="auto"/>
                <w:kern w:val="0"/>
                <w:sz w:val="21"/>
                <w:szCs w:val="21"/>
                <w:highlight w:val="none"/>
              </w:rPr>
              <w:t>伪差鉴别</w:t>
            </w:r>
            <w:r>
              <w:rPr>
                <w:rFonts w:hint="eastAsia" w:asciiTheme="minorEastAsia" w:hAnsiTheme="minorEastAsia" w:eastAsiaTheme="minorEastAsia" w:cstheme="minorEastAsia"/>
                <w:color w:val="auto"/>
                <w:kern w:val="0"/>
                <w:sz w:val="21"/>
                <w:szCs w:val="21"/>
                <w:highlight w:val="none"/>
                <w:lang w:val="en-US" w:eastAsia="zh-CN"/>
              </w:rPr>
              <w:t>功能</w:t>
            </w:r>
          </w:p>
        </w:tc>
        <w:tc>
          <w:tcPr>
            <w:tcW w:w="1185" w:type="dxa"/>
            <w:vAlign w:val="center"/>
          </w:tcPr>
          <w:p w14:paraId="46A1CEA0">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套</w:t>
            </w:r>
          </w:p>
        </w:tc>
        <w:tc>
          <w:tcPr>
            <w:tcW w:w="1067" w:type="dxa"/>
            <w:vAlign w:val="center"/>
          </w:tcPr>
          <w:p w14:paraId="3A09EB90">
            <w:pPr>
              <w:spacing w:line="26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w:t>
            </w:r>
          </w:p>
        </w:tc>
      </w:tr>
      <w:tr w14:paraId="2967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1D8C1203">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5750" w:type="dxa"/>
            <w:vAlign w:val="center"/>
          </w:tcPr>
          <w:p w14:paraId="257276DB">
            <w:pPr>
              <w:spacing w:line="260" w:lineRule="exact"/>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生物反馈</w:t>
            </w:r>
            <w:r>
              <w:rPr>
                <w:rFonts w:hint="eastAsia" w:asciiTheme="minorEastAsia" w:hAnsiTheme="minorEastAsia" w:eastAsiaTheme="minorEastAsia" w:cstheme="minorEastAsia"/>
                <w:color w:val="auto"/>
                <w:sz w:val="21"/>
                <w:szCs w:val="21"/>
                <w:highlight w:val="none"/>
                <w:lang w:val="en-US" w:eastAsia="zh-CN"/>
              </w:rPr>
              <w:t>治疗</w:t>
            </w:r>
            <w:r>
              <w:rPr>
                <w:rFonts w:hint="eastAsia" w:asciiTheme="minorEastAsia" w:hAnsiTheme="minorEastAsia" w:eastAsiaTheme="minorEastAsia" w:cstheme="minorEastAsia"/>
                <w:color w:val="auto"/>
                <w:sz w:val="21"/>
                <w:szCs w:val="21"/>
                <w:highlight w:val="none"/>
              </w:rPr>
              <w:t>系统</w:t>
            </w:r>
          </w:p>
        </w:tc>
        <w:tc>
          <w:tcPr>
            <w:tcW w:w="1185" w:type="dxa"/>
            <w:vAlign w:val="center"/>
          </w:tcPr>
          <w:p w14:paraId="763C441C">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套</w:t>
            </w:r>
          </w:p>
        </w:tc>
        <w:tc>
          <w:tcPr>
            <w:tcW w:w="1067" w:type="dxa"/>
            <w:vAlign w:val="center"/>
          </w:tcPr>
          <w:p w14:paraId="0A5CA02B">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w:t>
            </w:r>
          </w:p>
        </w:tc>
      </w:tr>
      <w:tr w14:paraId="689D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522F8B4D">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5750" w:type="dxa"/>
            <w:vAlign w:val="center"/>
          </w:tcPr>
          <w:p w14:paraId="5A0B7352">
            <w:pPr>
              <w:spacing w:line="260" w:lineRule="exact"/>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图片抓取播放生物反馈软件</w:t>
            </w:r>
          </w:p>
        </w:tc>
        <w:tc>
          <w:tcPr>
            <w:tcW w:w="1185" w:type="dxa"/>
            <w:vAlign w:val="center"/>
          </w:tcPr>
          <w:p w14:paraId="31617C5F">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套</w:t>
            </w:r>
          </w:p>
        </w:tc>
        <w:tc>
          <w:tcPr>
            <w:tcW w:w="1067" w:type="dxa"/>
            <w:vAlign w:val="center"/>
          </w:tcPr>
          <w:p w14:paraId="03098366">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w:t>
            </w:r>
          </w:p>
        </w:tc>
      </w:tr>
      <w:tr w14:paraId="35AF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38D58AD6">
            <w:pPr>
              <w:spacing w:line="26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w:t>
            </w:r>
          </w:p>
        </w:tc>
        <w:tc>
          <w:tcPr>
            <w:tcW w:w="5750" w:type="dxa"/>
            <w:vAlign w:val="center"/>
          </w:tcPr>
          <w:p w14:paraId="307479D4">
            <w:pPr>
              <w:tabs>
                <w:tab w:val="left" w:pos="1184"/>
              </w:tabs>
              <w:spacing w:line="26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报告分析系统</w:t>
            </w:r>
          </w:p>
        </w:tc>
        <w:tc>
          <w:tcPr>
            <w:tcW w:w="1185" w:type="dxa"/>
            <w:shd w:val="clear" w:color="auto" w:fill="auto"/>
            <w:vAlign w:val="center"/>
          </w:tcPr>
          <w:p w14:paraId="6A9F09B6">
            <w:pPr>
              <w:spacing w:line="26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套</w:t>
            </w:r>
          </w:p>
        </w:tc>
        <w:tc>
          <w:tcPr>
            <w:tcW w:w="1067" w:type="dxa"/>
            <w:shd w:val="clear" w:color="auto" w:fill="auto"/>
            <w:vAlign w:val="center"/>
          </w:tcPr>
          <w:p w14:paraId="0A7ABB6A">
            <w:pPr>
              <w:spacing w:line="26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10</w:t>
            </w:r>
          </w:p>
        </w:tc>
      </w:tr>
      <w:tr w14:paraId="0F49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28625778">
            <w:pPr>
              <w:spacing w:line="26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5750" w:type="dxa"/>
            <w:vAlign w:val="center"/>
          </w:tcPr>
          <w:p w14:paraId="3354814B">
            <w:pPr>
              <w:tabs>
                <w:tab w:val="left" w:pos="1184"/>
              </w:tabs>
              <w:spacing w:line="26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数据测评系统</w:t>
            </w:r>
          </w:p>
        </w:tc>
        <w:tc>
          <w:tcPr>
            <w:tcW w:w="1185" w:type="dxa"/>
            <w:shd w:val="clear" w:color="auto" w:fill="auto"/>
            <w:vAlign w:val="center"/>
          </w:tcPr>
          <w:p w14:paraId="143BA7E1">
            <w:pPr>
              <w:spacing w:line="26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套</w:t>
            </w:r>
          </w:p>
        </w:tc>
        <w:tc>
          <w:tcPr>
            <w:tcW w:w="1067" w:type="dxa"/>
            <w:shd w:val="clear" w:color="auto" w:fill="auto"/>
            <w:vAlign w:val="center"/>
          </w:tcPr>
          <w:p w14:paraId="582FC416">
            <w:pPr>
              <w:spacing w:line="26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10</w:t>
            </w:r>
          </w:p>
        </w:tc>
      </w:tr>
      <w:tr w14:paraId="7F12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1C0443A2">
            <w:pPr>
              <w:spacing w:line="26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w:t>
            </w:r>
          </w:p>
        </w:tc>
        <w:tc>
          <w:tcPr>
            <w:tcW w:w="5750" w:type="dxa"/>
            <w:vAlign w:val="center"/>
          </w:tcPr>
          <w:p w14:paraId="5EC62B99">
            <w:pPr>
              <w:tabs>
                <w:tab w:val="left" w:pos="1184"/>
              </w:tabs>
              <w:spacing w:line="260" w:lineRule="exact"/>
              <w:jc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信息管理系统</w:t>
            </w:r>
          </w:p>
        </w:tc>
        <w:tc>
          <w:tcPr>
            <w:tcW w:w="1185" w:type="dxa"/>
            <w:shd w:val="clear" w:color="auto" w:fill="auto"/>
            <w:vAlign w:val="center"/>
          </w:tcPr>
          <w:p w14:paraId="02D0E278">
            <w:pPr>
              <w:spacing w:line="26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套</w:t>
            </w:r>
          </w:p>
        </w:tc>
        <w:tc>
          <w:tcPr>
            <w:tcW w:w="1067" w:type="dxa"/>
            <w:shd w:val="clear" w:color="auto" w:fill="auto"/>
            <w:vAlign w:val="center"/>
          </w:tcPr>
          <w:p w14:paraId="79294C4F">
            <w:pPr>
              <w:spacing w:line="26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10</w:t>
            </w:r>
          </w:p>
        </w:tc>
      </w:tr>
      <w:tr w14:paraId="47A6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8918" w:type="dxa"/>
            <w:gridSpan w:val="4"/>
            <w:vAlign w:val="center"/>
          </w:tcPr>
          <w:p w14:paraId="60612D33">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脑电生物反馈治疗仪硬件配置</w:t>
            </w:r>
          </w:p>
        </w:tc>
      </w:tr>
      <w:tr w14:paraId="3CFF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7A0065E8">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5750" w:type="dxa"/>
            <w:vAlign w:val="center"/>
          </w:tcPr>
          <w:p w14:paraId="0E2EA4FE">
            <w:pPr>
              <w:spacing w:line="260" w:lineRule="exact"/>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服务器（主机、显示器</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键盘鼠标</w:t>
            </w:r>
            <w:r>
              <w:rPr>
                <w:rFonts w:hint="eastAsia" w:asciiTheme="minorEastAsia" w:hAnsiTheme="minorEastAsia" w:eastAsiaTheme="minorEastAsia" w:cstheme="minorEastAsia"/>
                <w:color w:val="auto"/>
                <w:kern w:val="0"/>
                <w:sz w:val="21"/>
                <w:szCs w:val="21"/>
                <w:highlight w:val="none"/>
              </w:rPr>
              <w:t>）</w:t>
            </w:r>
          </w:p>
        </w:tc>
        <w:tc>
          <w:tcPr>
            <w:tcW w:w="1185" w:type="dxa"/>
            <w:vAlign w:val="center"/>
          </w:tcPr>
          <w:p w14:paraId="361C7212">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套</w:t>
            </w:r>
          </w:p>
        </w:tc>
        <w:tc>
          <w:tcPr>
            <w:tcW w:w="1067" w:type="dxa"/>
            <w:vAlign w:val="center"/>
          </w:tcPr>
          <w:p w14:paraId="3F6E17AB">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r>
      <w:tr w14:paraId="76E6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2D8C960F">
            <w:pPr>
              <w:spacing w:line="26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5750" w:type="dxa"/>
            <w:vAlign w:val="center"/>
          </w:tcPr>
          <w:p w14:paraId="3353C17A">
            <w:pPr>
              <w:spacing w:line="260" w:lineRule="exact"/>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液晶</w:t>
            </w:r>
            <w:r>
              <w:rPr>
                <w:rFonts w:hint="eastAsia" w:asciiTheme="minorEastAsia" w:hAnsiTheme="minorEastAsia" w:eastAsiaTheme="minorEastAsia" w:cstheme="minorEastAsia"/>
                <w:color w:val="auto"/>
                <w:kern w:val="0"/>
                <w:sz w:val="21"/>
                <w:szCs w:val="21"/>
                <w:highlight w:val="none"/>
              </w:rPr>
              <w:t>显示器</w:t>
            </w:r>
          </w:p>
        </w:tc>
        <w:tc>
          <w:tcPr>
            <w:tcW w:w="1185" w:type="dxa"/>
            <w:vAlign w:val="center"/>
          </w:tcPr>
          <w:p w14:paraId="7CBD75C4">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台</w:t>
            </w:r>
          </w:p>
        </w:tc>
        <w:tc>
          <w:tcPr>
            <w:tcW w:w="1067" w:type="dxa"/>
            <w:vAlign w:val="center"/>
          </w:tcPr>
          <w:p w14:paraId="681A60D1">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w:t>
            </w:r>
          </w:p>
        </w:tc>
      </w:tr>
      <w:tr w14:paraId="06F9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exact"/>
          <w:jc w:val="center"/>
        </w:trPr>
        <w:tc>
          <w:tcPr>
            <w:tcW w:w="916" w:type="dxa"/>
            <w:vAlign w:val="center"/>
          </w:tcPr>
          <w:p w14:paraId="776924AD">
            <w:pPr>
              <w:spacing w:line="26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3</w:t>
            </w:r>
          </w:p>
        </w:tc>
        <w:tc>
          <w:tcPr>
            <w:tcW w:w="5750" w:type="dxa"/>
            <w:vAlign w:val="center"/>
          </w:tcPr>
          <w:p w14:paraId="2D00BD09">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治疗终端机</w:t>
            </w:r>
          </w:p>
        </w:tc>
        <w:tc>
          <w:tcPr>
            <w:tcW w:w="1185" w:type="dxa"/>
            <w:vAlign w:val="center"/>
          </w:tcPr>
          <w:p w14:paraId="406C2B97">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套</w:t>
            </w:r>
          </w:p>
        </w:tc>
        <w:tc>
          <w:tcPr>
            <w:tcW w:w="1067" w:type="dxa"/>
            <w:vAlign w:val="center"/>
          </w:tcPr>
          <w:p w14:paraId="3B8B0562">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w:t>
            </w:r>
          </w:p>
        </w:tc>
      </w:tr>
      <w:tr w14:paraId="0E6A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exact"/>
          <w:jc w:val="center"/>
        </w:trPr>
        <w:tc>
          <w:tcPr>
            <w:tcW w:w="916" w:type="dxa"/>
            <w:vAlign w:val="center"/>
          </w:tcPr>
          <w:p w14:paraId="4A2C0CD5">
            <w:pPr>
              <w:spacing w:line="26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5750" w:type="dxa"/>
            <w:vAlign w:val="center"/>
          </w:tcPr>
          <w:p w14:paraId="1F620E80">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耳机</w:t>
            </w:r>
          </w:p>
        </w:tc>
        <w:tc>
          <w:tcPr>
            <w:tcW w:w="1185" w:type="dxa"/>
            <w:vAlign w:val="center"/>
          </w:tcPr>
          <w:p w14:paraId="3BCE347D">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个</w:t>
            </w:r>
          </w:p>
        </w:tc>
        <w:tc>
          <w:tcPr>
            <w:tcW w:w="1067" w:type="dxa"/>
            <w:vAlign w:val="center"/>
          </w:tcPr>
          <w:p w14:paraId="7D7D779A">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w:t>
            </w:r>
          </w:p>
        </w:tc>
      </w:tr>
    </w:tbl>
    <w:p w14:paraId="00EE816D">
      <w:pPr>
        <w:pageBreakBefore w:val="0"/>
        <w:widowControl/>
        <w:overflowPunct/>
        <w:topLinePunct w:val="0"/>
        <w:bidi w:val="0"/>
        <w:spacing w:line="360" w:lineRule="auto"/>
        <w:ind w:firstLine="422"/>
        <w:jc w:val="left"/>
        <w:rPr>
          <w:rFonts w:hint="eastAsia" w:asciiTheme="minorEastAsia" w:hAnsiTheme="minorEastAsia" w:eastAsiaTheme="minorEastAsia" w:cstheme="minorEastAsia"/>
          <w:color w:val="auto"/>
          <w:sz w:val="21"/>
          <w:szCs w:val="21"/>
          <w:highlight w:val="none"/>
        </w:rPr>
      </w:pPr>
    </w:p>
    <w:p w14:paraId="1571F785">
      <w:pPr>
        <w:pStyle w:val="233"/>
        <w:spacing w:line="360" w:lineRule="auto"/>
        <w:rPr>
          <w:rFonts w:hint="eastAsia" w:ascii="宋体" w:hAnsi="宋体" w:eastAsia="宋体" w:cs="宋体"/>
          <w:b w:val="0"/>
          <w:bCs/>
          <w:color w:val="auto"/>
          <w:kern w:val="44"/>
          <w:sz w:val="21"/>
          <w:szCs w:val="21"/>
          <w:highlight w:val="none"/>
        </w:rPr>
      </w:pPr>
      <w:r>
        <w:rPr>
          <w:rFonts w:hint="eastAsia" w:ascii="宋体" w:hAnsi="宋体" w:eastAsia="宋体" w:cs="宋体"/>
          <w:b w:val="0"/>
          <w:bCs/>
          <w:color w:val="auto"/>
          <w:kern w:val="44"/>
          <w:sz w:val="21"/>
          <w:szCs w:val="21"/>
          <w:highlight w:val="none"/>
        </w:rPr>
        <w:t>备注：</w:t>
      </w:r>
    </w:p>
    <w:p w14:paraId="10CF9F56">
      <w:pPr>
        <w:pStyle w:val="233"/>
        <w:spacing w:line="360" w:lineRule="auto"/>
        <w:rPr>
          <w:rFonts w:hint="eastAsia" w:ascii="宋体" w:hAnsi="宋体" w:eastAsia="宋体" w:cs="宋体"/>
          <w:b w:val="0"/>
          <w:bCs/>
          <w:color w:val="auto"/>
          <w:kern w:val="44"/>
          <w:sz w:val="21"/>
          <w:szCs w:val="21"/>
          <w:highlight w:val="none"/>
        </w:rPr>
      </w:pPr>
      <w:r>
        <w:rPr>
          <w:rFonts w:hint="eastAsia" w:ascii="宋体" w:hAnsi="宋体" w:eastAsia="宋体" w:cs="宋体"/>
          <w:b w:val="0"/>
          <w:bCs/>
          <w:color w:val="auto"/>
          <w:kern w:val="44"/>
          <w:sz w:val="21"/>
          <w:szCs w:val="21"/>
          <w:highlight w:val="none"/>
          <w:lang w:val="en-US" w:eastAsia="zh-CN"/>
        </w:rPr>
        <w:t>1.</w:t>
      </w:r>
      <w:r>
        <w:rPr>
          <w:rFonts w:hint="eastAsia" w:ascii="宋体" w:hAnsi="宋体" w:eastAsia="宋体" w:cs="宋体"/>
          <w:b w:val="0"/>
          <w:bCs/>
          <w:color w:val="auto"/>
          <w:kern w:val="44"/>
          <w:sz w:val="21"/>
          <w:szCs w:val="21"/>
          <w:highlight w:val="none"/>
        </w:rPr>
        <w:t>所有设备应配有详尽的产品使用说明书及相关的软件，软件维护及升级（所需费用包含在本次投标总报价中）。</w:t>
      </w:r>
    </w:p>
    <w:p w14:paraId="08EB73A9">
      <w:pPr>
        <w:pStyle w:val="233"/>
        <w:spacing w:line="360" w:lineRule="auto"/>
        <w:rPr>
          <w:rFonts w:hint="eastAsia" w:ascii="宋体" w:hAnsi="宋体" w:eastAsia="宋体" w:cs="宋体"/>
          <w:b w:val="0"/>
          <w:bCs/>
          <w:color w:val="auto"/>
          <w:kern w:val="44"/>
          <w:sz w:val="21"/>
          <w:szCs w:val="21"/>
          <w:highlight w:val="none"/>
          <w:lang w:val="en-US" w:eastAsia="zh-CN"/>
        </w:rPr>
      </w:pPr>
      <w:r>
        <w:rPr>
          <w:rFonts w:hint="eastAsia" w:ascii="宋体" w:hAnsi="宋体" w:eastAsia="宋体" w:cs="宋体"/>
          <w:b w:val="0"/>
          <w:bCs/>
          <w:color w:val="auto"/>
          <w:kern w:val="44"/>
          <w:sz w:val="21"/>
          <w:szCs w:val="21"/>
          <w:highlight w:val="none"/>
          <w:lang w:val="en-US" w:eastAsia="zh-CN"/>
        </w:rPr>
        <w:t>2.响应设备均应为最新的生产日期（截止响应截止时间，半年以内生产的设备），采购人在接收设备时如发现该设备为积压产品，将要求成交人更换最新设备，由此造成的一切损失由成交人自行负责。</w:t>
      </w:r>
    </w:p>
    <w:p w14:paraId="0FAB9DB7">
      <w:pPr>
        <w:pStyle w:val="233"/>
        <w:spacing w:line="360" w:lineRule="auto"/>
        <w:rPr>
          <w:rFonts w:hint="eastAsia" w:ascii="宋体" w:hAnsi="宋体" w:eastAsia="宋体" w:cs="宋体"/>
          <w:b w:val="0"/>
          <w:bCs/>
          <w:color w:val="auto"/>
          <w:kern w:val="44"/>
          <w:sz w:val="21"/>
          <w:szCs w:val="21"/>
          <w:highlight w:val="none"/>
          <w:lang w:val="en-US" w:eastAsia="zh-CN"/>
        </w:rPr>
      </w:pPr>
      <w:r>
        <w:rPr>
          <w:rFonts w:hint="eastAsia" w:ascii="宋体" w:hAnsi="宋体" w:eastAsia="宋体" w:cs="宋体"/>
          <w:b w:val="0"/>
          <w:bCs/>
          <w:color w:val="auto"/>
          <w:kern w:val="44"/>
          <w:sz w:val="21"/>
          <w:szCs w:val="21"/>
          <w:highlight w:val="none"/>
          <w:lang w:val="en-US" w:eastAsia="zh-CN"/>
        </w:rPr>
        <w:t>3</w:t>
      </w:r>
      <w:r>
        <w:rPr>
          <w:rFonts w:hint="eastAsia" w:ascii="宋体" w:hAnsi="宋体" w:eastAsia="宋体" w:cs="宋体"/>
          <w:b w:val="0"/>
          <w:bCs/>
          <w:color w:val="auto"/>
          <w:kern w:val="44"/>
          <w:sz w:val="21"/>
          <w:szCs w:val="21"/>
          <w:highlight w:val="none"/>
        </w:rPr>
        <w:t>.本项目预算价含接口费，设备接入医院信息系统时，</w:t>
      </w:r>
      <w:r>
        <w:rPr>
          <w:rFonts w:hint="eastAsia" w:ascii="宋体" w:hAnsi="宋体" w:eastAsia="宋体" w:cs="宋体"/>
          <w:b w:val="0"/>
          <w:bCs/>
          <w:color w:val="auto"/>
          <w:kern w:val="44"/>
          <w:sz w:val="21"/>
          <w:szCs w:val="21"/>
          <w:highlight w:val="none"/>
          <w:lang w:eastAsia="zh-CN"/>
        </w:rPr>
        <w:t>成交方</w:t>
      </w:r>
      <w:r>
        <w:rPr>
          <w:rFonts w:hint="eastAsia" w:ascii="宋体" w:hAnsi="宋体" w:eastAsia="宋体" w:cs="宋体"/>
          <w:b w:val="0"/>
          <w:bCs/>
          <w:color w:val="auto"/>
          <w:kern w:val="44"/>
          <w:sz w:val="21"/>
          <w:szCs w:val="21"/>
          <w:highlight w:val="none"/>
          <w:lang w:val="en-US" w:eastAsia="zh-CN"/>
        </w:rPr>
        <w:t>需</w:t>
      </w:r>
      <w:r>
        <w:rPr>
          <w:rFonts w:hint="eastAsia" w:ascii="宋体" w:hAnsi="宋体" w:eastAsia="宋体" w:cs="宋体"/>
          <w:b w:val="0"/>
          <w:bCs/>
          <w:color w:val="auto"/>
          <w:kern w:val="44"/>
          <w:sz w:val="21"/>
          <w:szCs w:val="21"/>
          <w:highlight w:val="none"/>
        </w:rPr>
        <w:t>提供免费接入服务。</w:t>
      </w:r>
    </w:p>
    <w:p w14:paraId="145AF55D">
      <w:pPr>
        <w:pStyle w:val="233"/>
        <w:spacing w:line="360" w:lineRule="auto"/>
        <w:rPr>
          <w:rFonts w:hint="eastAsia" w:ascii="宋体" w:hAnsi="宋体" w:eastAsia="宋体" w:cs="宋体"/>
          <w:b w:val="0"/>
          <w:bCs/>
          <w:color w:val="auto"/>
          <w:kern w:val="44"/>
          <w:sz w:val="21"/>
          <w:szCs w:val="21"/>
          <w:highlight w:val="none"/>
        </w:rPr>
      </w:pPr>
      <w:r>
        <w:rPr>
          <w:rFonts w:hint="eastAsia" w:ascii="宋体" w:hAnsi="宋体" w:eastAsia="宋体" w:cs="宋体"/>
          <w:b w:val="0"/>
          <w:bCs/>
          <w:color w:val="auto"/>
          <w:kern w:val="44"/>
          <w:sz w:val="21"/>
          <w:szCs w:val="21"/>
          <w:highlight w:val="none"/>
          <w:lang w:val="en-US" w:eastAsia="zh-CN"/>
        </w:rPr>
        <w:t>4</w:t>
      </w:r>
      <w:r>
        <w:rPr>
          <w:rFonts w:hint="eastAsia" w:ascii="宋体" w:hAnsi="宋体" w:eastAsia="宋体" w:cs="宋体"/>
          <w:b w:val="0"/>
          <w:bCs/>
          <w:color w:val="auto"/>
          <w:kern w:val="44"/>
          <w:sz w:val="21"/>
          <w:szCs w:val="21"/>
          <w:highlight w:val="none"/>
        </w:rPr>
        <w:t>.本项目采购内容中的强制节能产品包括但不限于：</w:t>
      </w:r>
      <w:r>
        <w:rPr>
          <w:rFonts w:hint="eastAsia" w:ascii="宋体" w:hAnsi="宋体" w:eastAsia="宋体" w:cs="宋体"/>
          <w:b w:val="0"/>
          <w:bCs/>
          <w:color w:val="auto"/>
          <w:kern w:val="44"/>
          <w:sz w:val="21"/>
          <w:szCs w:val="21"/>
          <w:highlight w:val="none"/>
          <w:lang w:val="en-US" w:eastAsia="zh-CN"/>
        </w:rPr>
        <w:t>计算机、液晶显示器</w:t>
      </w:r>
      <w:r>
        <w:rPr>
          <w:rFonts w:hint="eastAsia" w:ascii="宋体" w:hAnsi="宋体" w:eastAsia="宋体" w:cs="宋体"/>
          <w:b w:val="0"/>
          <w:bCs/>
          <w:color w:val="auto"/>
          <w:kern w:val="44"/>
          <w:sz w:val="21"/>
          <w:szCs w:val="21"/>
          <w:highlight w:val="none"/>
        </w:rPr>
        <w:t>等</w:t>
      </w:r>
      <w:r>
        <w:rPr>
          <w:rFonts w:hint="eastAsia" w:ascii="宋体" w:hAnsi="宋体" w:eastAsia="宋体" w:cs="宋体"/>
          <w:b w:val="0"/>
          <w:bCs/>
          <w:color w:val="auto"/>
          <w:kern w:val="44"/>
          <w:sz w:val="21"/>
          <w:szCs w:val="21"/>
          <w:highlight w:val="none"/>
          <w:lang w:val="en-US" w:eastAsia="zh-CN"/>
        </w:rPr>
        <w:t>；</w:t>
      </w:r>
      <w:r>
        <w:rPr>
          <w:rFonts w:hint="eastAsia" w:ascii="宋体" w:hAnsi="宋体" w:eastAsia="宋体" w:cs="宋体"/>
          <w:b w:val="0"/>
          <w:bCs/>
          <w:color w:val="auto"/>
          <w:kern w:val="44"/>
          <w:sz w:val="21"/>
          <w:szCs w:val="21"/>
          <w:highlight w:val="none"/>
        </w:rPr>
        <w:t>需提供国家确定的认证机构出具的、处于有效期之内的</w:t>
      </w:r>
      <w:r>
        <w:rPr>
          <w:rFonts w:hint="eastAsia" w:ascii="宋体" w:hAnsi="宋体" w:eastAsia="宋体" w:cs="宋体"/>
          <w:b w:val="0"/>
          <w:bCs w:val="0"/>
          <w:color w:val="auto"/>
          <w:kern w:val="2"/>
          <w:sz w:val="21"/>
          <w:szCs w:val="21"/>
          <w:highlight w:val="none"/>
          <w:lang w:val="en-US" w:eastAsia="zh-CN" w:bidi="ar-SA"/>
        </w:rPr>
        <w:t>《国家节能产品认证证书》</w:t>
      </w:r>
      <w:r>
        <w:rPr>
          <w:rFonts w:hint="eastAsia" w:ascii="宋体" w:hAnsi="宋体" w:eastAsia="宋体" w:cs="宋体"/>
          <w:b w:val="0"/>
          <w:bCs/>
          <w:color w:val="auto"/>
          <w:kern w:val="44"/>
          <w:sz w:val="21"/>
          <w:szCs w:val="21"/>
          <w:highlight w:val="none"/>
        </w:rPr>
        <w:t>。</w:t>
      </w:r>
    </w:p>
    <w:p w14:paraId="24252C58">
      <w:pPr>
        <w:pStyle w:val="233"/>
        <w:spacing w:line="360" w:lineRule="auto"/>
        <w:rPr>
          <w:rFonts w:hint="eastAsia" w:ascii="宋体" w:hAnsi="宋体" w:eastAsia="宋体" w:cs="宋体"/>
          <w:b w:val="0"/>
          <w:bCs/>
          <w:color w:val="auto"/>
          <w:kern w:val="44"/>
          <w:sz w:val="21"/>
          <w:szCs w:val="21"/>
          <w:highlight w:val="none"/>
        </w:rPr>
      </w:pPr>
      <w:r>
        <w:rPr>
          <w:rFonts w:hint="eastAsia" w:ascii="宋体" w:hAnsi="宋体" w:eastAsia="宋体" w:cs="宋体"/>
          <w:b w:val="0"/>
          <w:bCs/>
          <w:color w:val="auto"/>
          <w:kern w:val="44"/>
          <w:sz w:val="21"/>
          <w:szCs w:val="21"/>
          <w:highlight w:val="none"/>
          <w:lang w:val="en-US" w:eastAsia="zh-CN"/>
        </w:rPr>
        <w:t>5</w:t>
      </w:r>
      <w:r>
        <w:rPr>
          <w:rFonts w:hint="eastAsia" w:ascii="宋体" w:hAnsi="宋体" w:eastAsia="宋体" w:cs="宋体"/>
          <w:b w:val="0"/>
          <w:bCs/>
          <w:color w:val="auto"/>
          <w:kern w:val="44"/>
          <w:sz w:val="21"/>
          <w:szCs w:val="21"/>
          <w:highlight w:val="none"/>
        </w:rPr>
        <w:t>.如</w:t>
      </w:r>
      <w:r>
        <w:rPr>
          <w:rFonts w:hint="eastAsia" w:ascii="宋体" w:hAnsi="宋体" w:eastAsia="宋体" w:cs="宋体"/>
          <w:b w:val="0"/>
          <w:bCs/>
          <w:color w:val="auto"/>
          <w:kern w:val="44"/>
          <w:sz w:val="21"/>
          <w:szCs w:val="21"/>
          <w:highlight w:val="none"/>
          <w:lang w:eastAsia="zh-CN"/>
        </w:rPr>
        <w:t>供应商</w:t>
      </w:r>
      <w:r>
        <w:rPr>
          <w:rFonts w:hint="eastAsia" w:ascii="宋体" w:hAnsi="宋体" w:eastAsia="宋体" w:cs="宋体"/>
          <w:b w:val="0"/>
          <w:bCs/>
          <w:color w:val="auto"/>
          <w:kern w:val="44"/>
          <w:sz w:val="21"/>
          <w:szCs w:val="21"/>
          <w:highlight w:val="none"/>
          <w:lang w:val="en-US" w:eastAsia="zh-CN"/>
        </w:rPr>
        <w:t>响应</w:t>
      </w:r>
      <w:r>
        <w:rPr>
          <w:rFonts w:hint="eastAsia" w:ascii="宋体" w:hAnsi="宋体" w:eastAsia="宋体" w:cs="宋体"/>
          <w:b w:val="0"/>
          <w:bCs/>
          <w:color w:val="auto"/>
          <w:kern w:val="44"/>
          <w:sz w:val="21"/>
          <w:szCs w:val="21"/>
          <w:highlight w:val="none"/>
        </w:rPr>
        <w:t>产品适用于国家法律法规强制规定，而本文件未明确要求</w:t>
      </w:r>
      <w:r>
        <w:rPr>
          <w:rFonts w:hint="eastAsia" w:ascii="宋体" w:hAnsi="宋体" w:eastAsia="宋体" w:cs="宋体"/>
          <w:b w:val="0"/>
          <w:bCs/>
          <w:color w:val="auto"/>
          <w:kern w:val="44"/>
          <w:sz w:val="21"/>
          <w:szCs w:val="21"/>
          <w:highlight w:val="none"/>
          <w:lang w:eastAsia="zh-CN"/>
        </w:rPr>
        <w:t>供应商</w:t>
      </w:r>
      <w:r>
        <w:rPr>
          <w:rFonts w:hint="eastAsia" w:ascii="宋体" w:hAnsi="宋体" w:eastAsia="宋体" w:cs="宋体"/>
          <w:b w:val="0"/>
          <w:bCs/>
          <w:color w:val="auto"/>
          <w:kern w:val="44"/>
          <w:sz w:val="21"/>
          <w:szCs w:val="21"/>
          <w:highlight w:val="none"/>
        </w:rPr>
        <w:t>提供相应证明的，如无证据证明其产品不符合国家规定的，视为产品符合规定；同时，也视为</w:t>
      </w:r>
      <w:r>
        <w:rPr>
          <w:rFonts w:hint="eastAsia" w:ascii="宋体" w:hAnsi="宋体" w:eastAsia="宋体" w:cs="宋体"/>
          <w:b w:val="0"/>
          <w:bCs/>
          <w:color w:val="auto"/>
          <w:kern w:val="44"/>
          <w:sz w:val="21"/>
          <w:szCs w:val="21"/>
          <w:highlight w:val="none"/>
          <w:lang w:eastAsia="zh-CN"/>
        </w:rPr>
        <w:t>供应商</w:t>
      </w:r>
      <w:r>
        <w:rPr>
          <w:rFonts w:hint="eastAsia" w:ascii="宋体" w:hAnsi="宋体" w:eastAsia="宋体" w:cs="宋体"/>
          <w:b w:val="0"/>
          <w:bCs/>
          <w:color w:val="auto"/>
          <w:kern w:val="44"/>
          <w:sz w:val="21"/>
          <w:szCs w:val="21"/>
          <w:highlight w:val="none"/>
        </w:rPr>
        <w:t>已承诺</w:t>
      </w:r>
      <w:r>
        <w:rPr>
          <w:rFonts w:hint="eastAsia" w:ascii="宋体" w:hAnsi="宋体" w:eastAsia="宋体" w:cs="宋体"/>
          <w:b w:val="0"/>
          <w:bCs/>
          <w:color w:val="auto"/>
          <w:kern w:val="44"/>
          <w:sz w:val="21"/>
          <w:szCs w:val="21"/>
          <w:highlight w:val="none"/>
          <w:lang w:eastAsia="zh-CN"/>
        </w:rPr>
        <w:t>响应产品</w:t>
      </w:r>
      <w:r>
        <w:rPr>
          <w:rFonts w:hint="eastAsia" w:ascii="宋体" w:hAnsi="宋体" w:eastAsia="宋体" w:cs="宋体"/>
          <w:b w:val="0"/>
          <w:bCs/>
          <w:color w:val="auto"/>
          <w:kern w:val="44"/>
          <w:sz w:val="21"/>
          <w:szCs w:val="21"/>
          <w:highlight w:val="none"/>
        </w:rPr>
        <w:t>符合国家强制规定，否则一切后果由</w:t>
      </w:r>
      <w:r>
        <w:rPr>
          <w:rFonts w:hint="eastAsia" w:ascii="宋体" w:hAnsi="宋体" w:eastAsia="宋体" w:cs="宋体"/>
          <w:b w:val="0"/>
          <w:bCs/>
          <w:color w:val="auto"/>
          <w:kern w:val="44"/>
          <w:sz w:val="21"/>
          <w:szCs w:val="21"/>
          <w:highlight w:val="none"/>
          <w:lang w:eastAsia="zh-CN"/>
        </w:rPr>
        <w:t>供应商</w:t>
      </w:r>
      <w:r>
        <w:rPr>
          <w:rFonts w:hint="eastAsia" w:ascii="宋体" w:hAnsi="宋体" w:eastAsia="宋体" w:cs="宋体"/>
          <w:b w:val="0"/>
          <w:bCs/>
          <w:color w:val="auto"/>
          <w:kern w:val="44"/>
          <w:sz w:val="21"/>
          <w:szCs w:val="21"/>
          <w:highlight w:val="none"/>
        </w:rPr>
        <w:t>自负(如</w:t>
      </w:r>
      <w:r>
        <w:rPr>
          <w:rFonts w:hint="eastAsia" w:ascii="宋体" w:hAnsi="宋体" w:eastAsia="宋体" w:cs="宋体"/>
          <w:b w:val="0"/>
          <w:bCs/>
          <w:color w:val="auto"/>
          <w:kern w:val="44"/>
          <w:sz w:val="21"/>
          <w:szCs w:val="21"/>
          <w:highlight w:val="none"/>
          <w:lang w:eastAsia="zh-CN"/>
        </w:rPr>
        <w:t>供应商</w:t>
      </w:r>
      <w:r>
        <w:rPr>
          <w:rFonts w:hint="eastAsia" w:ascii="宋体" w:hAnsi="宋体" w:eastAsia="宋体" w:cs="宋体"/>
          <w:b w:val="0"/>
          <w:bCs/>
          <w:color w:val="auto"/>
          <w:kern w:val="44"/>
          <w:sz w:val="21"/>
          <w:szCs w:val="21"/>
          <w:highlight w:val="none"/>
        </w:rPr>
        <w:t>对此条有异议，视同其</w:t>
      </w:r>
      <w:r>
        <w:rPr>
          <w:rFonts w:hint="eastAsia" w:ascii="宋体" w:hAnsi="宋体" w:eastAsia="宋体" w:cs="宋体"/>
          <w:b w:val="0"/>
          <w:bCs/>
          <w:color w:val="auto"/>
          <w:kern w:val="44"/>
          <w:sz w:val="21"/>
          <w:szCs w:val="21"/>
          <w:highlight w:val="none"/>
          <w:lang w:eastAsia="zh-CN"/>
        </w:rPr>
        <w:t>响应文件</w:t>
      </w:r>
      <w:r>
        <w:rPr>
          <w:rFonts w:hint="eastAsia" w:ascii="宋体" w:hAnsi="宋体" w:eastAsia="宋体" w:cs="宋体"/>
          <w:b w:val="0"/>
          <w:bCs/>
          <w:color w:val="auto"/>
          <w:kern w:val="44"/>
          <w:sz w:val="21"/>
          <w:szCs w:val="21"/>
          <w:highlight w:val="none"/>
        </w:rPr>
        <w:t>附有采购人不能接受的条件，</w:t>
      </w:r>
      <w:r>
        <w:rPr>
          <w:rFonts w:hint="eastAsia" w:ascii="宋体" w:hAnsi="宋体" w:eastAsia="宋体" w:cs="宋体"/>
          <w:b w:val="0"/>
          <w:bCs/>
          <w:color w:val="auto"/>
          <w:kern w:val="44"/>
          <w:sz w:val="21"/>
          <w:szCs w:val="21"/>
          <w:highlight w:val="none"/>
          <w:lang w:eastAsia="zh-CN"/>
        </w:rPr>
        <w:t>响应文件</w:t>
      </w:r>
      <w:r>
        <w:rPr>
          <w:rFonts w:hint="eastAsia" w:ascii="宋体" w:hAnsi="宋体" w:eastAsia="宋体" w:cs="宋体"/>
          <w:b w:val="0"/>
          <w:bCs/>
          <w:color w:val="auto"/>
          <w:kern w:val="44"/>
          <w:sz w:val="21"/>
          <w:szCs w:val="21"/>
          <w:highlight w:val="none"/>
        </w:rPr>
        <w:t>将被拒绝)。</w:t>
      </w:r>
    </w:p>
    <w:p w14:paraId="34C7D16D">
      <w:pPr>
        <w:spacing w:line="360" w:lineRule="auto"/>
        <w:ind w:firstLine="420" w:firstLineChars="200"/>
        <w:rPr>
          <w:color w:val="auto"/>
          <w:highlight w:val="none"/>
        </w:rPr>
      </w:pPr>
      <w:r>
        <w:rPr>
          <w:rFonts w:hint="eastAsia" w:ascii="宋体" w:hAnsi="宋体" w:cs="宋体"/>
          <w:b w:val="0"/>
          <w:bCs/>
          <w:color w:val="auto"/>
          <w:kern w:val="44"/>
          <w:sz w:val="21"/>
          <w:szCs w:val="21"/>
          <w:highlight w:val="none"/>
          <w:lang w:val="en-US" w:eastAsia="zh-CN"/>
        </w:rPr>
        <w:t>6</w:t>
      </w:r>
      <w:r>
        <w:rPr>
          <w:rFonts w:hint="eastAsia" w:ascii="宋体" w:hAnsi="宋体" w:eastAsia="宋体" w:cs="宋体"/>
          <w:b w:val="0"/>
          <w:bCs/>
          <w:color w:val="auto"/>
          <w:kern w:val="44"/>
          <w:sz w:val="21"/>
          <w:szCs w:val="21"/>
          <w:highlight w:val="none"/>
        </w:rPr>
        <w:t>.财政部生态环境部关于印发节能产品政府采购品目清单的通知（财库〔2019〕19 号）★A02010104 台式计算机★A02010105 便携式计算机★A02010107 平板式微型计算机★A0201060102 激光打印机★A0201060104 针式打印机★A0201060401 液晶显示器★A02052301 制冷压缩机★A02052305 空调机组★A02052309 专用制冷、空调设备★A020609 镇流器★A0206180203 空调机★普通照明用双端荧光灯★A020910 电视设备★A020911 视频设备★A060805 便器★A060806 水嘴为政府强制采购产品，</w:t>
      </w:r>
      <w:r>
        <w:rPr>
          <w:rFonts w:hint="eastAsia" w:ascii="宋体" w:hAnsi="宋体" w:cs="宋体"/>
          <w:b w:val="0"/>
          <w:bCs/>
          <w:color w:val="auto"/>
          <w:kern w:val="44"/>
          <w:sz w:val="21"/>
          <w:szCs w:val="21"/>
          <w:highlight w:val="none"/>
          <w:lang w:eastAsia="zh-CN"/>
        </w:rPr>
        <w:t>采购文件</w:t>
      </w:r>
      <w:r>
        <w:rPr>
          <w:rFonts w:hint="eastAsia" w:ascii="宋体" w:hAnsi="宋体" w:eastAsia="宋体" w:cs="宋体"/>
          <w:b w:val="0"/>
          <w:bCs/>
          <w:color w:val="auto"/>
          <w:kern w:val="44"/>
          <w:sz w:val="21"/>
          <w:szCs w:val="21"/>
          <w:highlight w:val="none"/>
        </w:rPr>
        <w:t>货物需求如有上述产品，</w:t>
      </w:r>
      <w:r>
        <w:rPr>
          <w:rFonts w:hint="eastAsia" w:ascii="宋体" w:hAnsi="宋体" w:cs="宋体"/>
          <w:b w:val="0"/>
          <w:bCs/>
          <w:color w:val="auto"/>
          <w:kern w:val="44"/>
          <w:sz w:val="21"/>
          <w:szCs w:val="21"/>
          <w:highlight w:val="none"/>
          <w:lang w:eastAsia="zh-CN"/>
        </w:rPr>
        <w:t>供应商响应产品</w:t>
      </w:r>
      <w:r>
        <w:rPr>
          <w:rFonts w:hint="eastAsia" w:ascii="宋体" w:hAnsi="宋体" w:eastAsia="宋体" w:cs="宋体"/>
          <w:b w:val="0"/>
          <w:bCs/>
          <w:color w:val="auto"/>
          <w:kern w:val="44"/>
          <w:sz w:val="21"/>
          <w:szCs w:val="21"/>
          <w:highlight w:val="none"/>
        </w:rPr>
        <w:t>应当取得国家确定的认证机构出具的、处于有效期之内的节能产品认证证书，否则，其</w:t>
      </w:r>
      <w:r>
        <w:rPr>
          <w:rFonts w:hint="eastAsia" w:ascii="宋体" w:hAnsi="宋体" w:cs="宋体"/>
          <w:b w:val="0"/>
          <w:bCs/>
          <w:color w:val="auto"/>
          <w:kern w:val="44"/>
          <w:sz w:val="21"/>
          <w:szCs w:val="21"/>
          <w:highlight w:val="none"/>
          <w:lang w:eastAsia="zh-CN"/>
        </w:rPr>
        <w:t>响应文件</w:t>
      </w:r>
      <w:r>
        <w:rPr>
          <w:rFonts w:hint="eastAsia" w:ascii="宋体" w:hAnsi="宋体" w:eastAsia="宋体" w:cs="宋体"/>
          <w:b w:val="0"/>
          <w:bCs/>
          <w:color w:val="auto"/>
          <w:kern w:val="44"/>
          <w:sz w:val="21"/>
          <w:szCs w:val="21"/>
          <w:highlight w:val="none"/>
        </w:rPr>
        <w:t>无效。</w:t>
      </w:r>
    </w:p>
    <w:p w14:paraId="195540F0">
      <w:pPr>
        <w:pageBreakBefore w:val="0"/>
        <w:widowControl/>
        <w:overflowPunct/>
        <w:topLinePunct w:val="0"/>
        <w:bidi w:val="0"/>
        <w:spacing w:line="360" w:lineRule="auto"/>
        <w:ind w:firstLine="422"/>
        <w:jc w:val="left"/>
        <w:rPr>
          <w:rFonts w:hint="eastAsia" w:asciiTheme="minorEastAsia" w:hAnsiTheme="minorEastAsia" w:eastAsiaTheme="minorEastAsia" w:cstheme="minorEastAsia"/>
          <w:color w:val="auto"/>
          <w:sz w:val="21"/>
          <w:szCs w:val="21"/>
          <w:highlight w:val="none"/>
        </w:rPr>
      </w:pPr>
    </w:p>
    <w:p w14:paraId="3691729F">
      <w:pPr>
        <w:pageBreakBefore w:val="0"/>
        <w:widowControl/>
        <w:overflowPunct/>
        <w:topLinePunct w:val="0"/>
        <w:bidi w:val="0"/>
        <w:spacing w:line="360" w:lineRule="auto"/>
        <w:ind w:firstLine="422"/>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5F7625C3">
      <w:pPr>
        <w:pStyle w:val="2"/>
        <w:pageBreakBefore w:val="0"/>
        <w:overflowPunct/>
        <w:topLinePunct w:val="0"/>
        <w:bidi w:val="0"/>
        <w:spacing w:line="360" w:lineRule="auto"/>
        <w:jc w:val="center"/>
        <w:rPr>
          <w:rFonts w:hint="eastAsia" w:asciiTheme="minorEastAsia" w:hAnsiTheme="minorEastAsia" w:eastAsiaTheme="minorEastAsia" w:cstheme="minorEastAsia"/>
          <w:bCs/>
          <w:color w:val="auto"/>
          <w:sz w:val="44"/>
          <w:szCs w:val="44"/>
          <w:highlight w:val="none"/>
        </w:rPr>
      </w:pPr>
      <w:bookmarkStart w:id="189" w:name="_Toc24898"/>
      <w:bookmarkStart w:id="190" w:name="_Toc24088"/>
      <w:bookmarkStart w:id="191" w:name="_Toc11662"/>
      <w:bookmarkStart w:id="192" w:name="_Toc7328"/>
      <w:r>
        <w:rPr>
          <w:rFonts w:hint="eastAsia" w:asciiTheme="minorEastAsia" w:hAnsiTheme="minorEastAsia" w:eastAsiaTheme="minorEastAsia" w:cstheme="minorEastAsia"/>
          <w:bCs/>
          <w:color w:val="auto"/>
          <w:sz w:val="44"/>
          <w:szCs w:val="44"/>
          <w:highlight w:val="none"/>
        </w:rPr>
        <w:t>第四章 磋商内容、磋商过程中可能实质性变动的内容</w:t>
      </w:r>
      <w:bookmarkEnd w:id="182"/>
      <w:bookmarkEnd w:id="189"/>
      <w:bookmarkEnd w:id="190"/>
      <w:bookmarkEnd w:id="191"/>
      <w:bookmarkEnd w:id="192"/>
    </w:p>
    <w:p w14:paraId="2FA09EB9">
      <w:pPr>
        <w:pStyle w:val="16"/>
        <w:pageBreakBefore w:val="0"/>
        <w:overflowPunct/>
        <w:topLinePunct w:val="0"/>
        <w:autoSpaceDE w:val="0"/>
        <w:autoSpaceDN w:val="0"/>
        <w:bidi w:val="0"/>
        <w:spacing w:line="360" w:lineRule="auto"/>
        <w:ind w:firstLine="422" w:firstLineChars="200"/>
        <w:rPr>
          <w:rFonts w:hint="eastAsia" w:asciiTheme="minorEastAsia" w:hAnsiTheme="minorEastAsia" w:eastAsiaTheme="minorEastAsia" w:cstheme="minorEastAsia"/>
          <w:b/>
          <w:color w:val="auto"/>
          <w:sz w:val="21"/>
          <w:szCs w:val="21"/>
          <w:highlight w:val="none"/>
        </w:rPr>
      </w:pPr>
    </w:p>
    <w:p w14:paraId="40A995BA">
      <w:pPr>
        <w:pStyle w:val="93"/>
        <w:pageBreakBefore w:val="0"/>
        <w:tabs>
          <w:tab w:val="left" w:pos="1121"/>
        </w:tabs>
        <w:overflowPunct/>
        <w:topLinePunct w:val="0"/>
        <w:autoSpaceDE w:val="0"/>
        <w:autoSpaceDN w:val="0"/>
        <w:bidi w:val="0"/>
        <w:spacing w:line="360" w:lineRule="auto"/>
        <w:ind w:firstLine="48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1.磋商小组根据与供应商磋商情况可能实质性变动的内容：</w:t>
      </w:r>
      <w:r>
        <w:rPr>
          <w:rFonts w:hint="eastAsia" w:asciiTheme="minorEastAsia" w:hAnsiTheme="minorEastAsia" w:eastAsiaTheme="minorEastAsia" w:cstheme="minorEastAsia"/>
          <w:color w:val="auto"/>
          <w:sz w:val="21"/>
          <w:szCs w:val="21"/>
          <w:highlight w:val="none"/>
          <w:u w:val="single"/>
        </w:rPr>
        <w:t xml:space="preserve">  无  </w:t>
      </w:r>
      <w:r>
        <w:rPr>
          <w:rFonts w:hint="eastAsia" w:asciiTheme="minorEastAsia" w:hAnsiTheme="minorEastAsia" w:eastAsiaTheme="minorEastAsia" w:cstheme="minorEastAsia"/>
          <w:color w:val="auto"/>
          <w:sz w:val="21"/>
          <w:szCs w:val="21"/>
          <w:highlight w:val="none"/>
        </w:rPr>
        <w:t xml:space="preserve"> </w:t>
      </w:r>
    </w:p>
    <w:p w14:paraId="36B84AAA">
      <w:pPr>
        <w:pStyle w:val="93"/>
        <w:pageBreakBefore w:val="0"/>
        <w:tabs>
          <w:tab w:val="left" w:pos="1121"/>
        </w:tabs>
        <w:overflowPunct/>
        <w:topLinePunct w:val="0"/>
        <w:autoSpaceDE w:val="0"/>
        <w:autoSpaceDN w:val="0"/>
        <w:bidi w:val="0"/>
        <w:spacing w:line="360" w:lineRule="auto"/>
        <w:ind w:firstLine="48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2.不得变动采购文件中的其他内容。</w:t>
      </w:r>
    </w:p>
    <w:p w14:paraId="7C211244">
      <w:pPr>
        <w:pStyle w:val="16"/>
        <w:pageBreakBefore w:val="0"/>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p>
    <w:p w14:paraId="0B46EAA9">
      <w:pPr>
        <w:pageBreakBefore w:val="0"/>
        <w:overflowPunct/>
        <w:topLinePunct w:val="0"/>
        <w:bidi w:val="0"/>
        <w:ind w:firstLineChars="200"/>
        <w:jc w:val="both"/>
        <w:rPr>
          <w:rFonts w:hint="eastAsia"/>
          <w:color w:val="auto"/>
          <w:highlight w:val="none"/>
        </w:rPr>
      </w:pPr>
    </w:p>
    <w:p w14:paraId="3FF26EB5">
      <w:pPr>
        <w:pageBreakBefore w:val="0"/>
        <w:overflowPunct/>
        <w:topLinePunct w:val="0"/>
        <w:bidi w:val="0"/>
        <w:ind w:firstLineChars="200"/>
        <w:jc w:val="both"/>
        <w:rPr>
          <w:rFonts w:hint="eastAsia"/>
          <w:color w:val="auto"/>
          <w:highlight w:val="none"/>
        </w:rPr>
      </w:pPr>
    </w:p>
    <w:p w14:paraId="2784E9C5">
      <w:pPr>
        <w:pageBreakBefore w:val="0"/>
        <w:overflowPunct/>
        <w:topLinePunct w:val="0"/>
        <w:bidi w:val="0"/>
        <w:ind w:firstLineChars="200"/>
        <w:jc w:val="both"/>
        <w:rPr>
          <w:rFonts w:hint="eastAsia"/>
          <w:color w:val="auto"/>
          <w:highlight w:val="none"/>
        </w:rPr>
      </w:pPr>
    </w:p>
    <w:p w14:paraId="1868563C">
      <w:pPr>
        <w:pageBreakBefore w:val="0"/>
        <w:overflowPunct/>
        <w:topLinePunct w:val="0"/>
        <w:bidi w:val="0"/>
        <w:ind w:firstLineChars="200"/>
        <w:jc w:val="both"/>
        <w:rPr>
          <w:rFonts w:hint="eastAsia"/>
          <w:color w:val="auto"/>
          <w:highlight w:val="none"/>
        </w:rPr>
      </w:pPr>
    </w:p>
    <w:p w14:paraId="314BE0DE">
      <w:pPr>
        <w:pageBreakBefore w:val="0"/>
        <w:overflowPunct/>
        <w:topLinePunct w:val="0"/>
        <w:bidi w:val="0"/>
        <w:ind w:firstLineChars="200"/>
        <w:jc w:val="both"/>
        <w:rPr>
          <w:rFonts w:hint="eastAsia"/>
          <w:color w:val="auto"/>
          <w:highlight w:val="none"/>
        </w:rPr>
      </w:pPr>
    </w:p>
    <w:p w14:paraId="7CB260E8">
      <w:pPr>
        <w:pageBreakBefore w:val="0"/>
        <w:overflowPunct/>
        <w:topLinePunct w:val="0"/>
        <w:bidi w:val="0"/>
        <w:ind w:firstLineChars="200"/>
        <w:jc w:val="both"/>
        <w:rPr>
          <w:rFonts w:hint="eastAsia"/>
          <w:color w:val="auto"/>
          <w:highlight w:val="none"/>
        </w:rPr>
      </w:pPr>
    </w:p>
    <w:p w14:paraId="658BB2F1">
      <w:pPr>
        <w:pageBreakBefore w:val="0"/>
        <w:overflowPunct/>
        <w:topLinePunct w:val="0"/>
        <w:bidi w:val="0"/>
        <w:ind w:firstLineChars="200"/>
        <w:jc w:val="both"/>
        <w:rPr>
          <w:rFonts w:hint="eastAsia"/>
          <w:color w:val="auto"/>
          <w:highlight w:val="none"/>
        </w:rPr>
      </w:pPr>
    </w:p>
    <w:p w14:paraId="73F765A5">
      <w:pPr>
        <w:pageBreakBefore w:val="0"/>
        <w:overflowPunct/>
        <w:topLinePunct w:val="0"/>
        <w:bidi w:val="0"/>
        <w:ind w:firstLineChars="200"/>
        <w:jc w:val="both"/>
        <w:rPr>
          <w:rFonts w:hint="eastAsia"/>
          <w:color w:val="auto"/>
          <w:highlight w:val="none"/>
        </w:rPr>
      </w:pPr>
    </w:p>
    <w:p w14:paraId="005EA8BD">
      <w:pPr>
        <w:pageBreakBefore w:val="0"/>
        <w:overflowPunct/>
        <w:topLinePunct w:val="0"/>
        <w:bidi w:val="0"/>
        <w:ind w:firstLineChars="200"/>
        <w:jc w:val="both"/>
        <w:rPr>
          <w:rFonts w:hint="eastAsia"/>
          <w:color w:val="auto"/>
          <w:highlight w:val="none"/>
        </w:rPr>
      </w:pPr>
    </w:p>
    <w:p w14:paraId="67EBE4BB">
      <w:pPr>
        <w:pageBreakBefore w:val="0"/>
        <w:overflowPunct/>
        <w:topLinePunct w:val="0"/>
        <w:bidi w:val="0"/>
        <w:ind w:firstLineChars="200"/>
        <w:jc w:val="both"/>
        <w:rPr>
          <w:rFonts w:hint="eastAsia"/>
          <w:color w:val="auto"/>
          <w:highlight w:val="none"/>
        </w:rPr>
      </w:pPr>
    </w:p>
    <w:p w14:paraId="22860669">
      <w:pPr>
        <w:pageBreakBefore w:val="0"/>
        <w:overflowPunct/>
        <w:topLinePunct w:val="0"/>
        <w:bidi w:val="0"/>
        <w:ind w:firstLineChars="200"/>
        <w:jc w:val="both"/>
        <w:rPr>
          <w:rFonts w:hint="eastAsia"/>
          <w:color w:val="auto"/>
          <w:highlight w:val="none"/>
        </w:rPr>
      </w:pPr>
    </w:p>
    <w:p w14:paraId="7F31462D">
      <w:pPr>
        <w:pageBreakBefore w:val="0"/>
        <w:overflowPunct/>
        <w:topLinePunct w:val="0"/>
        <w:bidi w:val="0"/>
        <w:ind w:firstLineChars="200"/>
        <w:jc w:val="both"/>
        <w:rPr>
          <w:rFonts w:hint="eastAsia"/>
          <w:color w:val="auto"/>
          <w:highlight w:val="none"/>
        </w:rPr>
      </w:pPr>
    </w:p>
    <w:p w14:paraId="28EC572F">
      <w:pPr>
        <w:pageBreakBefore w:val="0"/>
        <w:overflowPunct/>
        <w:topLinePunct w:val="0"/>
        <w:bidi w:val="0"/>
        <w:ind w:firstLineChars="200"/>
        <w:jc w:val="both"/>
        <w:rPr>
          <w:rFonts w:hint="eastAsia"/>
          <w:color w:val="auto"/>
          <w:highlight w:val="none"/>
        </w:rPr>
      </w:pPr>
    </w:p>
    <w:p w14:paraId="1D6F0B39">
      <w:pPr>
        <w:pageBreakBefore w:val="0"/>
        <w:overflowPunct/>
        <w:topLinePunct w:val="0"/>
        <w:bidi w:val="0"/>
        <w:ind w:firstLineChars="200"/>
        <w:jc w:val="both"/>
        <w:rPr>
          <w:rFonts w:hint="eastAsia"/>
          <w:color w:val="auto"/>
          <w:highlight w:val="none"/>
        </w:rPr>
      </w:pPr>
    </w:p>
    <w:p w14:paraId="74319167">
      <w:pPr>
        <w:pageBreakBefore w:val="0"/>
        <w:overflowPunct/>
        <w:topLinePunct w:val="0"/>
        <w:bidi w:val="0"/>
        <w:ind w:firstLineChars="200"/>
        <w:jc w:val="both"/>
        <w:rPr>
          <w:rFonts w:hint="eastAsia"/>
          <w:color w:val="auto"/>
          <w:highlight w:val="none"/>
        </w:rPr>
      </w:pPr>
    </w:p>
    <w:p w14:paraId="3BEFD477">
      <w:pPr>
        <w:rPr>
          <w:rFonts w:hint="eastAsia"/>
          <w:color w:val="auto"/>
          <w:highlight w:val="none"/>
        </w:rPr>
      </w:pPr>
    </w:p>
    <w:p w14:paraId="6714BB42">
      <w:pPr>
        <w:rPr>
          <w:rFonts w:hint="eastAsia"/>
          <w:color w:val="auto"/>
          <w:highlight w:val="none"/>
        </w:rPr>
      </w:pPr>
    </w:p>
    <w:p w14:paraId="381171D5">
      <w:pPr>
        <w:rPr>
          <w:rFonts w:hint="eastAsia"/>
          <w:color w:val="auto"/>
          <w:highlight w:val="none"/>
        </w:rPr>
      </w:pPr>
    </w:p>
    <w:p w14:paraId="07726678">
      <w:pPr>
        <w:rPr>
          <w:rFonts w:hint="eastAsia"/>
          <w:color w:val="auto"/>
          <w:highlight w:val="none"/>
        </w:rPr>
      </w:pPr>
    </w:p>
    <w:p w14:paraId="0F810129">
      <w:pPr>
        <w:rPr>
          <w:rFonts w:hint="eastAsia"/>
          <w:color w:val="auto"/>
          <w:highlight w:val="none"/>
        </w:rPr>
      </w:pPr>
    </w:p>
    <w:p w14:paraId="729E0DA5">
      <w:pPr>
        <w:rPr>
          <w:rFonts w:hint="eastAsia"/>
          <w:color w:val="auto"/>
          <w:highlight w:val="none"/>
        </w:rPr>
      </w:pPr>
    </w:p>
    <w:p w14:paraId="543BFD63">
      <w:pPr>
        <w:pageBreakBefore w:val="0"/>
        <w:overflowPunct/>
        <w:topLinePunct w:val="0"/>
        <w:bidi w:val="0"/>
        <w:ind w:firstLineChars="200"/>
        <w:jc w:val="both"/>
        <w:rPr>
          <w:rFonts w:hint="eastAsia"/>
          <w:color w:val="auto"/>
          <w:highlight w:val="none"/>
        </w:rPr>
      </w:pPr>
    </w:p>
    <w:p w14:paraId="03D73217">
      <w:pPr>
        <w:pageBreakBefore w:val="0"/>
        <w:overflowPunct/>
        <w:topLinePunct w:val="0"/>
        <w:bidi w:val="0"/>
        <w:ind w:firstLineChars="200"/>
        <w:jc w:val="both"/>
        <w:rPr>
          <w:rFonts w:hint="eastAsia"/>
          <w:color w:val="auto"/>
          <w:highlight w:val="none"/>
        </w:rPr>
      </w:pPr>
    </w:p>
    <w:p w14:paraId="337BE1B6">
      <w:pPr>
        <w:pageBreakBefore w:val="0"/>
        <w:overflowPunct/>
        <w:topLinePunct w:val="0"/>
        <w:bidi w:val="0"/>
        <w:spacing w:line="240" w:lineRule="auto"/>
        <w:ind w:firstLine="0"/>
        <w:rPr>
          <w:rFonts w:hint="eastAsia"/>
          <w:color w:val="auto"/>
          <w:highlight w:val="none"/>
        </w:rPr>
      </w:pPr>
      <w:r>
        <w:rPr>
          <w:rFonts w:hint="eastAsia"/>
          <w:color w:val="auto"/>
          <w:highlight w:val="none"/>
        </w:rPr>
        <w:br w:type="page"/>
      </w:r>
    </w:p>
    <w:p w14:paraId="2B253E4D">
      <w:pPr>
        <w:pStyle w:val="2"/>
        <w:pageBreakBefore w:val="0"/>
        <w:overflowPunct/>
        <w:topLinePunct w:val="0"/>
        <w:bidi w:val="0"/>
        <w:spacing w:line="360" w:lineRule="auto"/>
        <w:ind w:firstLine="0"/>
        <w:jc w:val="center"/>
        <w:rPr>
          <w:rFonts w:hint="eastAsia" w:asciiTheme="minorEastAsia" w:hAnsiTheme="minorEastAsia" w:eastAsiaTheme="minorEastAsia" w:cstheme="minorEastAsia"/>
          <w:bCs/>
          <w:color w:val="auto"/>
          <w:sz w:val="44"/>
          <w:szCs w:val="44"/>
          <w:highlight w:val="none"/>
        </w:rPr>
      </w:pPr>
      <w:bookmarkStart w:id="193" w:name="_Toc19288"/>
      <w:bookmarkStart w:id="194" w:name="_Toc55"/>
      <w:bookmarkStart w:id="195" w:name="_Toc24044"/>
      <w:bookmarkStart w:id="196" w:name="_Toc24143"/>
      <w:bookmarkStart w:id="197" w:name="_Toc8910"/>
      <w:r>
        <w:rPr>
          <w:rFonts w:hint="eastAsia" w:asciiTheme="minorEastAsia" w:hAnsiTheme="minorEastAsia" w:eastAsiaTheme="minorEastAsia" w:cstheme="minorEastAsia"/>
          <w:bCs/>
          <w:color w:val="auto"/>
          <w:sz w:val="44"/>
          <w:szCs w:val="44"/>
          <w:highlight w:val="none"/>
        </w:rPr>
        <w:t>第五章 磋商程序、评审方法及评审标准</w:t>
      </w:r>
      <w:bookmarkEnd w:id="193"/>
      <w:bookmarkEnd w:id="194"/>
      <w:bookmarkEnd w:id="195"/>
      <w:bookmarkEnd w:id="196"/>
      <w:bookmarkEnd w:id="197"/>
    </w:p>
    <w:p w14:paraId="1A2893F5">
      <w:pPr>
        <w:pStyle w:val="16"/>
        <w:pageBreakBefore w:val="0"/>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p>
    <w:p w14:paraId="40D6AB99">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磋商小组将按照本项目采购文件及相关法律法规的规定进行磋商及评审工作，采购代理机构负责磋商的组织工作。</w:t>
      </w:r>
    </w:p>
    <w:p w14:paraId="0BCEE4F2">
      <w:pPr>
        <w:pageBreakBefore w:val="0"/>
        <w:overflowPunct/>
        <w:topLinePunct w:val="0"/>
        <w:autoSpaceDE w:val="0"/>
        <w:autoSpaceDN w:val="0"/>
        <w:bidi w:val="0"/>
        <w:spacing w:line="360" w:lineRule="auto"/>
        <w:ind w:firstLine="480"/>
        <w:jc w:val="lef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一、磋商及评审依据</w:t>
      </w:r>
    </w:p>
    <w:p w14:paraId="281A7127">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1、法律法规的相关规定；</w:t>
      </w:r>
    </w:p>
    <w:p w14:paraId="7C01177F">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2、本级或上级政府采购主管部门的相关规定；</w:t>
      </w:r>
    </w:p>
    <w:p w14:paraId="5871F125">
      <w:pPr>
        <w:pageBreakBefore w:val="0"/>
        <w:overflowPunct/>
        <w:topLinePunct w:val="0"/>
        <w:autoSpaceDE w:val="0"/>
        <w:autoSpaceDN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3、本项目采购文件。</w:t>
      </w:r>
    </w:p>
    <w:p w14:paraId="20C024BA">
      <w:pPr>
        <w:pageBreakBefore w:val="0"/>
        <w:overflowPunct/>
        <w:topLinePunct w:val="0"/>
        <w:autoSpaceDE w:val="0"/>
        <w:autoSpaceDN w:val="0"/>
        <w:bidi w:val="0"/>
        <w:spacing w:line="360" w:lineRule="auto"/>
        <w:ind w:firstLine="480"/>
        <w:jc w:val="lef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二、磋商原则</w:t>
      </w:r>
    </w:p>
    <w:p w14:paraId="4323078D">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磋商小组成员应当按照客观、公正、审慎的原则，根据磋商文件规定的评审程序、评审方法和评审标准进行独立评审。</w:t>
      </w:r>
    </w:p>
    <w:p w14:paraId="651F0C2C">
      <w:pPr>
        <w:pageBreakBefore w:val="0"/>
        <w:overflowPunct/>
        <w:topLinePunct w:val="0"/>
        <w:autoSpaceDE w:val="0"/>
        <w:autoSpaceDN w:val="0"/>
        <w:bidi w:val="0"/>
        <w:spacing w:line="360" w:lineRule="auto"/>
        <w:ind w:firstLine="480"/>
        <w:jc w:val="lef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三、组建磋商小组</w:t>
      </w:r>
    </w:p>
    <w:p w14:paraId="7569A3EA">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1、采购人与采购代理机构将按照相关法律法规及财政部门的有关规定依法组建竞争性磋商小组（以下简称磋商小组），负责本项目的磋商及评审工作； </w:t>
      </w:r>
    </w:p>
    <w:p w14:paraId="23F9D276">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磋商小组由采购人代表和评审专家组成，成员人数为三人。其中，评审专家不得少于成员总数的三分之二。技术复杂、专业性强的采购项目，评审专家中应当包含1名法律专家。具体成员人数见供应商须知前附表。评审专家于磋商开始前在政府采购专家库中随机抽取，并依法组建磋商小组。在成交人确定前，有关人员对磋商小组成员名单必须严格保密，与供应商有利害关系的人员不得进入磋商小组；</w:t>
      </w:r>
    </w:p>
    <w:p w14:paraId="25465CED">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3、参加评审的人员应严格遵守国家有关保密的法律、法规和规定，并接受有关部门的监督；</w:t>
      </w:r>
    </w:p>
    <w:p w14:paraId="697A7819">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4、根据相关法律法规的规定，参加评审的有关人员应对整个磋商、评审过程保密，不得泄露；</w:t>
      </w:r>
    </w:p>
    <w:p w14:paraId="7E366E14">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5、磋商小组成员应按规定的程序进行磋商及评审；</w:t>
      </w:r>
    </w:p>
    <w:p w14:paraId="16C3EEE7">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6、磋商小组将对确定为实质上响应磋商文件要求的供应商进行磋商并对其响应文件进行评审；</w:t>
      </w:r>
    </w:p>
    <w:p w14:paraId="2171ABBC">
      <w:pPr>
        <w:pageBreakBefore w:val="0"/>
        <w:overflowPunct/>
        <w:topLinePunct w:val="0"/>
        <w:autoSpaceDE w:val="0"/>
        <w:autoSpaceDN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7、供应商对评审专家施加影响的任何行为，都将被取消成交资格。</w:t>
      </w:r>
    </w:p>
    <w:p w14:paraId="2DEC1D6B">
      <w:pPr>
        <w:pageBreakBefore w:val="0"/>
        <w:overflowPunct/>
        <w:topLinePunct w:val="0"/>
        <w:autoSpaceDE w:val="0"/>
        <w:autoSpaceDN w:val="0"/>
        <w:bidi w:val="0"/>
        <w:spacing w:line="360" w:lineRule="auto"/>
        <w:ind w:firstLine="480"/>
        <w:jc w:val="lef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四、磋商及评审程序如下：</w:t>
      </w:r>
    </w:p>
    <w:p w14:paraId="42D8B468">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1、资格审查</w:t>
      </w:r>
    </w:p>
    <w:p w14:paraId="0BCA5CA9">
      <w:pPr>
        <w:pStyle w:val="16"/>
        <w:pageBreakBefore w:val="0"/>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磋商小组应依据法律法规和磋商文件的规定，对响应文件是否按照规定要求提供资格性证明材料、是否属于禁止参加磋商的供应商等进行审查，以确定供应商是否具备磋商资格。</w:t>
      </w:r>
    </w:p>
    <w:tbl>
      <w:tblPr>
        <w:tblStyle w:val="3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7614"/>
      </w:tblGrid>
      <w:tr w14:paraId="72796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74" w:type="dxa"/>
            <w:tcBorders>
              <w:tl2br w:val="nil"/>
              <w:tr2bl w:val="nil"/>
            </w:tcBorders>
            <w:vAlign w:val="center"/>
          </w:tcPr>
          <w:p w14:paraId="6159E061">
            <w:pPr>
              <w:pStyle w:val="177"/>
              <w:pageBreakBefore w:val="0"/>
              <w:overflowPunct/>
              <w:topLinePunct w:val="0"/>
              <w:bidi w:val="0"/>
              <w:spacing w:line="360" w:lineRule="auto"/>
              <w:ind w:left="57"/>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评审因素</w:t>
            </w:r>
          </w:p>
        </w:tc>
        <w:tc>
          <w:tcPr>
            <w:tcW w:w="7614" w:type="dxa"/>
            <w:tcBorders>
              <w:tl2br w:val="nil"/>
              <w:tr2bl w:val="nil"/>
            </w:tcBorders>
            <w:vAlign w:val="center"/>
          </w:tcPr>
          <w:p w14:paraId="2AAD5A83">
            <w:pPr>
              <w:pStyle w:val="177"/>
              <w:pageBreakBefore w:val="0"/>
              <w:overflowPunct/>
              <w:topLinePunct w:val="0"/>
              <w:bidi w:val="0"/>
              <w:spacing w:line="360" w:lineRule="auto"/>
              <w:ind w:left="56"/>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评审标准</w:t>
            </w:r>
          </w:p>
        </w:tc>
      </w:tr>
      <w:tr w14:paraId="0F453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74" w:type="dxa"/>
            <w:tcBorders>
              <w:tl2br w:val="nil"/>
              <w:tr2bl w:val="nil"/>
            </w:tcBorders>
            <w:vAlign w:val="center"/>
          </w:tcPr>
          <w:p w14:paraId="35F5E9A3">
            <w:pPr>
              <w:pageBreakBefore w:val="0"/>
              <w:overflowPunct/>
              <w:topLinePunct w:val="0"/>
              <w:bidi w:val="0"/>
              <w:spacing w:line="360" w:lineRule="auto"/>
              <w:ind w:firstLine="42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资格性审查</w:t>
            </w:r>
          </w:p>
        </w:tc>
        <w:tc>
          <w:tcPr>
            <w:tcW w:w="7614" w:type="dxa"/>
            <w:tcBorders>
              <w:tl2br w:val="nil"/>
              <w:tr2bl w:val="nil"/>
            </w:tcBorders>
          </w:tcPr>
          <w:p w14:paraId="4A4E3C1B">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1.供应商具有有效的营业执照或相关的证明文件。</w:t>
            </w:r>
          </w:p>
          <w:p w14:paraId="1A1F4F2B">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2.响应产品须符合中华人民共和国国务院令第739号《医疗器械监督管理条例》相关规定，取得医疗器械注册证或医疗器械产品相关备案凭证；</w:t>
            </w:r>
          </w:p>
          <w:p w14:paraId="1D2E9CD6">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①供应商为生产企业的应提供食品药品监督管理部门颁发的《医疗器械生产许可证》或在有效期内的《医疗器械生产企业许可证》；②供应商为代理商或经销商的应提供在有效期内的《医疗器械经营许可证》或《医疗器械经营备案凭证》；</w:t>
            </w:r>
          </w:p>
          <w:p w14:paraId="278470E1">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lang w:val="zh-CN" w:eastAsia="zh-CN"/>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val="zh-CN" w:eastAsia="zh-CN"/>
              </w:rPr>
              <w:t>.提供2024年度经审计的财务审计报告，成立年限不足一年的提供基本开户银行出具的资信证明。</w:t>
            </w:r>
          </w:p>
          <w:p w14:paraId="6E1B0C04">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.提供</w:t>
            </w:r>
            <w:r>
              <w:rPr>
                <w:rFonts w:hint="eastAsia" w:asciiTheme="minorEastAsia" w:hAnsiTheme="minorEastAsia" w:eastAsiaTheme="minorEastAsia" w:cstheme="minorEastAsia"/>
                <w:color w:val="auto"/>
                <w:sz w:val="21"/>
                <w:szCs w:val="21"/>
                <w:highlight w:val="none"/>
                <w:lang w:val="en-US" w:eastAsia="zh-CN"/>
              </w:rPr>
              <w:t>2025年1月</w:t>
            </w:r>
            <w:r>
              <w:rPr>
                <w:rFonts w:hint="eastAsia" w:asciiTheme="minorEastAsia" w:hAnsiTheme="minorEastAsia" w:eastAsiaTheme="minorEastAsia" w:cstheme="minorEastAsia"/>
                <w:color w:val="auto"/>
                <w:sz w:val="21"/>
                <w:szCs w:val="21"/>
                <w:highlight w:val="none"/>
              </w:rPr>
              <w:t>以来任意一个月缴纳税收和社会保障资金的证明材料（依法免税或不需要缴纳社会保障资金的，供应商应提供有效证明文件）。</w:t>
            </w:r>
          </w:p>
          <w:p w14:paraId="0CC8A395">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.具有履行合同所必需的设备和专业技术能力（自行承诺或提供相关证明材料）。</w:t>
            </w:r>
          </w:p>
          <w:p w14:paraId="741D589D">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.参加政府采购活动前三年内，在经营活动中没有重大违法记录的书面声明。（自行承诺，格式自拟）</w:t>
            </w:r>
          </w:p>
          <w:p w14:paraId="4B2A4D43">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8</w:t>
            </w:r>
            <w:r>
              <w:rPr>
                <w:rFonts w:hint="eastAsia" w:asciiTheme="minorEastAsia" w:hAnsiTheme="minorEastAsia" w:eastAsiaTheme="minorEastAsia" w:cstheme="minorEastAsia"/>
                <w:color w:val="auto"/>
                <w:sz w:val="21"/>
                <w:szCs w:val="21"/>
                <w:highlight w:val="none"/>
              </w:rPr>
              <w:t>.对列入“信用中国”网站(www.creditchina.gov.cn）的“失信被执行人”、“重大税收违法案件当事人名单（重大税收违法失信主体）”或“中国政府采购”网站(www.ccgp.gov.cn)的“政府采购严重违法失信行为记录名单”的供应商，将拒绝其参加政府采购活动</w:t>
            </w:r>
            <w:r>
              <w:rPr>
                <w:rFonts w:hint="eastAsia" w:asciiTheme="minorEastAsia" w:hAnsiTheme="minorEastAsia" w:eastAsiaTheme="minorEastAsia" w:cstheme="minorEastAsia"/>
                <w:color w:val="auto"/>
                <w:sz w:val="21"/>
                <w:szCs w:val="21"/>
                <w:highlight w:val="none"/>
                <w:lang w:eastAsia="zh-CN"/>
              </w:rPr>
              <w:t>。</w:t>
            </w:r>
          </w:p>
          <w:p w14:paraId="79CD185E">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单位负责人为同一人或者存在直接控股、管理关系的不同供应商，全部或者部分股东为同一法人、其他组织或者自然人的不同供应商，同一自然人在两个以上供应商任职的不同供应商，不得参加同一合同项下的政府采购活动。（提供国家企业信用信息公示系统中的查询网页截图。（含公司基本信息、股东信息及股权变更信息</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w:t>
            </w:r>
          </w:p>
        </w:tc>
      </w:tr>
    </w:tbl>
    <w:p w14:paraId="23CF1757">
      <w:pPr>
        <w:pageBreakBefore w:val="0"/>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lang w:val="zh-CN" w:bidi="zh-CN"/>
        </w:rPr>
      </w:pPr>
      <w:r>
        <w:rPr>
          <w:rFonts w:hint="eastAsia" w:asciiTheme="minorEastAsia" w:hAnsiTheme="minorEastAsia" w:eastAsiaTheme="minorEastAsia" w:cstheme="minorEastAsia"/>
          <w:color w:val="auto"/>
          <w:sz w:val="21"/>
          <w:szCs w:val="21"/>
          <w:highlight w:val="none"/>
          <w:lang w:val="zh-CN" w:bidi="zh-CN"/>
        </w:rPr>
        <w:t>2、响应性文件的符合性审查与澄清</w:t>
      </w:r>
    </w:p>
    <w:p w14:paraId="2DD4AF2C">
      <w:pPr>
        <w:pStyle w:val="16"/>
        <w:pageBreakBefore w:val="0"/>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lang w:val="zh-CN" w:bidi="zh-CN"/>
        </w:rPr>
      </w:pPr>
      <w:r>
        <w:rPr>
          <w:rFonts w:hint="eastAsia" w:asciiTheme="minorEastAsia" w:hAnsiTheme="minorEastAsia" w:eastAsiaTheme="minorEastAsia" w:cstheme="minorEastAsia"/>
          <w:color w:val="auto"/>
          <w:sz w:val="21"/>
          <w:szCs w:val="21"/>
          <w:highlight w:val="none"/>
          <w:lang w:val="zh-CN" w:bidi="zh-CN"/>
        </w:rPr>
        <w:t>磋商小组应依据磋商文件规定的实质性要求，对符合资格的响应文件进行有效性、完整性和响应程度的符合性审查。</w:t>
      </w:r>
    </w:p>
    <w:p w14:paraId="34DA17E2">
      <w:pPr>
        <w:pStyle w:val="16"/>
        <w:pageBreakBefore w:val="0"/>
        <w:overflowPunct/>
        <w:topLinePunct w:val="0"/>
        <w:bidi w:val="0"/>
        <w:spacing w:line="360" w:lineRule="auto"/>
        <w:ind w:firstLine="48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符合性审查表</w:t>
      </w:r>
    </w:p>
    <w:tbl>
      <w:tblPr>
        <w:tblStyle w:val="38"/>
        <w:tblW w:w="5114"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15"/>
        <w:gridCol w:w="2684"/>
        <w:gridCol w:w="5615"/>
      </w:tblGrid>
      <w:tr w14:paraId="047187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000" w:type="pct"/>
            <w:gridSpan w:val="3"/>
            <w:tcBorders>
              <w:bottom w:val="single" w:color="000000" w:sz="6" w:space="0"/>
            </w:tcBorders>
            <w:vAlign w:val="center"/>
          </w:tcPr>
          <w:p w14:paraId="6D4B6F4E">
            <w:pPr>
              <w:pStyle w:val="177"/>
              <w:pageBreakBefore w:val="0"/>
              <w:overflowPunct/>
              <w:topLinePunct w:val="0"/>
              <w:bidi w:val="0"/>
              <w:spacing w:line="360" w:lineRule="auto"/>
              <w:ind w:firstLine="42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审查事项</w:t>
            </w:r>
          </w:p>
        </w:tc>
      </w:tr>
      <w:tr w14:paraId="16CA91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6" w:space="0"/>
              <w:right w:val="single" w:color="000000" w:sz="6" w:space="0"/>
            </w:tcBorders>
            <w:vAlign w:val="center"/>
          </w:tcPr>
          <w:p w14:paraId="57B70D48">
            <w:pPr>
              <w:pStyle w:val="177"/>
              <w:pageBreakBefore w:val="0"/>
              <w:overflowPunct/>
              <w:topLinePunct w:val="0"/>
              <w:bidi w:val="0"/>
              <w:spacing w:line="360" w:lineRule="auto"/>
              <w:ind w:firstLine="42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440" w:type="pct"/>
            <w:tcBorders>
              <w:top w:val="single" w:color="000000" w:sz="6" w:space="0"/>
              <w:left w:val="single" w:color="000000" w:sz="6" w:space="0"/>
              <w:bottom w:val="single" w:color="000000" w:sz="6" w:space="0"/>
              <w:right w:val="single" w:color="000000" w:sz="6" w:space="0"/>
            </w:tcBorders>
            <w:vAlign w:val="center"/>
          </w:tcPr>
          <w:p w14:paraId="7281B6A8">
            <w:pPr>
              <w:pStyle w:val="177"/>
              <w:pageBreakBefore w:val="0"/>
              <w:overflowPunct/>
              <w:topLinePunct w:val="0"/>
              <w:bidi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采购文件要求</w:t>
            </w:r>
          </w:p>
        </w:tc>
        <w:tc>
          <w:tcPr>
            <w:tcW w:w="3013" w:type="pct"/>
            <w:tcBorders>
              <w:top w:val="single" w:color="000000" w:sz="6" w:space="0"/>
              <w:left w:val="single" w:color="000000" w:sz="6" w:space="0"/>
              <w:bottom w:val="single" w:color="000000" w:sz="6" w:space="0"/>
            </w:tcBorders>
            <w:vAlign w:val="center"/>
          </w:tcPr>
          <w:p w14:paraId="2F689E3E">
            <w:pPr>
              <w:pStyle w:val="177"/>
              <w:pageBreakBefore w:val="0"/>
              <w:overflowPunct/>
              <w:topLinePunct w:val="0"/>
              <w:bidi w:val="0"/>
              <w:spacing w:line="360" w:lineRule="auto"/>
              <w:ind w:firstLine="42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评审标准</w:t>
            </w:r>
          </w:p>
        </w:tc>
      </w:tr>
      <w:tr w14:paraId="4A9C62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6" w:space="0"/>
              <w:right w:val="single" w:color="000000" w:sz="6" w:space="0"/>
            </w:tcBorders>
            <w:vAlign w:val="center"/>
          </w:tcPr>
          <w:p w14:paraId="11B91718">
            <w:pPr>
              <w:pStyle w:val="177"/>
              <w:pageBreakBefore w:val="0"/>
              <w:overflowPunct/>
              <w:topLinePunct w:val="0"/>
              <w:bidi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440" w:type="pct"/>
            <w:tcBorders>
              <w:top w:val="single" w:color="000000" w:sz="6" w:space="0"/>
              <w:left w:val="single" w:color="000000" w:sz="6" w:space="0"/>
              <w:bottom w:val="single" w:color="000000" w:sz="6" w:space="0"/>
              <w:right w:val="single" w:color="000000" w:sz="6" w:space="0"/>
            </w:tcBorders>
            <w:vAlign w:val="center"/>
          </w:tcPr>
          <w:p w14:paraId="317C42BE">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响应文件制作机器码</w:t>
            </w:r>
          </w:p>
        </w:tc>
        <w:tc>
          <w:tcPr>
            <w:tcW w:w="3013" w:type="pct"/>
            <w:tcBorders>
              <w:top w:val="single" w:color="000000" w:sz="6" w:space="0"/>
              <w:left w:val="single" w:color="000000" w:sz="6" w:space="0"/>
              <w:bottom w:val="single" w:color="000000" w:sz="6" w:space="0"/>
            </w:tcBorders>
            <w:vAlign w:val="center"/>
          </w:tcPr>
          <w:p w14:paraId="28993C9D">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不同响应文件制作机器码不一致</w:t>
            </w:r>
          </w:p>
        </w:tc>
      </w:tr>
      <w:tr w14:paraId="17D744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6" w:space="0"/>
              <w:right w:val="single" w:color="000000" w:sz="6" w:space="0"/>
            </w:tcBorders>
            <w:vAlign w:val="center"/>
          </w:tcPr>
          <w:p w14:paraId="0B19DD4A">
            <w:pPr>
              <w:pStyle w:val="177"/>
              <w:pageBreakBefore w:val="0"/>
              <w:overflowPunct/>
              <w:topLinePunct w:val="0"/>
              <w:bidi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440" w:type="pct"/>
            <w:tcBorders>
              <w:top w:val="single" w:color="000000" w:sz="6" w:space="0"/>
              <w:left w:val="single" w:color="000000" w:sz="6" w:space="0"/>
              <w:bottom w:val="single" w:color="000000" w:sz="6" w:space="0"/>
              <w:right w:val="single" w:color="000000" w:sz="6" w:space="0"/>
            </w:tcBorders>
            <w:vAlign w:val="center"/>
          </w:tcPr>
          <w:p w14:paraId="38FFE9AA">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供应商名称</w:t>
            </w:r>
          </w:p>
        </w:tc>
        <w:tc>
          <w:tcPr>
            <w:tcW w:w="3013" w:type="pct"/>
            <w:tcBorders>
              <w:top w:val="single" w:color="000000" w:sz="6" w:space="0"/>
              <w:left w:val="single" w:color="000000" w:sz="6" w:space="0"/>
              <w:bottom w:val="single" w:color="000000" w:sz="6" w:space="0"/>
            </w:tcBorders>
            <w:vAlign w:val="center"/>
          </w:tcPr>
          <w:p w14:paraId="2F4FE7EA">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与营业执照一致或其它相关资料上的名称一致</w:t>
            </w:r>
          </w:p>
        </w:tc>
      </w:tr>
      <w:tr w14:paraId="508972E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4" w:space="0"/>
              <w:right w:val="single" w:color="000000" w:sz="6" w:space="0"/>
            </w:tcBorders>
            <w:vAlign w:val="center"/>
          </w:tcPr>
          <w:p w14:paraId="73DDC734">
            <w:pPr>
              <w:pStyle w:val="177"/>
              <w:pageBreakBefore w:val="0"/>
              <w:overflowPunct/>
              <w:topLinePunct w:val="0"/>
              <w:bidi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440" w:type="pct"/>
            <w:tcBorders>
              <w:top w:val="single" w:color="000000" w:sz="6" w:space="0"/>
              <w:left w:val="single" w:color="000000" w:sz="6" w:space="0"/>
              <w:bottom w:val="single" w:color="000000" w:sz="4" w:space="0"/>
              <w:right w:val="single" w:color="000000" w:sz="6" w:space="0"/>
            </w:tcBorders>
            <w:vAlign w:val="center"/>
          </w:tcPr>
          <w:p w14:paraId="6E3AD13B">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响应文件签字盖章</w:t>
            </w:r>
          </w:p>
        </w:tc>
        <w:tc>
          <w:tcPr>
            <w:tcW w:w="3013" w:type="pct"/>
            <w:tcBorders>
              <w:top w:val="single" w:color="000000" w:sz="6" w:space="0"/>
              <w:left w:val="single" w:color="000000" w:sz="6" w:space="0"/>
              <w:bottom w:val="single" w:color="000000" w:sz="4" w:space="0"/>
            </w:tcBorders>
            <w:vAlign w:val="center"/>
          </w:tcPr>
          <w:p w14:paraId="29A2468B">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按照采购文件中的要求签字盖章。</w:t>
            </w:r>
          </w:p>
        </w:tc>
      </w:tr>
      <w:tr w14:paraId="3534EB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5D391722">
            <w:pPr>
              <w:pStyle w:val="177"/>
              <w:pageBreakBefore w:val="0"/>
              <w:overflowPunct/>
              <w:topLinePunct w:val="0"/>
              <w:bidi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1440" w:type="pct"/>
            <w:tcBorders>
              <w:top w:val="single" w:color="000000" w:sz="4" w:space="0"/>
              <w:left w:val="single" w:color="000000" w:sz="6" w:space="0"/>
              <w:bottom w:val="single" w:color="000000" w:sz="6" w:space="0"/>
              <w:right w:val="single" w:color="000000" w:sz="6" w:space="0"/>
            </w:tcBorders>
            <w:vAlign w:val="center"/>
          </w:tcPr>
          <w:p w14:paraId="47E49633">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交货期</w:t>
            </w:r>
          </w:p>
        </w:tc>
        <w:tc>
          <w:tcPr>
            <w:tcW w:w="3013" w:type="pct"/>
            <w:tcBorders>
              <w:top w:val="single" w:color="000000" w:sz="4" w:space="0"/>
              <w:left w:val="single" w:color="000000" w:sz="6" w:space="0"/>
              <w:bottom w:val="single" w:color="000000" w:sz="6" w:space="0"/>
            </w:tcBorders>
            <w:vAlign w:val="center"/>
          </w:tcPr>
          <w:p w14:paraId="377D4D43">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符合第二章“供应商须知”第1.3.2项规定</w:t>
            </w:r>
          </w:p>
        </w:tc>
      </w:tr>
      <w:tr w14:paraId="4BFC10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08816257">
            <w:pPr>
              <w:pStyle w:val="177"/>
              <w:pageBreakBefore w:val="0"/>
              <w:overflowPunct/>
              <w:topLinePunct w:val="0"/>
              <w:bidi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440" w:type="pct"/>
            <w:tcBorders>
              <w:top w:val="single" w:color="000000" w:sz="4" w:space="0"/>
              <w:left w:val="single" w:color="000000" w:sz="6" w:space="0"/>
              <w:bottom w:val="single" w:color="000000" w:sz="6" w:space="0"/>
              <w:right w:val="single" w:color="000000" w:sz="6" w:space="0"/>
            </w:tcBorders>
            <w:vAlign w:val="center"/>
          </w:tcPr>
          <w:p w14:paraId="24920FF0">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质量要求</w:t>
            </w:r>
          </w:p>
        </w:tc>
        <w:tc>
          <w:tcPr>
            <w:tcW w:w="3013" w:type="pct"/>
            <w:tcBorders>
              <w:top w:val="single" w:color="000000" w:sz="4" w:space="0"/>
              <w:left w:val="single" w:color="000000" w:sz="6" w:space="0"/>
              <w:bottom w:val="single" w:color="000000" w:sz="6" w:space="0"/>
            </w:tcBorders>
            <w:vAlign w:val="center"/>
          </w:tcPr>
          <w:p w14:paraId="662197C0">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符合第二章“供应商须知”第1.3.3项规定</w:t>
            </w:r>
          </w:p>
        </w:tc>
      </w:tr>
      <w:tr w14:paraId="6D3259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11951C68">
            <w:pPr>
              <w:pStyle w:val="177"/>
              <w:pageBreakBefore w:val="0"/>
              <w:overflowPunct/>
              <w:topLinePunct w:val="0"/>
              <w:bidi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440" w:type="pct"/>
            <w:tcBorders>
              <w:top w:val="single" w:color="000000" w:sz="4" w:space="0"/>
              <w:left w:val="single" w:color="000000" w:sz="6" w:space="0"/>
              <w:bottom w:val="single" w:color="000000" w:sz="6" w:space="0"/>
              <w:right w:val="single" w:color="000000" w:sz="6" w:space="0"/>
            </w:tcBorders>
            <w:vAlign w:val="center"/>
          </w:tcPr>
          <w:p w14:paraId="3CBB5922">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质保期</w:t>
            </w:r>
          </w:p>
        </w:tc>
        <w:tc>
          <w:tcPr>
            <w:tcW w:w="3013" w:type="pct"/>
            <w:tcBorders>
              <w:top w:val="single" w:color="000000" w:sz="4" w:space="0"/>
              <w:left w:val="single" w:color="000000" w:sz="6" w:space="0"/>
              <w:bottom w:val="single" w:color="000000" w:sz="6" w:space="0"/>
            </w:tcBorders>
            <w:vAlign w:val="center"/>
          </w:tcPr>
          <w:p w14:paraId="188B86FD">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符合第二章“供应商须知”第1.3.4项规定</w:t>
            </w:r>
          </w:p>
        </w:tc>
      </w:tr>
      <w:tr w14:paraId="12FE01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399DE63F">
            <w:pPr>
              <w:pStyle w:val="177"/>
              <w:pageBreakBefore w:val="0"/>
              <w:overflowPunct/>
              <w:topLinePunct w:val="0"/>
              <w:bidi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440" w:type="pct"/>
            <w:tcBorders>
              <w:top w:val="single" w:color="000000" w:sz="4" w:space="0"/>
              <w:left w:val="single" w:color="000000" w:sz="6" w:space="0"/>
              <w:bottom w:val="single" w:color="000000" w:sz="6" w:space="0"/>
              <w:right w:val="single" w:color="000000" w:sz="6" w:space="0"/>
            </w:tcBorders>
            <w:vAlign w:val="center"/>
          </w:tcPr>
          <w:p w14:paraId="2BED102A">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响应报价</w:t>
            </w:r>
          </w:p>
        </w:tc>
        <w:tc>
          <w:tcPr>
            <w:tcW w:w="3013" w:type="pct"/>
            <w:tcBorders>
              <w:top w:val="single" w:color="000000" w:sz="4" w:space="0"/>
              <w:left w:val="single" w:color="000000" w:sz="6" w:space="0"/>
              <w:bottom w:val="single" w:color="000000" w:sz="6" w:space="0"/>
            </w:tcBorders>
            <w:vAlign w:val="center"/>
          </w:tcPr>
          <w:p w14:paraId="6AC390D2">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报价未超过竞争性磋商文件规定的预算金额或最高限价</w:t>
            </w:r>
          </w:p>
        </w:tc>
      </w:tr>
      <w:tr w14:paraId="6C8EAA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4" w:space="0"/>
              <w:right w:val="single" w:color="000000" w:sz="6" w:space="0"/>
            </w:tcBorders>
            <w:vAlign w:val="center"/>
          </w:tcPr>
          <w:p w14:paraId="1E7F7D71">
            <w:pPr>
              <w:pStyle w:val="177"/>
              <w:pageBreakBefore w:val="0"/>
              <w:overflowPunct/>
              <w:topLinePunct w:val="0"/>
              <w:bidi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440" w:type="pct"/>
            <w:tcBorders>
              <w:top w:val="single" w:color="000000" w:sz="6" w:space="0"/>
              <w:left w:val="single" w:color="000000" w:sz="6" w:space="0"/>
              <w:bottom w:val="single" w:color="000000" w:sz="4" w:space="0"/>
              <w:right w:val="single" w:color="000000" w:sz="6" w:space="0"/>
            </w:tcBorders>
            <w:vAlign w:val="center"/>
          </w:tcPr>
          <w:p w14:paraId="75159836">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响应文件有效期</w:t>
            </w:r>
          </w:p>
        </w:tc>
        <w:tc>
          <w:tcPr>
            <w:tcW w:w="3013" w:type="pct"/>
            <w:tcBorders>
              <w:top w:val="single" w:color="000000" w:sz="6" w:space="0"/>
              <w:left w:val="single" w:color="000000" w:sz="6" w:space="0"/>
              <w:bottom w:val="single" w:color="000000" w:sz="4" w:space="0"/>
            </w:tcBorders>
            <w:vAlign w:val="center"/>
          </w:tcPr>
          <w:p w14:paraId="7278BAFB">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符合竞争性磋商文件要求</w:t>
            </w:r>
          </w:p>
        </w:tc>
      </w:tr>
      <w:tr w14:paraId="43895F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62431C1C">
            <w:pPr>
              <w:pStyle w:val="177"/>
              <w:pageBreakBefore w:val="0"/>
              <w:overflowPunct/>
              <w:topLinePunct w:val="0"/>
              <w:bidi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440" w:type="pct"/>
            <w:tcBorders>
              <w:top w:val="single" w:color="000000" w:sz="4" w:space="0"/>
              <w:left w:val="single" w:color="000000" w:sz="6" w:space="0"/>
              <w:bottom w:val="single" w:color="000000" w:sz="6" w:space="0"/>
              <w:right w:val="single" w:color="000000" w:sz="6" w:space="0"/>
            </w:tcBorders>
            <w:vAlign w:val="center"/>
          </w:tcPr>
          <w:p w14:paraId="0A9AB2C2">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w:t>
            </w:r>
          </w:p>
        </w:tc>
        <w:tc>
          <w:tcPr>
            <w:tcW w:w="3013" w:type="pct"/>
            <w:tcBorders>
              <w:top w:val="single" w:color="000000" w:sz="4" w:space="0"/>
              <w:left w:val="single" w:color="000000" w:sz="6" w:space="0"/>
              <w:bottom w:val="single" w:color="000000" w:sz="6" w:space="0"/>
            </w:tcBorders>
            <w:vAlign w:val="center"/>
          </w:tcPr>
          <w:p w14:paraId="746BAFC5">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竞争性磋商文件中其他要求</w:t>
            </w:r>
          </w:p>
        </w:tc>
      </w:tr>
      <w:tr w14:paraId="4F0977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1986" w:type="pct"/>
            <w:gridSpan w:val="2"/>
            <w:tcBorders>
              <w:top w:val="single" w:color="000000" w:sz="6" w:space="0"/>
              <w:right w:val="single" w:color="000000" w:sz="6" w:space="0"/>
            </w:tcBorders>
            <w:vAlign w:val="center"/>
          </w:tcPr>
          <w:p w14:paraId="47D623D5">
            <w:pPr>
              <w:pStyle w:val="177"/>
              <w:pageBreakBefore w:val="0"/>
              <w:overflowPunct/>
              <w:topLinePunct w:val="0"/>
              <w:bidi w:val="0"/>
              <w:spacing w:line="360" w:lineRule="auto"/>
              <w:ind w:firstLine="42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结论</w:t>
            </w:r>
          </w:p>
        </w:tc>
        <w:tc>
          <w:tcPr>
            <w:tcW w:w="3013" w:type="pct"/>
            <w:tcBorders>
              <w:top w:val="single" w:color="000000" w:sz="6" w:space="0"/>
              <w:left w:val="single" w:color="000000" w:sz="6" w:space="0"/>
            </w:tcBorders>
            <w:vAlign w:val="center"/>
          </w:tcPr>
          <w:p w14:paraId="20BBAA9A">
            <w:pPr>
              <w:pStyle w:val="17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tc>
      </w:tr>
      <w:bookmarkEnd w:id="59"/>
      <w:bookmarkEnd w:id="60"/>
    </w:tbl>
    <w:p w14:paraId="490209E2">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pPr>
      <w:bookmarkStart w:id="198" w:name="_Toc409023136"/>
      <w:bookmarkStart w:id="199" w:name="_Toc8429"/>
      <w:bookmarkStart w:id="200" w:name="_Toc8185"/>
      <w:r>
        <w:rPr>
          <w:rFonts w:hint="eastAsia" w:asciiTheme="minorEastAsia" w:hAnsiTheme="minorEastAsia" w:eastAsiaTheme="minorEastAsia" w:cstheme="minorEastAsia"/>
          <w:color w:val="auto"/>
          <w:sz w:val="21"/>
          <w:szCs w:val="21"/>
          <w:highlight w:val="none"/>
        </w:rPr>
        <w:t>备注：结论填写通过或不通过。</w:t>
      </w:r>
    </w:p>
    <w:p w14:paraId="41471AE8">
      <w:pPr>
        <w:pStyle w:val="16"/>
        <w:pageBreakBefore w:val="0"/>
        <w:overflowPunct/>
        <w:topLinePunct w:val="0"/>
        <w:bidi w:val="0"/>
        <w:spacing w:after="0" w:line="360" w:lineRule="auto"/>
        <w:ind w:firstLine="48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3、磋商</w:t>
      </w:r>
    </w:p>
    <w:p w14:paraId="11C486E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3.1磋商小组所有成员集中与单一供应商分别进行一轮或多轮磋商，并给予所有参加磋商的供应商平等的磋商机会。磋商顺序以随机的方式确定。磋商过程中，磋商小组可以根据磋商情况调整磋商轮次。</w:t>
      </w:r>
    </w:p>
    <w:p w14:paraId="1C0B1F86">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3.2每轮磋商开始前，磋商小组应根据磋商文件的规定，并结合各供应商的响应文件拟定磋商内容。</w:t>
      </w:r>
    </w:p>
    <w:p w14:paraId="4DA6F9D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3.3在磋商过程中，磋商小组可以根据磋商文件和磋商情况实质性变动磋商文件的技术、服务要求以及合同草案条款，但不得变动磋商文件中的其他内容。实质性变动的内容，须经采购人代表书面确认。</w:t>
      </w:r>
    </w:p>
    <w:p w14:paraId="6794004C">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3.4对磋商文件做出的实质性变动是磋商文件的有效组成部分，磋商小组应当及时以书面形式同时通知所有参加磋商的供应商。</w:t>
      </w:r>
    </w:p>
    <w:p w14:paraId="3A0B4643">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3.5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66D559AA">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3.6磋商过程中，磋商的任何一方不得透露与磋商有关的其他供应商的技术资料、价格和其他信息。</w:t>
      </w:r>
    </w:p>
    <w:p w14:paraId="158350E6">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3.7磋商过程中，磋商小组发现或者知晓供应商存在违法、违纪行为的，磋商小组应当将该供应商响应文件作无效处理，不允许其提交最后报价。</w:t>
      </w:r>
    </w:p>
    <w:p w14:paraId="6D19B5A8">
      <w:pPr>
        <w:pStyle w:val="16"/>
        <w:pageBreakBefore w:val="0"/>
        <w:overflowPunct/>
        <w:topLinePunct w:val="0"/>
        <w:bidi w:val="0"/>
        <w:spacing w:after="0" w:line="360" w:lineRule="auto"/>
        <w:ind w:firstLine="48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4、提交最终报价</w:t>
      </w:r>
    </w:p>
    <w:p w14:paraId="3DE84D0E">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4.1根据《政府采购竞争性磋商采购方式管理暂行办法》规定，磋商结束后，磋商小组要求所有实质性响应的供应商在规定时间内提交最后报价。</w:t>
      </w:r>
    </w:p>
    <w:p w14:paraId="79E29549">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根据财库〔2015〕124号《财政部关于政府采购竞争性磋商采购方式管理暂行办法有关问题的补充通知》，采用竞争性磋商采购方式采购政府购买服务的项目（含政府和社会资本合作项目），提交最后报价的供应商可以为2家。</w:t>
      </w:r>
    </w:p>
    <w:p w14:paraId="52C8DB71">
      <w:pPr>
        <w:pStyle w:val="16"/>
        <w:pageBreakBefore w:val="0"/>
        <w:overflowPunct/>
        <w:topLinePunct w:val="0"/>
        <w:bidi w:val="0"/>
        <w:spacing w:after="0" w:line="360" w:lineRule="auto"/>
        <w:ind w:firstLine="48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5、比较与评价</w:t>
      </w:r>
    </w:p>
    <w:p w14:paraId="7713D64C">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5.1经磋商确定最终采购需求和提交最后报价的供应商后，由磋商小组采用综合评分法对提交最后报价的供应商的响应文件和最后报价进行综合评分。</w:t>
      </w:r>
    </w:p>
    <w:p w14:paraId="1C6D2242">
      <w:pPr>
        <w:pStyle w:val="16"/>
        <w:pageBreakBefore w:val="0"/>
        <w:overflowPunct/>
        <w:topLinePunct w:val="0"/>
        <w:bidi w:val="0"/>
        <w:spacing w:after="0"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综合评分法，是指响应文件满足磋商文件全部实质性要求且按评审因素的量化指标评审得分最高的供应商为成交候选供应商的评审方法。</w:t>
      </w:r>
    </w:p>
    <w:p w14:paraId="5E8BF67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磋商小组应当根据综合评分情况，按照评审得分由高到低顺序推荐3名成交候选供应商，并编写评审报告。评审得分相同的，按照最后报价由低到高的顺序推荐。评审得分且最后报价相同的，按照技术指标优劣顺序推荐。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DDD7263">
      <w:pPr>
        <w:pStyle w:val="16"/>
        <w:pageBreakBefore w:val="0"/>
        <w:overflowPunct/>
        <w:topLinePunct w:val="0"/>
        <w:bidi w:val="0"/>
        <w:spacing w:after="0" w:line="360" w:lineRule="auto"/>
        <w:ind w:firstLine="480"/>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五</w:t>
      </w:r>
      <w:r>
        <w:rPr>
          <w:rFonts w:hint="eastAsia" w:asciiTheme="minorEastAsia" w:hAnsiTheme="minorEastAsia" w:eastAsiaTheme="minorEastAsia" w:cstheme="minorEastAsia"/>
          <w:b/>
          <w:bCs/>
          <w:color w:val="auto"/>
          <w:sz w:val="28"/>
          <w:szCs w:val="28"/>
          <w:highlight w:val="none"/>
        </w:rPr>
        <w:t>、评审标准中应考虑下列因素：</w:t>
      </w:r>
    </w:p>
    <w:p w14:paraId="3B0C0436">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1、需落实的政府采购政策性规定（关于小微企业、监狱企业、残疾人企业）：</w:t>
      </w:r>
    </w:p>
    <w:p w14:paraId="7284739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1.1《政府采购促进中小企业发展管理办法》（财库[2020]46号）；</w:t>
      </w:r>
    </w:p>
    <w:p w14:paraId="46D0B2B8">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1.2《财政部司法部关于政府采购支持监狱企业发展有关问题的通知》（财库〔2014〕68号）；</w:t>
      </w:r>
    </w:p>
    <w:p w14:paraId="4517192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1.3《三部门联合发布关于促进残疾人就业政府采购政策的通知》（财库〔2017〕141号）。</w:t>
      </w:r>
    </w:p>
    <w:p w14:paraId="0621B4D5">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2.1对于小微企业、监狱企业、残疾人企业的价格折扣</w:t>
      </w:r>
    </w:p>
    <w:p w14:paraId="107C0392">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对于非专门面向中小企业采购的项目，在满足价格扣除条件且在响应文件中按要求提交了《中小企业声明函》的，对最后报价给予价格扣除，用扣除后的价格参与评审（仅作为价格扣除条件，不作为成交价）。最后报价扣除比例如下：</w:t>
      </w:r>
    </w:p>
    <w:p w14:paraId="18B47FF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（1）非联合体参加采购活动</w:t>
      </w:r>
    </w:p>
    <w:p w14:paraId="31EDF8AB">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小型和微型企业相应产品、服务最后报价的</w:t>
      </w:r>
      <w:r>
        <w:rPr>
          <w:rFonts w:hint="eastAsia" w:asciiTheme="minorEastAsia" w:hAnsiTheme="minorEastAsia" w:eastAsiaTheme="minorEastAsia" w:cstheme="minorEastAsia"/>
          <w:color w:val="auto"/>
          <w:sz w:val="21"/>
          <w:szCs w:val="21"/>
          <w:highlight w:val="none"/>
          <w:u w:val="single"/>
        </w:rPr>
        <w:t xml:space="preserve">  10  </w:t>
      </w:r>
      <w:r>
        <w:rPr>
          <w:rFonts w:hint="eastAsia" w:asciiTheme="minorEastAsia" w:hAnsiTheme="minorEastAsia" w:eastAsiaTheme="minorEastAsia" w:cstheme="minorEastAsia"/>
          <w:color w:val="auto"/>
          <w:sz w:val="21"/>
          <w:szCs w:val="21"/>
          <w:highlight w:val="none"/>
        </w:rPr>
        <w:t>%</w:t>
      </w:r>
    </w:p>
    <w:p w14:paraId="54C51340">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（2）联合体参加采购活动</w:t>
      </w:r>
    </w:p>
    <w:p w14:paraId="2CDDB8E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大中型企业和其他自然人、法人或者其他组织与小型、微型企业组成联合体共同参加非专门面向中小企业的政府采购活动的，联合体报价协议中约定，小型、微型企业的协议合同金额占到联合体报价协议合同总金额30%以上的，最后报价扣除2%）。</w:t>
      </w:r>
    </w:p>
    <w:p w14:paraId="5953DFF9">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联合体各方均为小型、微型企业的，联合体视同为小型、微型企业，按第本款（1）条规定享受扶持政策。组成联合体的大中型企业和其他自然人、法人或者其他组织，与小型、微型企业之间不得存在投资关系。</w:t>
      </w:r>
    </w:p>
    <w:p w14:paraId="28FBE93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2.1.2监狱企业视同小型、微型企业，在满足价格扣除条件且在响应文件中按要求提交了省级以上监狱管理局、戒毒管理局（含新疆生产建设兵团）出具的属于监狱企业的证明文件的，对其最后报价按本章2.1.1条款的比例予以扣除，用扣除后的价格参与评审。</w:t>
      </w:r>
    </w:p>
    <w:p w14:paraId="353C57E5">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2.1.3残疾人福利性单位视同小型、微型企业，在满足价格扣除条件且在响应文件中提供了《残疾人福利性单位声明函》的，对其最后报价按本章2.1.1条款的比例予以扣除，用扣除后的价格参与评审。</w:t>
      </w:r>
    </w:p>
    <w:p w14:paraId="4FD81074">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2.1.4“小型、微型企业”、“监狱企业”、“残疾人福利单位”等，只享受一次价格折扣，不重复享受政策。</w:t>
      </w:r>
    </w:p>
    <w:p w14:paraId="2EEA0CDF">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3、政府采购节能产品、环境标志产品、强制采购产品、信息安全产品的要求。无。</w:t>
      </w:r>
    </w:p>
    <w:p w14:paraId="17EED23E">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4、其他政府采购政策要求：无</w:t>
      </w:r>
    </w:p>
    <w:p w14:paraId="6182265D">
      <w:pPr>
        <w:pStyle w:val="16"/>
        <w:pageBreakBefore w:val="0"/>
        <w:overflowPunct/>
        <w:topLinePunct w:val="0"/>
        <w:bidi w:val="0"/>
        <w:spacing w:after="0" w:line="360" w:lineRule="auto"/>
        <w:ind w:firstLine="480"/>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六</w:t>
      </w:r>
      <w:r>
        <w:rPr>
          <w:rFonts w:hint="eastAsia" w:asciiTheme="minorEastAsia" w:hAnsiTheme="minorEastAsia" w:eastAsiaTheme="minorEastAsia" w:cstheme="minorEastAsia"/>
          <w:b/>
          <w:bCs/>
          <w:color w:val="auto"/>
          <w:sz w:val="28"/>
          <w:szCs w:val="28"/>
          <w:highlight w:val="none"/>
        </w:rPr>
        <w:t>、综合评分标准</w:t>
      </w:r>
    </w:p>
    <w:p w14:paraId="5A0D20E8">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磋商小组将根据评分标准，分别对通过符合性审查、资格性审查且提交了最后报价的供应商，进行综合评分。具体评分标准如下：</w:t>
      </w:r>
    </w:p>
    <w:tbl>
      <w:tblPr>
        <w:tblStyle w:val="38"/>
        <w:tblW w:w="562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09"/>
        <w:gridCol w:w="1379"/>
        <w:gridCol w:w="1580"/>
        <w:gridCol w:w="5548"/>
        <w:gridCol w:w="926"/>
      </w:tblGrid>
      <w:tr w14:paraId="4B2B0D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839" w:type="pct"/>
            <w:gridSpan w:val="3"/>
            <w:tcBorders>
              <w:tl2br w:val="nil"/>
              <w:tr2bl w:val="nil"/>
            </w:tcBorders>
            <w:vAlign w:val="center"/>
          </w:tcPr>
          <w:p w14:paraId="6F4E8D1B">
            <w:pPr>
              <w:pageBreakBefore w:val="0"/>
              <w:widowControl/>
              <w:overflowPunct/>
              <w:topLinePunct w:val="0"/>
              <w:bidi w:val="0"/>
              <w:spacing w:line="360" w:lineRule="auto"/>
              <w:ind w:firstLine="420"/>
              <w:jc w:val="center"/>
              <w:rPr>
                <w:rFonts w:hint="eastAsia" w:asciiTheme="minorEastAsia" w:hAnsiTheme="minorEastAsia" w:eastAsiaTheme="minorEastAsia" w:cstheme="minorEastAsia"/>
                <w:b/>
                <w:color w:val="auto"/>
                <w:kern w:val="0"/>
                <w:sz w:val="21"/>
                <w:szCs w:val="21"/>
                <w:highlight w:val="none"/>
                <w:lang w:val="zh-CN" w:bidi="zh-CN"/>
              </w:rPr>
            </w:pPr>
            <w:r>
              <w:rPr>
                <w:rFonts w:hint="eastAsia" w:asciiTheme="minorEastAsia" w:hAnsiTheme="minorEastAsia" w:eastAsiaTheme="minorEastAsia" w:cstheme="minorEastAsia"/>
                <w:b/>
                <w:color w:val="auto"/>
                <w:kern w:val="0"/>
                <w:sz w:val="21"/>
                <w:szCs w:val="21"/>
                <w:highlight w:val="none"/>
              </w:rPr>
              <w:t>条款内容</w:t>
            </w:r>
          </w:p>
        </w:tc>
        <w:tc>
          <w:tcPr>
            <w:tcW w:w="3160" w:type="pct"/>
            <w:gridSpan w:val="2"/>
            <w:tcBorders>
              <w:tl2br w:val="nil"/>
              <w:tr2bl w:val="nil"/>
            </w:tcBorders>
            <w:vAlign w:val="center"/>
          </w:tcPr>
          <w:p w14:paraId="05B07F9B">
            <w:pPr>
              <w:pStyle w:val="177"/>
              <w:pageBreakBefore w:val="0"/>
              <w:overflowPunct/>
              <w:topLinePunct w:val="0"/>
              <w:bidi w:val="0"/>
              <w:spacing w:line="360" w:lineRule="auto"/>
              <w:ind w:left="105" w:leftChars="50" w:right="105" w:rightChars="50" w:firstLine="42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编列内容</w:t>
            </w:r>
          </w:p>
        </w:tc>
      </w:tr>
      <w:tr w14:paraId="47BF93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39" w:type="pct"/>
            <w:gridSpan w:val="3"/>
            <w:tcBorders>
              <w:tl2br w:val="nil"/>
              <w:tr2bl w:val="nil"/>
            </w:tcBorders>
            <w:vAlign w:val="center"/>
          </w:tcPr>
          <w:p w14:paraId="6AF266B1">
            <w:pPr>
              <w:pageBreakBefore w:val="0"/>
              <w:widowControl/>
              <w:overflowPunct/>
              <w:topLinePunct w:val="0"/>
              <w:bidi w:val="0"/>
              <w:spacing w:line="360" w:lineRule="auto"/>
              <w:ind w:firstLine="422"/>
              <w:jc w:val="center"/>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分值构成</w:t>
            </w:r>
          </w:p>
          <w:p w14:paraId="351E3700">
            <w:pPr>
              <w:pStyle w:val="177"/>
              <w:pageBreakBefore w:val="0"/>
              <w:overflowPunct/>
              <w:topLinePunct w:val="0"/>
              <w:bidi w:val="0"/>
              <w:spacing w:line="360" w:lineRule="auto"/>
              <w:ind w:left="105" w:leftChars="50" w:right="105" w:rightChar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kern w:val="0"/>
                <w:sz w:val="21"/>
                <w:szCs w:val="21"/>
                <w:highlight w:val="none"/>
              </w:rPr>
              <w:t>（总分100分）</w:t>
            </w:r>
          </w:p>
        </w:tc>
        <w:tc>
          <w:tcPr>
            <w:tcW w:w="3160" w:type="pct"/>
            <w:gridSpan w:val="2"/>
            <w:tcBorders>
              <w:tl2br w:val="nil"/>
              <w:tr2bl w:val="nil"/>
            </w:tcBorders>
            <w:vAlign w:val="center"/>
          </w:tcPr>
          <w:p w14:paraId="313E4645">
            <w:pPr>
              <w:keepNext w:val="0"/>
              <w:keepLines w:val="0"/>
              <w:pageBreakBefore w:val="0"/>
              <w:widowControl w:val="0"/>
              <w:shd w:val="clear" w:color="auto"/>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cs="宋体"/>
                <w:i w:val="0"/>
                <w:iCs w:val="0"/>
                <w:color w:val="auto"/>
                <w:sz w:val="21"/>
                <w:szCs w:val="21"/>
                <w:highlight w:val="none"/>
              </w:rPr>
            </w:pPr>
            <w:r>
              <w:rPr>
                <w:rFonts w:hint="eastAsia" w:ascii="宋体" w:hAnsi="宋体" w:cs="宋体"/>
                <w:i w:val="0"/>
                <w:iCs w:val="0"/>
                <w:color w:val="auto"/>
                <w:sz w:val="21"/>
                <w:szCs w:val="21"/>
                <w:highlight w:val="none"/>
              </w:rPr>
              <w:t>磋商报价：</w:t>
            </w:r>
            <w:r>
              <w:rPr>
                <w:rFonts w:hint="eastAsia" w:ascii="宋体" w:hAnsi="宋体" w:cs="宋体"/>
                <w:i w:val="0"/>
                <w:iCs w:val="0"/>
                <w:color w:val="auto"/>
                <w:sz w:val="21"/>
                <w:szCs w:val="21"/>
                <w:highlight w:val="none"/>
                <w:lang w:val="en-US" w:eastAsia="zh-CN"/>
              </w:rPr>
              <w:t>30</w:t>
            </w:r>
            <w:r>
              <w:rPr>
                <w:rFonts w:hint="eastAsia" w:ascii="宋体" w:hAnsi="宋体" w:cs="宋体"/>
                <w:i w:val="0"/>
                <w:iCs w:val="0"/>
                <w:color w:val="auto"/>
                <w:sz w:val="21"/>
                <w:szCs w:val="21"/>
                <w:highlight w:val="none"/>
              </w:rPr>
              <w:t>分</w:t>
            </w:r>
          </w:p>
          <w:p w14:paraId="75158527">
            <w:pPr>
              <w:keepNext w:val="0"/>
              <w:keepLines w:val="0"/>
              <w:pageBreakBefore w:val="0"/>
              <w:widowControl w:val="0"/>
              <w:shd w:val="clear" w:color="auto"/>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cs="宋体"/>
                <w:i w:val="0"/>
                <w:iCs w:val="0"/>
                <w:color w:val="auto"/>
                <w:sz w:val="21"/>
                <w:szCs w:val="21"/>
                <w:highlight w:val="none"/>
              </w:rPr>
            </w:pPr>
            <w:r>
              <w:rPr>
                <w:rFonts w:hint="eastAsia" w:ascii="宋体" w:hAnsi="宋体" w:cs="宋体"/>
                <w:i w:val="0"/>
                <w:iCs w:val="0"/>
                <w:color w:val="auto"/>
                <w:sz w:val="21"/>
                <w:szCs w:val="21"/>
                <w:highlight w:val="none"/>
              </w:rPr>
              <w:t>技术部分：</w:t>
            </w:r>
            <w:r>
              <w:rPr>
                <w:rFonts w:hint="eastAsia" w:ascii="宋体" w:hAnsi="宋体" w:cs="宋体"/>
                <w:i w:val="0"/>
                <w:iCs w:val="0"/>
                <w:color w:val="auto"/>
                <w:sz w:val="21"/>
                <w:szCs w:val="21"/>
                <w:highlight w:val="none"/>
                <w:lang w:val="en-US" w:eastAsia="zh-CN"/>
              </w:rPr>
              <w:t>50</w:t>
            </w:r>
            <w:r>
              <w:rPr>
                <w:rFonts w:hint="eastAsia" w:ascii="宋体" w:hAnsi="宋体" w:cs="宋体"/>
                <w:i w:val="0"/>
                <w:iCs w:val="0"/>
                <w:color w:val="auto"/>
                <w:sz w:val="21"/>
                <w:szCs w:val="21"/>
                <w:highlight w:val="none"/>
              </w:rPr>
              <w:t>分</w:t>
            </w:r>
          </w:p>
          <w:p w14:paraId="7CD42E92">
            <w:pPr>
              <w:keepNext w:val="0"/>
              <w:keepLines w:val="0"/>
              <w:pageBreakBefore w:val="0"/>
              <w:widowControl w:val="0"/>
              <w:shd w:val="clear" w:color="auto"/>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cs="宋体"/>
                <w:i w:val="0"/>
                <w:iCs w:val="0"/>
                <w:color w:val="auto"/>
                <w:sz w:val="21"/>
                <w:szCs w:val="21"/>
                <w:highlight w:val="none"/>
              </w:rPr>
            </w:pPr>
            <w:r>
              <w:rPr>
                <w:rFonts w:hint="eastAsia" w:ascii="宋体" w:hAnsi="宋体" w:cs="宋体"/>
                <w:i w:val="0"/>
                <w:iCs w:val="0"/>
                <w:color w:val="auto"/>
                <w:sz w:val="21"/>
                <w:szCs w:val="21"/>
                <w:highlight w:val="none"/>
              </w:rPr>
              <w:t>综合部分：</w:t>
            </w:r>
            <w:r>
              <w:rPr>
                <w:rFonts w:hint="eastAsia" w:ascii="宋体" w:hAnsi="宋体" w:cs="宋体"/>
                <w:i w:val="0"/>
                <w:iCs w:val="0"/>
                <w:color w:val="auto"/>
                <w:sz w:val="21"/>
                <w:szCs w:val="21"/>
                <w:highlight w:val="none"/>
                <w:lang w:val="en-US" w:eastAsia="zh-CN"/>
              </w:rPr>
              <w:t>20</w:t>
            </w:r>
            <w:r>
              <w:rPr>
                <w:rFonts w:hint="eastAsia" w:ascii="宋体" w:hAnsi="宋体" w:cs="宋体"/>
                <w:i w:val="0"/>
                <w:iCs w:val="0"/>
                <w:color w:val="auto"/>
                <w:sz w:val="21"/>
                <w:szCs w:val="21"/>
                <w:highlight w:val="none"/>
              </w:rPr>
              <w:t>分</w:t>
            </w:r>
          </w:p>
          <w:p w14:paraId="2654310E">
            <w:pPr>
              <w:keepNext w:val="0"/>
              <w:keepLines w:val="0"/>
              <w:pageBreakBefore w:val="0"/>
              <w:widowControl w:val="0"/>
              <w:shd w:val="clear" w:color="auto"/>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宋体" w:hAnsi="宋体" w:cs="宋体"/>
                <w:i w:val="0"/>
                <w:iCs w:val="0"/>
                <w:color w:val="auto"/>
                <w:sz w:val="21"/>
                <w:szCs w:val="21"/>
                <w:highlight w:val="none"/>
              </w:rPr>
              <w:t>注：根据项目情况进行调整</w:t>
            </w:r>
          </w:p>
        </w:tc>
      </w:tr>
      <w:tr w14:paraId="41E225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5" w:type="pct"/>
            <w:tcBorders>
              <w:tl2br w:val="nil"/>
              <w:tr2bl w:val="nil"/>
            </w:tcBorders>
            <w:vAlign w:val="center"/>
          </w:tcPr>
          <w:p w14:paraId="77E236B6">
            <w:pPr>
              <w:pStyle w:val="177"/>
              <w:pageBreakBefore w:val="0"/>
              <w:overflowPunct/>
              <w:topLinePunct w:val="0"/>
              <w:bidi w:val="0"/>
              <w:spacing w:line="360" w:lineRule="auto"/>
              <w:ind w:right="105" w:rightChars="5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673" w:type="pct"/>
            <w:tcBorders>
              <w:tl2br w:val="nil"/>
              <w:tr2bl w:val="nil"/>
            </w:tcBorders>
            <w:vAlign w:val="center"/>
          </w:tcPr>
          <w:p w14:paraId="44BC8B86">
            <w:pPr>
              <w:pStyle w:val="177"/>
              <w:pageBreakBefore w:val="0"/>
              <w:overflowPunct/>
              <w:topLinePunct w:val="0"/>
              <w:bidi w:val="0"/>
              <w:spacing w:line="360" w:lineRule="auto"/>
              <w:ind w:right="105" w:rightChars="5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评审项</w:t>
            </w:r>
          </w:p>
        </w:tc>
        <w:tc>
          <w:tcPr>
            <w:tcW w:w="770" w:type="pct"/>
            <w:tcBorders>
              <w:tl2br w:val="nil"/>
              <w:tr2bl w:val="nil"/>
            </w:tcBorders>
            <w:vAlign w:val="center"/>
          </w:tcPr>
          <w:p w14:paraId="192EA4D9">
            <w:pPr>
              <w:pStyle w:val="177"/>
              <w:pageBreakBefore w:val="0"/>
              <w:overflowPunct/>
              <w:topLinePunct w:val="0"/>
              <w:bidi w:val="0"/>
              <w:spacing w:line="360" w:lineRule="auto"/>
              <w:ind w:right="105" w:rightChars="5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评审项目</w:t>
            </w:r>
          </w:p>
        </w:tc>
        <w:tc>
          <w:tcPr>
            <w:tcW w:w="2708" w:type="pct"/>
            <w:tcBorders>
              <w:tl2br w:val="nil"/>
              <w:tr2bl w:val="nil"/>
            </w:tcBorders>
            <w:vAlign w:val="center"/>
          </w:tcPr>
          <w:p w14:paraId="58563E50">
            <w:pPr>
              <w:pStyle w:val="177"/>
              <w:pageBreakBefore w:val="0"/>
              <w:overflowPunct/>
              <w:topLinePunct w:val="0"/>
              <w:bidi w:val="0"/>
              <w:spacing w:line="360" w:lineRule="auto"/>
              <w:ind w:left="105" w:leftChars="50" w:right="105" w:rightChars="50" w:firstLine="42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评分标准</w:t>
            </w:r>
          </w:p>
        </w:tc>
        <w:tc>
          <w:tcPr>
            <w:tcW w:w="452" w:type="pct"/>
            <w:tcBorders>
              <w:tl2br w:val="nil"/>
              <w:tr2bl w:val="nil"/>
            </w:tcBorders>
            <w:vAlign w:val="center"/>
          </w:tcPr>
          <w:p w14:paraId="136FB252">
            <w:pPr>
              <w:pStyle w:val="177"/>
              <w:keepNext w:val="0"/>
              <w:keepLines w:val="0"/>
              <w:pageBreakBefore w:val="0"/>
              <w:suppressLineNumbers w:val="0"/>
              <w:kinsoku/>
              <w:wordWrap/>
              <w:overflowPunct/>
              <w:topLinePunct w:val="0"/>
              <w:bidi w:val="0"/>
              <w:spacing w:beforeAutospacing="0" w:afterAutospacing="0" w:line="240" w:lineRule="auto"/>
              <w:ind w:left="105" w:leftChars="50" w:right="105" w:rightChars="5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满分</w:t>
            </w:r>
          </w:p>
          <w:p w14:paraId="474EC6ED">
            <w:pPr>
              <w:pStyle w:val="177"/>
              <w:pageBreakBefore w:val="0"/>
              <w:overflowPunct/>
              <w:topLinePunct w:val="0"/>
              <w:bidi w:val="0"/>
              <w:spacing w:line="240" w:lineRule="auto"/>
              <w:ind w:right="105" w:rightChars="5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分值</w:t>
            </w:r>
          </w:p>
        </w:tc>
      </w:tr>
      <w:tr w14:paraId="5B0F74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5" w:type="pct"/>
            <w:tcBorders>
              <w:tl2br w:val="nil"/>
              <w:tr2bl w:val="nil"/>
            </w:tcBorders>
            <w:vAlign w:val="center"/>
          </w:tcPr>
          <w:p w14:paraId="48529A86">
            <w:pPr>
              <w:pStyle w:val="177"/>
              <w:pageBreakBefore w:val="0"/>
              <w:overflowPunct/>
              <w:topLinePunct w:val="0"/>
              <w:bidi w:val="0"/>
              <w:spacing w:line="360" w:lineRule="auto"/>
              <w:ind w:left="105" w:leftChars="50" w:right="105" w:rightChars="50" w:firstLine="42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673" w:type="pct"/>
            <w:tcBorders>
              <w:tl2br w:val="nil"/>
              <w:tr2bl w:val="nil"/>
            </w:tcBorders>
            <w:vAlign w:val="center"/>
          </w:tcPr>
          <w:p w14:paraId="09A845D7">
            <w:pPr>
              <w:pStyle w:val="177"/>
              <w:pageBreakBefore w:val="0"/>
              <w:overflowPunct/>
              <w:topLinePunct w:val="0"/>
              <w:bidi w:val="0"/>
              <w:spacing w:line="360" w:lineRule="auto"/>
              <w:ind w:left="105" w:leftChars="50" w:right="105" w:rightChar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报价部分（</w:t>
            </w:r>
            <w:r>
              <w:rPr>
                <w:rFonts w:hint="eastAsia" w:asciiTheme="minorEastAsia" w:hAnsiTheme="minorEastAsia" w:eastAsiaTheme="minorEastAsia" w:cstheme="minorEastAsia"/>
                <w:color w:val="auto"/>
                <w:sz w:val="21"/>
                <w:szCs w:val="21"/>
                <w:highlight w:val="none"/>
                <w:lang w:val="en-US" w:eastAsia="zh-CN"/>
              </w:rPr>
              <w:t>30</w:t>
            </w:r>
            <w:r>
              <w:rPr>
                <w:rFonts w:hint="eastAsia" w:asciiTheme="minorEastAsia" w:hAnsiTheme="minorEastAsia" w:eastAsiaTheme="minorEastAsia" w:cstheme="minorEastAsia"/>
                <w:color w:val="auto"/>
                <w:sz w:val="21"/>
                <w:szCs w:val="21"/>
                <w:highlight w:val="none"/>
              </w:rPr>
              <w:t>分）</w:t>
            </w:r>
          </w:p>
        </w:tc>
        <w:tc>
          <w:tcPr>
            <w:tcW w:w="770" w:type="pct"/>
            <w:tcBorders>
              <w:tl2br w:val="nil"/>
              <w:tr2bl w:val="nil"/>
            </w:tcBorders>
            <w:vAlign w:val="center"/>
          </w:tcPr>
          <w:p w14:paraId="0190BDDC">
            <w:pPr>
              <w:pStyle w:val="177"/>
              <w:pageBreakBefore w:val="0"/>
              <w:overflowPunct/>
              <w:topLinePunct w:val="0"/>
              <w:bidi w:val="0"/>
              <w:spacing w:line="360" w:lineRule="auto"/>
              <w:ind w:left="105" w:leftChars="50" w:right="105" w:rightChar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报价得分</w:t>
            </w:r>
          </w:p>
        </w:tc>
        <w:tc>
          <w:tcPr>
            <w:tcW w:w="2708" w:type="pct"/>
            <w:tcBorders>
              <w:tl2br w:val="nil"/>
              <w:tr2bl w:val="nil"/>
            </w:tcBorders>
            <w:vAlign w:val="center"/>
          </w:tcPr>
          <w:p w14:paraId="05F51431">
            <w:pPr>
              <w:pageBreakBefore w:val="0"/>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价格分采用低价优先法计算，即满足磋商文件要求且评审报价（评审报价为</w:t>
            </w:r>
            <w:r>
              <w:rPr>
                <w:rFonts w:hint="eastAsia" w:asciiTheme="minorEastAsia" w:hAnsiTheme="minorEastAsia" w:eastAsiaTheme="minorEastAsia" w:cstheme="minorEastAsia"/>
                <w:color w:val="auto"/>
                <w:kern w:val="0"/>
                <w:sz w:val="21"/>
                <w:szCs w:val="21"/>
                <w:highlight w:val="none"/>
                <w:lang w:val="zh-CN"/>
              </w:rPr>
              <w:t>最</w:t>
            </w:r>
            <w:r>
              <w:rPr>
                <w:rFonts w:hint="eastAsia" w:asciiTheme="minorEastAsia" w:hAnsiTheme="minorEastAsia" w:eastAsiaTheme="minorEastAsia" w:cstheme="minorEastAsia"/>
                <w:color w:val="auto"/>
                <w:kern w:val="0"/>
                <w:sz w:val="21"/>
                <w:szCs w:val="21"/>
                <w:highlight w:val="none"/>
              </w:rPr>
              <w:t>后</w:t>
            </w:r>
            <w:r>
              <w:rPr>
                <w:rFonts w:hint="eastAsia" w:asciiTheme="minorEastAsia" w:hAnsiTheme="minorEastAsia" w:eastAsiaTheme="minorEastAsia" w:cstheme="minorEastAsia"/>
                <w:color w:val="auto"/>
                <w:kern w:val="0"/>
                <w:sz w:val="21"/>
                <w:szCs w:val="21"/>
                <w:highlight w:val="none"/>
                <w:lang w:val="zh-CN"/>
              </w:rPr>
              <w:t>磋商报价执行政府采购政策报价折扣原则扣除后的价格</w:t>
            </w:r>
            <w:r>
              <w:rPr>
                <w:rFonts w:hint="eastAsia" w:asciiTheme="minorEastAsia" w:hAnsiTheme="minorEastAsia" w:eastAsiaTheme="minorEastAsia" w:cstheme="minorEastAsia"/>
                <w:color w:val="auto"/>
                <w:sz w:val="21"/>
                <w:szCs w:val="21"/>
                <w:highlight w:val="none"/>
              </w:rPr>
              <w:t>）最低的价格为磋商基准价，其价格分为满分。其他供应商的价格分统一按照下列公式计算：</w:t>
            </w:r>
          </w:p>
          <w:p w14:paraId="3BBF745A">
            <w:pPr>
              <w:pageBreakBefore w:val="0"/>
              <w:overflowPunct/>
              <w:topLinePunct w:val="0"/>
              <w:autoSpaceDE w:val="0"/>
              <w:autoSpaceDN w:val="0"/>
              <w:bidi w:val="0"/>
              <w:adjustRightInd w:val="0"/>
              <w:snapToGrid w:val="0"/>
              <w:spacing w:line="360" w:lineRule="auto"/>
              <w:ind w:firstLine="422" w:firstLineChars="200"/>
              <w:jc w:val="left"/>
              <w:rPr>
                <w:rFonts w:hint="default"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rPr>
              <w:t>磋商报价得分=（磋商基准价/最后磋商报价）×</w:t>
            </w:r>
            <w:r>
              <w:rPr>
                <w:rFonts w:hint="eastAsia" w:asciiTheme="minorEastAsia" w:hAnsiTheme="minorEastAsia" w:eastAsiaTheme="minorEastAsia" w:cstheme="minorEastAsia"/>
                <w:b/>
                <w:color w:val="auto"/>
                <w:sz w:val="21"/>
                <w:szCs w:val="21"/>
                <w:highlight w:val="none"/>
                <w:lang w:val="en-US" w:eastAsia="zh-CN"/>
              </w:rPr>
              <w:t>30</w:t>
            </w:r>
          </w:p>
          <w:p w14:paraId="64EBB699">
            <w:pPr>
              <w:pageBreakBefore w:val="0"/>
              <w:overflowPunct/>
              <w:topLinePunct w:val="0"/>
              <w:autoSpaceDE w:val="0"/>
              <w:autoSpaceDN w:val="0"/>
              <w:bidi w:val="0"/>
              <w:adjustRightInd w:val="0"/>
              <w:spacing w:line="360" w:lineRule="auto"/>
              <w:ind w:left="105" w:leftChars="50" w:right="105" w:rightChars="50"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备注：</w:t>
            </w:r>
            <w:r>
              <w:rPr>
                <w:rFonts w:hint="eastAsia" w:asciiTheme="minorEastAsia" w:hAnsiTheme="minorEastAsia" w:eastAsiaTheme="minorEastAsia" w:cstheme="minorEastAsia"/>
                <w:color w:val="auto"/>
                <w:kern w:val="0"/>
                <w:sz w:val="21"/>
                <w:szCs w:val="21"/>
                <w:highlight w:val="none"/>
                <w:lang w:val="zh-CN"/>
              </w:rPr>
              <w:t>本项目执行政府采购政策最</w:t>
            </w:r>
            <w:r>
              <w:rPr>
                <w:rFonts w:hint="eastAsia" w:asciiTheme="minorEastAsia" w:hAnsiTheme="minorEastAsia" w:eastAsiaTheme="minorEastAsia" w:cstheme="minorEastAsia"/>
                <w:color w:val="auto"/>
                <w:kern w:val="0"/>
                <w:sz w:val="21"/>
                <w:szCs w:val="21"/>
                <w:highlight w:val="none"/>
              </w:rPr>
              <w:t>后</w:t>
            </w:r>
            <w:r>
              <w:rPr>
                <w:rFonts w:hint="eastAsia" w:asciiTheme="minorEastAsia" w:hAnsiTheme="minorEastAsia" w:eastAsiaTheme="minorEastAsia" w:cstheme="minorEastAsia"/>
                <w:color w:val="auto"/>
                <w:kern w:val="0"/>
                <w:sz w:val="21"/>
                <w:szCs w:val="21"/>
                <w:highlight w:val="none"/>
                <w:lang w:val="zh-CN"/>
              </w:rPr>
              <w:t>磋商报价折扣原则。</w:t>
            </w:r>
            <w:r>
              <w:rPr>
                <w:rFonts w:hint="eastAsia" w:asciiTheme="minorEastAsia" w:hAnsiTheme="minorEastAsia" w:eastAsiaTheme="minorEastAsia" w:cstheme="minorEastAsia"/>
                <w:color w:val="auto"/>
                <w:sz w:val="21"/>
                <w:szCs w:val="21"/>
                <w:highlight w:val="none"/>
              </w:rPr>
              <w:t>根据《政府采购促进中小企业发展管理办法》(财库[2020]46号)的规定，对小型和微型企业的价格给予10%的扣除，用扣除后的价格参与评审及排序。</w:t>
            </w:r>
          </w:p>
        </w:tc>
        <w:tc>
          <w:tcPr>
            <w:tcW w:w="452" w:type="pct"/>
            <w:tcBorders>
              <w:tl2br w:val="nil"/>
              <w:tr2bl w:val="nil"/>
            </w:tcBorders>
            <w:vAlign w:val="center"/>
          </w:tcPr>
          <w:p w14:paraId="36B8FF77">
            <w:pPr>
              <w:pStyle w:val="93"/>
              <w:pageBreakBefore w:val="0"/>
              <w:overflowPunct/>
              <w:topLinePunct w:val="0"/>
              <w:bidi w:val="0"/>
              <w:spacing w:line="360" w:lineRule="auto"/>
              <w:ind w:left="0" w:leftChars="0" w:right="105" w:rightChars="50"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w:t>
            </w:r>
          </w:p>
        </w:tc>
      </w:tr>
      <w:tr w14:paraId="5686DC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5" w:type="pct"/>
            <w:vMerge w:val="restart"/>
            <w:tcBorders>
              <w:tl2br w:val="nil"/>
              <w:tr2bl w:val="nil"/>
            </w:tcBorders>
            <w:vAlign w:val="center"/>
          </w:tcPr>
          <w:p w14:paraId="55432418">
            <w:pPr>
              <w:pStyle w:val="177"/>
              <w:pageBreakBefore w:val="0"/>
              <w:overflowPunct/>
              <w:topLinePunct w:val="0"/>
              <w:bidi w:val="0"/>
              <w:spacing w:line="360" w:lineRule="auto"/>
              <w:ind w:left="0" w:leftChars="0" w:right="105" w:rightChars="50" w:firstLine="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673" w:type="pct"/>
            <w:vMerge w:val="restart"/>
            <w:tcBorders>
              <w:tl2br w:val="nil"/>
              <w:tr2bl w:val="nil"/>
            </w:tcBorders>
            <w:vAlign w:val="center"/>
          </w:tcPr>
          <w:p w14:paraId="3B8A45F4">
            <w:pPr>
              <w:pStyle w:val="177"/>
              <w:pageBreakBefore w:val="0"/>
              <w:overflowPunct/>
              <w:topLinePunct w:val="0"/>
              <w:bidi w:val="0"/>
              <w:spacing w:line="360" w:lineRule="auto"/>
              <w:ind w:left="105" w:leftChars="50" w:right="105" w:rightChar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技术部分（</w:t>
            </w:r>
            <w:r>
              <w:rPr>
                <w:rFonts w:hint="eastAsia" w:asciiTheme="minorEastAsia" w:hAnsiTheme="minorEastAsia" w:eastAsiaTheme="minorEastAsia" w:cstheme="minorEastAsia"/>
                <w:color w:val="auto"/>
                <w:sz w:val="21"/>
                <w:szCs w:val="21"/>
                <w:highlight w:val="none"/>
                <w:lang w:val="en-US" w:eastAsia="zh-CN"/>
              </w:rPr>
              <w:t>50</w:t>
            </w:r>
            <w:r>
              <w:rPr>
                <w:rFonts w:hint="eastAsia" w:asciiTheme="minorEastAsia" w:hAnsiTheme="minorEastAsia" w:eastAsiaTheme="minorEastAsia" w:cstheme="minorEastAsia"/>
                <w:color w:val="auto"/>
                <w:sz w:val="21"/>
                <w:szCs w:val="21"/>
                <w:highlight w:val="none"/>
              </w:rPr>
              <w:t>分）</w:t>
            </w:r>
          </w:p>
        </w:tc>
        <w:tc>
          <w:tcPr>
            <w:tcW w:w="770" w:type="pct"/>
            <w:tcBorders>
              <w:tl2br w:val="nil"/>
              <w:tr2bl w:val="nil"/>
            </w:tcBorders>
            <w:vAlign w:val="center"/>
          </w:tcPr>
          <w:p w14:paraId="0997B27E">
            <w:pPr>
              <w:pageBreakBefore w:val="0"/>
              <w:overflowPunct/>
              <w:topLinePunct w:val="0"/>
              <w:bidi w:val="0"/>
              <w:adjustRightInd w:val="0"/>
              <w:snapToGrid w:val="0"/>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技术指标</w:t>
            </w:r>
          </w:p>
          <w:p w14:paraId="68E0EB79">
            <w:pPr>
              <w:pageBreakBefore w:val="0"/>
              <w:overflowPunct/>
              <w:topLinePunct w:val="0"/>
              <w:bidi w:val="0"/>
              <w:adjustRightInd w:val="0"/>
              <w:snapToGrid w:val="0"/>
              <w:spacing w:line="360" w:lineRule="auto"/>
              <w:ind w:left="0" w:leftChars="0" w:firstLine="0" w:firstLineChars="0"/>
              <w:jc w:val="center"/>
              <w:rPr>
                <w:rFonts w:hint="default" w:asciiTheme="minorEastAsia" w:hAnsiTheme="minorEastAsia" w:eastAsiaTheme="minorEastAsia" w:cstheme="minorEastAsia"/>
                <w:color w:val="auto"/>
                <w:kern w:val="0"/>
                <w:sz w:val="21"/>
                <w:szCs w:val="21"/>
                <w:highlight w:val="none"/>
                <w:lang w:val="en-US" w:eastAsia="zh-CN" w:bidi="zh-CN"/>
              </w:rPr>
            </w:pPr>
            <w:r>
              <w:rPr>
                <w:rFonts w:hint="eastAsia" w:asciiTheme="minorEastAsia" w:hAnsiTheme="minorEastAsia" w:eastAsiaTheme="minorEastAsia" w:cstheme="minorEastAsia"/>
                <w:color w:val="auto"/>
                <w:kern w:val="0"/>
                <w:sz w:val="21"/>
                <w:szCs w:val="21"/>
                <w:highlight w:val="none"/>
              </w:rPr>
              <w:t>响应情况</w:t>
            </w:r>
          </w:p>
        </w:tc>
        <w:tc>
          <w:tcPr>
            <w:tcW w:w="2708" w:type="pct"/>
            <w:tcBorders>
              <w:tl2br w:val="nil"/>
              <w:tr2bl w:val="nil"/>
            </w:tcBorders>
            <w:vAlign w:val="center"/>
          </w:tcPr>
          <w:p w14:paraId="44481C86">
            <w:pPr>
              <w:keepNext w:val="0"/>
              <w:keepLines w:val="0"/>
              <w:pageBreakBefore w:val="0"/>
              <w:widowControl w:val="0"/>
              <w:shd w:val="clear" w:color="auto"/>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color w:val="auto"/>
                <w:sz w:val="21"/>
                <w:szCs w:val="21"/>
                <w:highlight w:val="none"/>
                <w:lang w:val="zh-CN" w:eastAsia="zh-CN" w:bidi="zh-CN"/>
              </w:rPr>
            </w:pPr>
            <w:r>
              <w:rPr>
                <w:rFonts w:hint="eastAsia" w:asciiTheme="minorEastAsia" w:hAnsiTheme="minorEastAsia" w:eastAsiaTheme="minorEastAsia" w:cstheme="minorEastAsia"/>
                <w:b w:val="0"/>
                <w:bCs/>
                <w:color w:val="auto"/>
                <w:sz w:val="21"/>
                <w:szCs w:val="21"/>
                <w:highlight w:val="none"/>
                <w:lang w:val="zh-CN" w:eastAsia="zh-CN" w:bidi="zh-CN"/>
              </w:rPr>
              <w:t>1.无偏离：指</w:t>
            </w:r>
            <w:r>
              <w:rPr>
                <w:rFonts w:hint="eastAsia" w:asciiTheme="minorEastAsia" w:hAnsiTheme="minorEastAsia" w:eastAsiaTheme="minorEastAsia" w:cstheme="minorEastAsia"/>
                <w:b w:val="0"/>
                <w:bCs/>
                <w:color w:val="auto"/>
                <w:sz w:val="21"/>
                <w:szCs w:val="21"/>
                <w:highlight w:val="none"/>
                <w:lang w:val="en-US" w:eastAsia="zh-CN" w:bidi="zh-CN"/>
              </w:rPr>
              <w:t>响应文件</w:t>
            </w:r>
            <w:r>
              <w:rPr>
                <w:rFonts w:hint="eastAsia" w:asciiTheme="minorEastAsia" w:hAnsiTheme="minorEastAsia" w:eastAsiaTheme="minorEastAsia" w:cstheme="minorEastAsia"/>
                <w:b w:val="0"/>
                <w:bCs/>
                <w:color w:val="auto"/>
                <w:sz w:val="21"/>
                <w:szCs w:val="21"/>
                <w:highlight w:val="none"/>
                <w:lang w:val="zh-CN" w:eastAsia="zh-CN" w:bidi="zh-CN"/>
              </w:rPr>
              <w:t>（含证明文件）设备参数等响应</w:t>
            </w:r>
            <w:r>
              <w:rPr>
                <w:rFonts w:hint="eastAsia" w:asciiTheme="minorEastAsia" w:hAnsiTheme="minorEastAsia" w:eastAsiaTheme="minorEastAsia" w:cstheme="minorEastAsia"/>
                <w:b w:val="0"/>
                <w:bCs/>
                <w:color w:val="auto"/>
                <w:sz w:val="21"/>
                <w:szCs w:val="21"/>
                <w:highlight w:val="none"/>
                <w:lang w:val="en-US" w:eastAsia="zh-CN" w:bidi="zh-CN"/>
              </w:rPr>
              <w:t>磋商</w:t>
            </w:r>
            <w:r>
              <w:rPr>
                <w:rFonts w:hint="eastAsia" w:asciiTheme="minorEastAsia" w:hAnsiTheme="minorEastAsia" w:eastAsiaTheme="minorEastAsia" w:cstheme="minorEastAsia"/>
                <w:b w:val="0"/>
                <w:bCs/>
                <w:color w:val="auto"/>
                <w:sz w:val="21"/>
                <w:szCs w:val="21"/>
                <w:highlight w:val="none"/>
                <w:lang w:val="zh-CN" w:eastAsia="zh-CN" w:bidi="zh-CN"/>
              </w:rPr>
              <w:t>文件要求，未出现负偏离，评标委员会按</w:t>
            </w:r>
            <w:r>
              <w:rPr>
                <w:rFonts w:hint="eastAsia" w:asciiTheme="minorEastAsia" w:hAnsiTheme="minorEastAsia" w:eastAsiaTheme="minorEastAsia" w:cstheme="minorEastAsia"/>
                <w:b w:val="0"/>
                <w:bCs/>
                <w:color w:val="auto"/>
                <w:sz w:val="21"/>
                <w:szCs w:val="21"/>
                <w:highlight w:val="none"/>
                <w:lang w:val="en-US" w:eastAsia="zh-CN" w:bidi="zh-CN"/>
              </w:rPr>
              <w:t>44</w:t>
            </w:r>
            <w:r>
              <w:rPr>
                <w:rFonts w:hint="eastAsia" w:asciiTheme="minorEastAsia" w:hAnsiTheme="minorEastAsia" w:eastAsiaTheme="minorEastAsia" w:cstheme="minorEastAsia"/>
                <w:b w:val="0"/>
                <w:bCs/>
                <w:color w:val="auto"/>
                <w:sz w:val="21"/>
                <w:szCs w:val="21"/>
                <w:highlight w:val="none"/>
                <w:lang w:val="zh-CN" w:eastAsia="zh-CN" w:bidi="zh-CN"/>
              </w:rPr>
              <w:t>分给予计入。</w:t>
            </w:r>
          </w:p>
          <w:p w14:paraId="43469B6F">
            <w:pPr>
              <w:keepNext w:val="0"/>
              <w:keepLines w:val="0"/>
              <w:pageBreakBefore w:val="0"/>
              <w:widowControl w:val="0"/>
              <w:shd w:val="clear" w:color="auto"/>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color w:val="auto"/>
                <w:sz w:val="21"/>
                <w:szCs w:val="21"/>
                <w:highlight w:val="none"/>
                <w:lang w:val="zh-CN" w:eastAsia="zh-CN" w:bidi="zh-CN"/>
              </w:rPr>
            </w:pPr>
            <w:r>
              <w:rPr>
                <w:rFonts w:hint="eastAsia" w:asciiTheme="minorEastAsia" w:hAnsiTheme="minorEastAsia" w:eastAsiaTheme="minorEastAsia" w:cstheme="minorEastAsia"/>
                <w:b w:val="0"/>
                <w:bCs/>
                <w:color w:val="auto"/>
                <w:sz w:val="21"/>
                <w:szCs w:val="21"/>
                <w:highlight w:val="none"/>
                <w:lang w:val="zh-CN" w:eastAsia="zh-CN" w:bidi="zh-CN"/>
              </w:rPr>
              <w:t>2.有偏离：指</w:t>
            </w:r>
            <w:r>
              <w:rPr>
                <w:rFonts w:hint="eastAsia" w:asciiTheme="minorEastAsia" w:hAnsiTheme="minorEastAsia" w:eastAsiaTheme="minorEastAsia" w:cstheme="minorEastAsia"/>
                <w:b w:val="0"/>
                <w:bCs/>
                <w:color w:val="auto"/>
                <w:sz w:val="21"/>
                <w:szCs w:val="21"/>
                <w:highlight w:val="none"/>
                <w:lang w:val="en-US" w:eastAsia="zh-CN" w:bidi="zh-CN"/>
              </w:rPr>
              <w:t>响应文件</w:t>
            </w:r>
            <w:r>
              <w:rPr>
                <w:rFonts w:hint="eastAsia" w:asciiTheme="minorEastAsia" w:hAnsiTheme="minorEastAsia" w:eastAsiaTheme="minorEastAsia" w:cstheme="minorEastAsia"/>
                <w:b w:val="0"/>
                <w:bCs/>
                <w:color w:val="auto"/>
                <w:sz w:val="21"/>
                <w:szCs w:val="21"/>
                <w:highlight w:val="none"/>
                <w:lang w:val="zh-CN" w:eastAsia="zh-CN" w:bidi="zh-CN"/>
              </w:rPr>
              <w:t>（含证明文件）设备参数等不响应</w:t>
            </w:r>
            <w:r>
              <w:rPr>
                <w:rFonts w:hint="eastAsia" w:asciiTheme="minorEastAsia" w:hAnsiTheme="minorEastAsia" w:eastAsiaTheme="minorEastAsia" w:cstheme="minorEastAsia"/>
                <w:b w:val="0"/>
                <w:bCs/>
                <w:color w:val="auto"/>
                <w:sz w:val="21"/>
                <w:szCs w:val="21"/>
                <w:highlight w:val="none"/>
                <w:lang w:val="en-US" w:eastAsia="zh-CN" w:bidi="zh-CN"/>
              </w:rPr>
              <w:t>磋商</w:t>
            </w:r>
            <w:r>
              <w:rPr>
                <w:rFonts w:hint="eastAsia" w:asciiTheme="minorEastAsia" w:hAnsiTheme="minorEastAsia" w:eastAsiaTheme="minorEastAsia" w:cstheme="minorEastAsia"/>
                <w:b w:val="0"/>
                <w:bCs/>
                <w:color w:val="auto"/>
                <w:sz w:val="21"/>
                <w:szCs w:val="21"/>
                <w:highlight w:val="none"/>
                <w:lang w:val="zh-CN" w:eastAsia="zh-CN" w:bidi="zh-CN"/>
              </w:rPr>
              <w:t>文件要求，所出现的负偏离，评标委员会按下述原则予以评审。</w:t>
            </w:r>
          </w:p>
          <w:p w14:paraId="1A6BB0E6">
            <w:pPr>
              <w:keepNext w:val="0"/>
              <w:keepLines w:val="0"/>
              <w:pageBreakBefore w:val="0"/>
              <w:widowControl w:val="0"/>
              <w:shd w:val="clear" w:color="auto"/>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color w:val="auto"/>
                <w:sz w:val="21"/>
                <w:szCs w:val="21"/>
                <w:highlight w:val="none"/>
                <w:lang w:val="zh-CN" w:eastAsia="zh-CN" w:bidi="zh-CN"/>
              </w:rPr>
            </w:pPr>
            <w:r>
              <w:rPr>
                <w:rFonts w:hint="eastAsia" w:asciiTheme="minorEastAsia" w:hAnsiTheme="minorEastAsia" w:eastAsiaTheme="minorEastAsia" w:cstheme="minorEastAsia"/>
                <w:b w:val="0"/>
                <w:bCs/>
                <w:color w:val="auto"/>
                <w:sz w:val="21"/>
                <w:szCs w:val="21"/>
                <w:highlight w:val="none"/>
                <w:lang w:val="en-US" w:eastAsia="zh-CN" w:bidi="zh-CN"/>
              </w:rPr>
              <w:t>3.</w:t>
            </w:r>
            <w:r>
              <w:rPr>
                <w:rFonts w:hint="eastAsia" w:asciiTheme="minorEastAsia" w:hAnsiTheme="minorEastAsia" w:eastAsiaTheme="minorEastAsia" w:cstheme="minorEastAsia"/>
                <w:b w:val="0"/>
                <w:bCs/>
                <w:color w:val="auto"/>
                <w:sz w:val="21"/>
                <w:szCs w:val="21"/>
                <w:highlight w:val="none"/>
                <w:lang w:val="zh-CN" w:eastAsia="zh-CN" w:bidi="zh-CN"/>
              </w:rPr>
              <w:t>带★号项的负偏离：带★号的技术参数或功能完全满足的得</w:t>
            </w:r>
            <w:r>
              <w:rPr>
                <w:rFonts w:hint="eastAsia" w:asciiTheme="minorEastAsia" w:hAnsiTheme="minorEastAsia" w:eastAsiaTheme="minorEastAsia" w:cstheme="minorEastAsia"/>
                <w:b w:val="0"/>
                <w:bCs/>
                <w:color w:val="auto"/>
                <w:sz w:val="21"/>
                <w:szCs w:val="21"/>
                <w:highlight w:val="none"/>
                <w:lang w:val="en-US" w:eastAsia="zh-CN" w:bidi="zh-CN"/>
              </w:rPr>
              <w:t>10</w:t>
            </w:r>
            <w:r>
              <w:rPr>
                <w:rFonts w:hint="eastAsia" w:asciiTheme="minorEastAsia" w:hAnsiTheme="minorEastAsia" w:eastAsiaTheme="minorEastAsia" w:cstheme="minorEastAsia"/>
                <w:b w:val="0"/>
                <w:bCs/>
                <w:color w:val="auto"/>
                <w:sz w:val="21"/>
                <w:szCs w:val="21"/>
                <w:highlight w:val="none"/>
                <w:lang w:val="zh-CN" w:eastAsia="zh-CN" w:bidi="zh-CN"/>
              </w:rPr>
              <w:t>分，每有一项负偏离的扣</w:t>
            </w:r>
            <w:r>
              <w:rPr>
                <w:rFonts w:hint="eastAsia" w:asciiTheme="minorEastAsia" w:hAnsiTheme="minorEastAsia" w:eastAsiaTheme="minorEastAsia" w:cstheme="minorEastAsia"/>
                <w:b w:val="0"/>
                <w:bCs/>
                <w:color w:val="auto"/>
                <w:sz w:val="21"/>
                <w:szCs w:val="21"/>
                <w:highlight w:val="none"/>
                <w:lang w:val="en-US" w:eastAsia="zh-CN" w:bidi="zh-CN"/>
              </w:rPr>
              <w:t>5</w:t>
            </w:r>
            <w:r>
              <w:rPr>
                <w:rFonts w:hint="eastAsia" w:asciiTheme="minorEastAsia" w:hAnsiTheme="minorEastAsia" w:eastAsiaTheme="minorEastAsia" w:cstheme="minorEastAsia"/>
                <w:b w:val="0"/>
                <w:bCs/>
                <w:color w:val="auto"/>
                <w:sz w:val="21"/>
                <w:szCs w:val="21"/>
                <w:highlight w:val="none"/>
                <w:lang w:val="zh-CN" w:eastAsia="zh-CN" w:bidi="zh-CN"/>
              </w:rPr>
              <w:t>分；</w:t>
            </w:r>
          </w:p>
          <w:p w14:paraId="57103DCC">
            <w:pPr>
              <w:keepNext w:val="0"/>
              <w:keepLines w:val="0"/>
              <w:pageBreakBefore w:val="0"/>
              <w:widowControl w:val="0"/>
              <w:shd w:val="clear" w:color="auto"/>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color w:val="auto"/>
                <w:sz w:val="21"/>
                <w:szCs w:val="21"/>
                <w:highlight w:val="none"/>
                <w:lang w:val="zh-CN" w:eastAsia="zh-CN" w:bidi="zh-CN"/>
              </w:rPr>
            </w:pPr>
            <w:r>
              <w:rPr>
                <w:rFonts w:hint="eastAsia" w:asciiTheme="minorEastAsia" w:hAnsiTheme="minorEastAsia" w:eastAsiaTheme="minorEastAsia" w:cstheme="minorEastAsia"/>
                <w:b w:val="0"/>
                <w:bCs/>
                <w:color w:val="auto"/>
                <w:sz w:val="21"/>
                <w:szCs w:val="21"/>
                <w:highlight w:val="none"/>
                <w:lang w:val="en-US" w:eastAsia="zh-CN" w:bidi="zh-CN"/>
              </w:rPr>
              <w:t>4.</w:t>
            </w:r>
            <w:r>
              <w:rPr>
                <w:rFonts w:hint="eastAsia" w:asciiTheme="minorEastAsia" w:hAnsiTheme="minorEastAsia" w:eastAsiaTheme="minorEastAsia" w:cstheme="minorEastAsia"/>
                <w:b w:val="0"/>
                <w:bCs/>
                <w:color w:val="auto"/>
                <w:sz w:val="21"/>
                <w:szCs w:val="21"/>
                <w:highlight w:val="none"/>
                <w:lang w:val="zh-CN" w:eastAsia="zh-CN" w:bidi="zh-CN"/>
              </w:rPr>
              <w:t>非带★号的负偏离：非带★号的技术参数或功能完全满足的得</w:t>
            </w:r>
            <w:r>
              <w:rPr>
                <w:rFonts w:hint="eastAsia" w:asciiTheme="minorEastAsia" w:hAnsiTheme="minorEastAsia" w:eastAsiaTheme="minorEastAsia" w:cstheme="minorEastAsia"/>
                <w:b w:val="0"/>
                <w:bCs/>
                <w:color w:val="auto"/>
                <w:sz w:val="21"/>
                <w:szCs w:val="21"/>
                <w:highlight w:val="none"/>
                <w:lang w:val="en-US" w:eastAsia="zh-CN" w:bidi="zh-CN"/>
              </w:rPr>
              <w:t>34</w:t>
            </w:r>
            <w:r>
              <w:rPr>
                <w:rFonts w:hint="eastAsia" w:asciiTheme="minorEastAsia" w:hAnsiTheme="minorEastAsia" w:eastAsiaTheme="minorEastAsia" w:cstheme="minorEastAsia"/>
                <w:b w:val="0"/>
                <w:bCs/>
                <w:color w:val="auto"/>
                <w:sz w:val="21"/>
                <w:szCs w:val="21"/>
                <w:highlight w:val="none"/>
                <w:lang w:val="zh-CN" w:eastAsia="zh-CN" w:bidi="zh-CN"/>
              </w:rPr>
              <w:t>分，每有一项负偏离的扣</w:t>
            </w:r>
            <w:r>
              <w:rPr>
                <w:rFonts w:hint="eastAsia" w:asciiTheme="minorEastAsia" w:hAnsiTheme="minorEastAsia" w:eastAsiaTheme="minorEastAsia" w:cstheme="minorEastAsia"/>
                <w:b w:val="0"/>
                <w:bCs/>
                <w:color w:val="auto"/>
                <w:sz w:val="21"/>
                <w:szCs w:val="21"/>
                <w:highlight w:val="none"/>
                <w:lang w:val="en-US" w:eastAsia="zh-CN" w:bidi="zh-CN"/>
              </w:rPr>
              <w:t>2</w:t>
            </w:r>
            <w:r>
              <w:rPr>
                <w:rFonts w:hint="eastAsia" w:asciiTheme="minorEastAsia" w:hAnsiTheme="minorEastAsia" w:eastAsiaTheme="minorEastAsia" w:cstheme="minorEastAsia"/>
                <w:b w:val="0"/>
                <w:bCs/>
                <w:color w:val="auto"/>
                <w:sz w:val="21"/>
                <w:szCs w:val="21"/>
                <w:highlight w:val="none"/>
                <w:lang w:val="zh-CN" w:eastAsia="zh-CN" w:bidi="zh-CN"/>
              </w:rPr>
              <w:t>分；</w:t>
            </w:r>
          </w:p>
          <w:p w14:paraId="7D6E8A4B">
            <w:pPr>
              <w:keepNext w:val="0"/>
              <w:keepLines w:val="0"/>
              <w:pageBreakBefore w:val="0"/>
              <w:widowControl w:val="0"/>
              <w:shd w:val="clear" w:color="auto"/>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color w:val="auto"/>
                <w:sz w:val="21"/>
                <w:szCs w:val="21"/>
                <w:highlight w:val="none"/>
                <w:lang w:val="zh-CN" w:eastAsia="zh-CN" w:bidi="zh-CN"/>
              </w:rPr>
            </w:pPr>
            <w:r>
              <w:rPr>
                <w:rFonts w:hint="eastAsia" w:asciiTheme="minorEastAsia" w:hAnsiTheme="minorEastAsia" w:eastAsiaTheme="minorEastAsia" w:cstheme="minorEastAsia"/>
                <w:b/>
                <w:bCs w:val="0"/>
                <w:color w:val="auto"/>
                <w:sz w:val="21"/>
                <w:szCs w:val="21"/>
                <w:highlight w:val="none"/>
                <w:lang w:val="zh-CN" w:eastAsia="zh-CN" w:bidi="zh-CN"/>
              </w:rPr>
              <w:t>注：标注★的技术参数要求需提供加盖生产厂家公章的产品彩页或者技术参数证明函，否则视为未响应。</w:t>
            </w:r>
          </w:p>
        </w:tc>
        <w:tc>
          <w:tcPr>
            <w:tcW w:w="452" w:type="pct"/>
            <w:tcBorders>
              <w:tl2br w:val="nil"/>
              <w:tr2bl w:val="nil"/>
            </w:tcBorders>
            <w:vAlign w:val="center"/>
          </w:tcPr>
          <w:p w14:paraId="0D248CB5">
            <w:pPr>
              <w:pStyle w:val="177"/>
              <w:pageBreakBefore w:val="0"/>
              <w:overflowPunct/>
              <w:topLinePunct w:val="0"/>
              <w:bidi w:val="0"/>
              <w:spacing w:line="360" w:lineRule="auto"/>
              <w:ind w:left="105" w:leftChars="50" w:right="105" w:rightChars="50"/>
              <w:jc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2"/>
                <w:sz w:val="21"/>
                <w:szCs w:val="21"/>
                <w:highlight w:val="none"/>
                <w:lang w:val="en-US" w:eastAsia="zh-CN" w:bidi="ar-SA"/>
              </w:rPr>
              <w:t>44</w:t>
            </w:r>
          </w:p>
        </w:tc>
      </w:tr>
      <w:tr w14:paraId="05A460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5" w:type="pct"/>
            <w:vMerge w:val="continue"/>
            <w:tcBorders>
              <w:tl2br w:val="nil"/>
              <w:tr2bl w:val="nil"/>
            </w:tcBorders>
            <w:vAlign w:val="center"/>
          </w:tcPr>
          <w:p w14:paraId="1C2DECB8">
            <w:pPr>
              <w:pStyle w:val="177"/>
              <w:pageBreakBefore w:val="0"/>
              <w:overflowPunct/>
              <w:topLinePunct w:val="0"/>
              <w:bidi w:val="0"/>
              <w:spacing w:line="360" w:lineRule="auto"/>
              <w:ind w:left="105" w:leftChars="50" w:right="105" w:rightChars="50" w:firstLine="422"/>
              <w:jc w:val="center"/>
              <w:rPr>
                <w:rFonts w:hint="eastAsia" w:asciiTheme="minorEastAsia" w:hAnsiTheme="minorEastAsia" w:eastAsiaTheme="minorEastAsia" w:cstheme="minorEastAsia"/>
                <w:color w:val="auto"/>
                <w:sz w:val="21"/>
                <w:szCs w:val="21"/>
                <w:highlight w:val="none"/>
              </w:rPr>
            </w:pPr>
          </w:p>
        </w:tc>
        <w:tc>
          <w:tcPr>
            <w:tcW w:w="673" w:type="pct"/>
            <w:vMerge w:val="continue"/>
            <w:tcBorders>
              <w:tl2br w:val="nil"/>
              <w:tr2bl w:val="nil"/>
            </w:tcBorders>
            <w:shd w:val="clear" w:color="auto" w:fill="auto"/>
            <w:vAlign w:val="center"/>
          </w:tcPr>
          <w:p w14:paraId="34231F16">
            <w:pPr>
              <w:spacing w:line="360" w:lineRule="auto"/>
              <w:jc w:val="center"/>
              <w:rPr>
                <w:rFonts w:hint="eastAsia" w:ascii="宋体" w:hAnsi="宋体" w:eastAsia="宋体" w:cs="宋体"/>
                <w:color w:val="auto"/>
                <w:kern w:val="2"/>
                <w:sz w:val="24"/>
                <w:szCs w:val="24"/>
                <w:highlight w:val="none"/>
                <w:lang w:val="en-US" w:eastAsia="zh-CN" w:bidi="ar-SA"/>
              </w:rPr>
            </w:pPr>
          </w:p>
        </w:tc>
        <w:tc>
          <w:tcPr>
            <w:tcW w:w="770" w:type="pct"/>
            <w:tcBorders>
              <w:tl2br w:val="nil"/>
              <w:tr2bl w:val="nil"/>
            </w:tcBorders>
            <w:shd w:val="clear" w:color="auto" w:fill="auto"/>
            <w:vAlign w:val="center"/>
          </w:tcPr>
          <w:p w14:paraId="1EA843D8">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设备选型、供货运输、安装调试方案</w:t>
            </w:r>
          </w:p>
        </w:tc>
        <w:tc>
          <w:tcPr>
            <w:tcW w:w="2708" w:type="pct"/>
            <w:tcBorders>
              <w:tl2br w:val="nil"/>
              <w:tr2bl w:val="nil"/>
            </w:tcBorders>
            <w:shd w:val="clear" w:color="auto" w:fill="auto"/>
            <w:vAlign w:val="center"/>
          </w:tcPr>
          <w:p w14:paraId="3D9BB88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投标人（供应商）设备选型、供货运输、安装调试方案包括：设备选型供应商既要考虑现有设备充分使用率还要兼顾未来3-5年的拓展空间（可行性和适应性、实用性和经济性、先进性和成熟性、可靠性和稳定性、兼容性和易维护性等）；完成设备运输时间、交货时间、完成设备的安装调试时间、完成系统（设备）的联调时间、完成系统（设备）的初验时间、完成系统（设备）试运行。安装调试集成方案包括：制定详细安装调试集成计划应包括的内容、安装现场环境调查、现场安装调试、到货验收、系统（设备）联调、保证措施、加强对节假日、恶劣天气的提前准备、实施过程的监控，遵循标准和规范；评标委员会根据方案内容进行综合评分：</w:t>
            </w:r>
          </w:p>
          <w:p w14:paraId="663369A6">
            <w:pPr>
              <w:numPr>
                <w:ilvl w:val="0"/>
                <w:numId w:val="1"/>
              </w:num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设备选型、供货运输、安装调试方案：编制方案中的工作方法、工作流程编制详细、科学的组织方案能够有效结合适用，能够完全体现上述内容，且规范合理与本项目合同履行息息相关，对方案分步骤作出论证展开分析或列明可行的具体解决方案，有详尽的说明文件，包括技术手段的具体实现方式，不是笼统的表达，能够完全体现上述内容，完全响应并满足或高于招标文件</w:t>
            </w:r>
            <w:r>
              <w:rPr>
                <w:rFonts w:hint="eastAsia" w:ascii="宋体" w:hAnsi="宋体" w:cs="宋体"/>
                <w:color w:val="auto"/>
                <w:highlight w:val="none"/>
                <w:lang w:val="en-US" w:eastAsia="zh-CN"/>
              </w:rPr>
              <w:t>6</w:t>
            </w:r>
            <w:r>
              <w:rPr>
                <w:rFonts w:hint="eastAsia" w:ascii="宋体" w:hAnsi="宋体" w:eastAsia="宋体" w:cs="宋体"/>
                <w:color w:val="auto"/>
                <w:highlight w:val="none"/>
              </w:rPr>
              <w:t>分；</w:t>
            </w:r>
          </w:p>
          <w:p w14:paraId="02DE200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设备选型、供货运输、安装调试方案：编制方案中的工作方法、虽然准确把握方案中的重、难点，分析各类情况可能发生的不可预见性，并尽可能列明多种详细预案，但并未展开分析或列明可行的具体解决方案，相对本次采购项目采购需求及合同履行，有少部分内容需要进一步完善甚至重新考虑得</w:t>
            </w:r>
            <w:r>
              <w:rPr>
                <w:rFonts w:hint="eastAsia" w:ascii="宋体" w:hAnsi="宋体" w:cs="宋体"/>
                <w:color w:val="auto"/>
                <w:highlight w:val="none"/>
                <w:lang w:val="en-US" w:eastAsia="zh-CN"/>
              </w:rPr>
              <w:t>4</w:t>
            </w:r>
            <w:r>
              <w:rPr>
                <w:rFonts w:hint="eastAsia" w:ascii="宋体" w:hAnsi="宋体" w:eastAsia="宋体" w:cs="宋体"/>
                <w:color w:val="auto"/>
                <w:highlight w:val="none"/>
              </w:rPr>
              <w:t xml:space="preserve">分； </w:t>
            </w:r>
          </w:p>
          <w:p w14:paraId="3B09A18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设备选型、供货运输、安装调试方案：虽然针对不同的需求，能提供较为可行的解决方案，但方案部分资料、数据等响应方案的支撑材料提供过于简单，缺少上述部分内容或内容不合理或者与本项目合同履行不相关，有多部分内容需要进一步完善甚至重新考虑得</w:t>
            </w:r>
            <w:r>
              <w:rPr>
                <w:rFonts w:hint="eastAsia" w:ascii="宋体" w:hAnsi="宋体" w:cs="宋体"/>
                <w:color w:val="auto"/>
                <w:highlight w:val="none"/>
                <w:lang w:val="en-US" w:eastAsia="zh-CN"/>
              </w:rPr>
              <w:t>2</w:t>
            </w:r>
            <w:r>
              <w:rPr>
                <w:rFonts w:hint="eastAsia" w:ascii="宋体" w:hAnsi="宋体" w:eastAsia="宋体" w:cs="宋体"/>
                <w:color w:val="auto"/>
                <w:highlight w:val="none"/>
              </w:rPr>
              <w:t xml:space="preserve">分； </w:t>
            </w:r>
          </w:p>
          <w:p w14:paraId="40543E86">
            <w:pPr>
              <w:spacing w:line="360" w:lineRule="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highlight w:val="none"/>
              </w:rPr>
              <w:t>4.未提供的得0分；</w:t>
            </w:r>
          </w:p>
        </w:tc>
        <w:tc>
          <w:tcPr>
            <w:tcW w:w="452" w:type="pct"/>
            <w:tcBorders>
              <w:tl2br w:val="nil"/>
              <w:tr2bl w:val="nil"/>
            </w:tcBorders>
            <w:vAlign w:val="center"/>
          </w:tcPr>
          <w:p w14:paraId="42A5C2FA">
            <w:pPr>
              <w:pStyle w:val="177"/>
              <w:pageBreakBefore w:val="0"/>
              <w:overflowPunct/>
              <w:topLinePunct w:val="0"/>
              <w:bidi w:val="0"/>
              <w:spacing w:line="360" w:lineRule="auto"/>
              <w:ind w:left="105" w:leftChars="50" w:right="105" w:rightChars="50"/>
              <w:jc w:val="center"/>
              <w:rPr>
                <w:rFonts w:hint="default" w:asciiTheme="minorEastAsia" w:hAnsiTheme="minorEastAsia" w:eastAsiaTheme="minorEastAsia" w:cstheme="minorEastAsia"/>
                <w:i w:val="0"/>
                <w:iCs w:val="0"/>
                <w:color w:val="auto"/>
                <w:kern w:val="2"/>
                <w:sz w:val="21"/>
                <w:szCs w:val="21"/>
                <w:highlight w:val="none"/>
                <w:lang w:val="en-US" w:eastAsia="zh-CN" w:bidi="ar-SA"/>
              </w:rPr>
            </w:pPr>
            <w:r>
              <w:rPr>
                <w:rFonts w:hint="eastAsia" w:asciiTheme="minorEastAsia" w:hAnsiTheme="minorEastAsia" w:eastAsiaTheme="minorEastAsia" w:cstheme="minorEastAsia"/>
                <w:i w:val="0"/>
                <w:iCs w:val="0"/>
                <w:color w:val="auto"/>
                <w:kern w:val="2"/>
                <w:sz w:val="21"/>
                <w:szCs w:val="21"/>
                <w:highlight w:val="none"/>
                <w:lang w:val="en-US" w:eastAsia="zh-CN" w:bidi="ar-SA"/>
              </w:rPr>
              <w:t>6</w:t>
            </w:r>
          </w:p>
        </w:tc>
      </w:tr>
      <w:tr w14:paraId="0CD0E8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5" w:type="pct"/>
            <w:vMerge w:val="restart"/>
            <w:tcBorders>
              <w:tl2br w:val="nil"/>
              <w:tr2bl w:val="nil"/>
            </w:tcBorders>
            <w:vAlign w:val="center"/>
          </w:tcPr>
          <w:p w14:paraId="0F1ED610">
            <w:pPr>
              <w:pStyle w:val="177"/>
              <w:pageBreakBefore w:val="0"/>
              <w:overflowPunct/>
              <w:topLinePunct w:val="0"/>
              <w:bidi w:val="0"/>
              <w:spacing w:line="360" w:lineRule="auto"/>
              <w:ind w:left="105" w:leftChars="50" w:right="105" w:rightChars="50" w:firstLine="42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673" w:type="pct"/>
            <w:vMerge w:val="restart"/>
            <w:tcBorders>
              <w:tl2br w:val="nil"/>
              <w:tr2bl w:val="nil"/>
            </w:tcBorders>
            <w:vAlign w:val="center"/>
          </w:tcPr>
          <w:p w14:paraId="599FD51B">
            <w:pPr>
              <w:pStyle w:val="177"/>
              <w:pageBreakBefore w:val="0"/>
              <w:overflowPunct/>
              <w:topLinePunct w:val="0"/>
              <w:bidi w:val="0"/>
              <w:spacing w:line="360" w:lineRule="auto"/>
              <w:ind w:left="105" w:leftChars="50" w:right="105" w:rightChar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综合部分（</w:t>
            </w:r>
            <w:r>
              <w:rPr>
                <w:rFonts w:hint="eastAsia" w:asciiTheme="minorEastAsia" w:hAnsiTheme="minorEastAsia" w:eastAsiaTheme="minorEastAsia" w:cstheme="minorEastAsia"/>
                <w:color w:val="auto"/>
                <w:sz w:val="21"/>
                <w:szCs w:val="21"/>
                <w:highlight w:val="none"/>
                <w:lang w:val="en-US" w:eastAsia="zh-CN"/>
              </w:rPr>
              <w:t>20</w:t>
            </w:r>
            <w:r>
              <w:rPr>
                <w:rFonts w:hint="eastAsia" w:asciiTheme="minorEastAsia" w:hAnsiTheme="minorEastAsia" w:eastAsiaTheme="minorEastAsia" w:cstheme="minorEastAsia"/>
                <w:color w:val="auto"/>
                <w:sz w:val="21"/>
                <w:szCs w:val="21"/>
                <w:highlight w:val="none"/>
              </w:rPr>
              <w:t>分）</w:t>
            </w:r>
          </w:p>
        </w:tc>
        <w:tc>
          <w:tcPr>
            <w:tcW w:w="770" w:type="pct"/>
            <w:tcBorders>
              <w:tl2br w:val="nil"/>
              <w:tr2bl w:val="nil"/>
            </w:tcBorders>
            <w:vAlign w:val="center"/>
          </w:tcPr>
          <w:p w14:paraId="28DE66FC">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节能清单产品</w:t>
            </w:r>
          </w:p>
        </w:tc>
        <w:tc>
          <w:tcPr>
            <w:tcW w:w="2708" w:type="pct"/>
            <w:tcBorders>
              <w:tl2br w:val="nil"/>
              <w:tr2bl w:val="nil"/>
            </w:tcBorders>
            <w:vAlign w:val="center"/>
          </w:tcPr>
          <w:p w14:paraId="04849AA0">
            <w:pPr>
              <w:keepNext w:val="0"/>
              <w:keepLines w:val="0"/>
              <w:pageBreakBefore w:val="0"/>
              <w:kinsoku/>
              <w:wordWrap/>
              <w:overflowPunct/>
              <w:topLinePunct w:val="0"/>
              <w:bidi w:val="0"/>
              <w:spacing w:line="360" w:lineRule="auto"/>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除政府采购强制节能产品外，所投产品为节能产品政府采购品目清单内产品，每有一项加0.5分，最多加0.5分。</w:t>
            </w:r>
          </w:p>
          <w:p w14:paraId="49372EF4">
            <w:pPr>
              <w:keepNext w:val="0"/>
              <w:keepLines w:val="0"/>
              <w:pageBreakBefore w:val="0"/>
              <w:kinsoku/>
              <w:wordWrap/>
              <w:overflowPunct/>
              <w:topLinePunct w:val="0"/>
              <w:bidi w:val="0"/>
              <w:spacing w:line="360" w:lineRule="auto"/>
              <w:textAlignment w:val="auto"/>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注：供应商须在响应文件中附经国家确定的认证机构出具的、处于有效期之内的《国家节能产品认证证书》扫描件，否则评标委员会有权不予认可。</w:t>
            </w:r>
          </w:p>
        </w:tc>
        <w:tc>
          <w:tcPr>
            <w:tcW w:w="452" w:type="pct"/>
            <w:tcBorders>
              <w:tl2br w:val="nil"/>
              <w:tr2bl w:val="nil"/>
            </w:tcBorders>
            <w:vAlign w:val="center"/>
          </w:tcPr>
          <w:p w14:paraId="61A9BEFE">
            <w:pPr>
              <w:pageBreakBefore w:val="0"/>
              <w:overflowPunct/>
              <w:topLinePunct w:val="0"/>
              <w:bidi w:val="0"/>
              <w:adjustRightInd w:val="0"/>
              <w:snapToGrid w:val="0"/>
              <w:spacing w:line="360" w:lineRule="auto"/>
              <w:ind w:firstLine="422"/>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60728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5" w:type="pct"/>
            <w:vMerge w:val="continue"/>
            <w:tcBorders>
              <w:tl2br w:val="nil"/>
              <w:tr2bl w:val="nil"/>
            </w:tcBorders>
            <w:vAlign w:val="center"/>
          </w:tcPr>
          <w:p w14:paraId="5E458A37">
            <w:pPr>
              <w:pStyle w:val="177"/>
              <w:pageBreakBefore w:val="0"/>
              <w:overflowPunct/>
              <w:topLinePunct w:val="0"/>
              <w:bidi w:val="0"/>
              <w:spacing w:line="360" w:lineRule="auto"/>
              <w:ind w:left="105" w:leftChars="50" w:right="105" w:rightChars="50" w:firstLine="422"/>
              <w:jc w:val="center"/>
              <w:rPr>
                <w:rFonts w:hint="eastAsia" w:asciiTheme="minorEastAsia" w:hAnsiTheme="minorEastAsia" w:eastAsiaTheme="minorEastAsia" w:cstheme="minorEastAsia"/>
                <w:color w:val="auto"/>
                <w:sz w:val="21"/>
                <w:szCs w:val="21"/>
                <w:highlight w:val="none"/>
              </w:rPr>
            </w:pPr>
          </w:p>
        </w:tc>
        <w:tc>
          <w:tcPr>
            <w:tcW w:w="673" w:type="pct"/>
            <w:vMerge w:val="continue"/>
            <w:tcBorders>
              <w:tl2br w:val="nil"/>
              <w:tr2bl w:val="nil"/>
            </w:tcBorders>
            <w:vAlign w:val="center"/>
          </w:tcPr>
          <w:p w14:paraId="355ECA77">
            <w:pPr>
              <w:pStyle w:val="177"/>
              <w:pageBreakBefore w:val="0"/>
              <w:overflowPunct/>
              <w:topLinePunct w:val="0"/>
              <w:bidi w:val="0"/>
              <w:spacing w:line="360" w:lineRule="auto"/>
              <w:ind w:left="105" w:leftChars="50" w:right="105" w:rightChars="50"/>
              <w:jc w:val="center"/>
              <w:rPr>
                <w:rFonts w:hint="eastAsia" w:asciiTheme="minorEastAsia" w:hAnsiTheme="minorEastAsia" w:eastAsiaTheme="minorEastAsia" w:cstheme="minorEastAsia"/>
                <w:color w:val="auto"/>
                <w:sz w:val="21"/>
                <w:szCs w:val="21"/>
                <w:highlight w:val="none"/>
              </w:rPr>
            </w:pPr>
          </w:p>
        </w:tc>
        <w:tc>
          <w:tcPr>
            <w:tcW w:w="770" w:type="pct"/>
            <w:tcBorders>
              <w:tl2br w:val="nil"/>
              <w:tr2bl w:val="nil"/>
            </w:tcBorders>
            <w:vAlign w:val="center"/>
          </w:tcPr>
          <w:p w14:paraId="5395E307">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环保清单产品</w:t>
            </w:r>
          </w:p>
        </w:tc>
        <w:tc>
          <w:tcPr>
            <w:tcW w:w="2708" w:type="pct"/>
            <w:tcBorders>
              <w:tl2br w:val="nil"/>
              <w:tr2bl w:val="nil"/>
            </w:tcBorders>
            <w:vAlign w:val="center"/>
          </w:tcPr>
          <w:p w14:paraId="79BE30F5">
            <w:pPr>
              <w:keepNext w:val="0"/>
              <w:keepLines w:val="0"/>
              <w:pageBreakBefore w:val="0"/>
              <w:kinsoku/>
              <w:wordWrap/>
              <w:overflowPunct/>
              <w:topLinePunct w:val="0"/>
              <w:bidi w:val="0"/>
              <w:spacing w:line="360" w:lineRule="auto"/>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所投产品为环境标志产品政府采购品目清单内的产品，每有一项加0.5分，最多加0.5分。</w:t>
            </w:r>
          </w:p>
          <w:p w14:paraId="62DF7DF2">
            <w:pPr>
              <w:keepNext w:val="0"/>
              <w:keepLines w:val="0"/>
              <w:pageBreakBefore w:val="0"/>
              <w:kinsoku/>
              <w:wordWrap/>
              <w:overflowPunct/>
              <w:topLinePunct w:val="0"/>
              <w:bidi w:val="0"/>
              <w:spacing w:line="360" w:lineRule="auto"/>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注：供应商须在响应文件中附经国家确定的认证机构出具的、处于有效期之内的《中国环境标志产品认证证书》扫描件，否则评标委员会有权不予认可。</w:t>
            </w:r>
          </w:p>
        </w:tc>
        <w:tc>
          <w:tcPr>
            <w:tcW w:w="452" w:type="pct"/>
            <w:tcBorders>
              <w:tl2br w:val="nil"/>
              <w:tr2bl w:val="nil"/>
            </w:tcBorders>
            <w:vAlign w:val="center"/>
          </w:tcPr>
          <w:p w14:paraId="6B4BD34F">
            <w:pPr>
              <w:pageBreakBefore w:val="0"/>
              <w:overflowPunct/>
              <w:topLinePunct w:val="0"/>
              <w:bidi w:val="0"/>
              <w:adjustRightInd w:val="0"/>
              <w:snapToGrid w:val="0"/>
              <w:spacing w:line="360" w:lineRule="auto"/>
              <w:ind w:firstLine="422"/>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4CB48C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5" w:type="pct"/>
            <w:vMerge w:val="continue"/>
            <w:tcBorders>
              <w:tl2br w:val="nil"/>
              <w:tr2bl w:val="nil"/>
            </w:tcBorders>
            <w:vAlign w:val="center"/>
          </w:tcPr>
          <w:p w14:paraId="1B32A227">
            <w:pPr>
              <w:pStyle w:val="177"/>
              <w:pageBreakBefore w:val="0"/>
              <w:overflowPunct/>
              <w:topLinePunct w:val="0"/>
              <w:bidi w:val="0"/>
              <w:spacing w:line="360" w:lineRule="auto"/>
              <w:ind w:left="105" w:leftChars="50" w:right="105" w:rightChars="50" w:firstLine="422"/>
              <w:jc w:val="center"/>
              <w:rPr>
                <w:rFonts w:hint="eastAsia" w:asciiTheme="minorEastAsia" w:hAnsiTheme="minorEastAsia" w:eastAsiaTheme="minorEastAsia" w:cstheme="minorEastAsia"/>
                <w:color w:val="auto"/>
                <w:sz w:val="21"/>
                <w:szCs w:val="21"/>
                <w:highlight w:val="none"/>
              </w:rPr>
            </w:pPr>
          </w:p>
        </w:tc>
        <w:tc>
          <w:tcPr>
            <w:tcW w:w="673" w:type="pct"/>
            <w:vMerge w:val="continue"/>
            <w:tcBorders>
              <w:tl2br w:val="nil"/>
              <w:tr2bl w:val="nil"/>
            </w:tcBorders>
            <w:vAlign w:val="center"/>
          </w:tcPr>
          <w:p w14:paraId="5D70C99B">
            <w:pPr>
              <w:pStyle w:val="177"/>
              <w:pageBreakBefore w:val="0"/>
              <w:overflowPunct/>
              <w:topLinePunct w:val="0"/>
              <w:bidi w:val="0"/>
              <w:spacing w:line="360" w:lineRule="auto"/>
              <w:ind w:left="105" w:leftChars="50" w:right="105" w:rightChars="50"/>
              <w:jc w:val="center"/>
              <w:rPr>
                <w:rFonts w:hint="eastAsia" w:asciiTheme="minorEastAsia" w:hAnsiTheme="minorEastAsia" w:eastAsiaTheme="minorEastAsia" w:cstheme="minorEastAsia"/>
                <w:color w:val="auto"/>
                <w:sz w:val="21"/>
                <w:szCs w:val="21"/>
                <w:highlight w:val="none"/>
              </w:rPr>
            </w:pPr>
          </w:p>
        </w:tc>
        <w:tc>
          <w:tcPr>
            <w:tcW w:w="770" w:type="pct"/>
            <w:tcBorders>
              <w:tl2br w:val="nil"/>
              <w:tr2bl w:val="nil"/>
            </w:tcBorders>
            <w:vAlign w:val="center"/>
          </w:tcPr>
          <w:p w14:paraId="40ADC919">
            <w:pPr>
              <w:pageBreakBefore w:val="0"/>
              <w:overflowPunct/>
              <w:topLinePunct w:val="0"/>
              <w:bidi w:val="0"/>
              <w:adjustRightInd w:val="0"/>
              <w:snapToGrid w:val="0"/>
              <w:spacing w:line="360" w:lineRule="auto"/>
              <w:ind w:left="0" w:leftChars="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企业业绩</w:t>
            </w:r>
          </w:p>
        </w:tc>
        <w:tc>
          <w:tcPr>
            <w:tcW w:w="2708" w:type="pct"/>
            <w:tcBorders>
              <w:tl2br w:val="nil"/>
              <w:tr2bl w:val="nil"/>
            </w:tcBorders>
            <w:vAlign w:val="center"/>
          </w:tcPr>
          <w:p w14:paraId="4D3C83C8">
            <w:pPr>
              <w:pageBreakBefore w:val="0"/>
              <w:overflowPunct/>
              <w:topLinePunct w:val="0"/>
              <w:bidi w:val="0"/>
              <w:adjustRightInd w:val="0"/>
              <w:snapToGrid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响应人所投产品(响应人或制造商均可)自</w:t>
            </w: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sz w:val="21"/>
                <w:szCs w:val="21"/>
                <w:highlight w:val="none"/>
                <w:lang w:val="en-US" w:eastAsia="zh-CN"/>
              </w:rPr>
              <w:t>022</w:t>
            </w:r>
            <w:r>
              <w:rPr>
                <w:rFonts w:hint="eastAsia" w:asciiTheme="minorEastAsia" w:hAnsiTheme="minorEastAsia" w:eastAsiaTheme="minorEastAsia" w:cstheme="minorEastAsia"/>
                <w:color w:val="auto"/>
                <w:sz w:val="21"/>
                <w:szCs w:val="21"/>
                <w:highlight w:val="none"/>
              </w:rPr>
              <w:t>年1月1日以来（以合同签订日期为准）已经通过用户验收合格的类似项目业绩，每提供一份完全符合要求的业绩材料得2分，最高得</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分。</w:t>
            </w:r>
          </w:p>
          <w:p w14:paraId="580177BC">
            <w:pPr>
              <w:pageBreakBefore w:val="0"/>
              <w:overflowPunct/>
              <w:topLinePunct w:val="0"/>
              <w:bidi w:val="0"/>
              <w:adjustRightInd w:val="0"/>
              <w:snapToGrid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完整业绩包括：</w:t>
            </w:r>
            <w:r>
              <w:rPr>
                <w:rFonts w:hint="eastAsia" w:asciiTheme="minorEastAsia" w:hAnsiTheme="minorEastAsia" w:eastAsiaTheme="minorEastAsia" w:cstheme="minorEastAsia"/>
                <w:color w:val="auto"/>
                <w:sz w:val="21"/>
                <w:szCs w:val="21"/>
                <w:highlight w:val="none"/>
                <w:lang w:val="en-US" w:eastAsia="zh-CN"/>
              </w:rPr>
              <w:t>响应文件</w:t>
            </w:r>
            <w:r>
              <w:rPr>
                <w:rFonts w:hint="eastAsia" w:asciiTheme="minorEastAsia" w:hAnsiTheme="minorEastAsia" w:eastAsiaTheme="minorEastAsia" w:cstheme="minorEastAsia"/>
                <w:color w:val="auto"/>
                <w:sz w:val="21"/>
                <w:szCs w:val="21"/>
                <w:highlight w:val="none"/>
              </w:rPr>
              <w:t>中附合同、中标通知书、中标结果公告截图</w:t>
            </w:r>
            <w:r>
              <w:rPr>
                <w:rFonts w:hint="eastAsia" w:asciiTheme="minorEastAsia" w:hAnsiTheme="minorEastAsia" w:eastAsiaTheme="minorEastAsia" w:cstheme="minorEastAsia"/>
                <w:color w:val="auto"/>
                <w:sz w:val="21"/>
                <w:szCs w:val="21"/>
                <w:highlight w:val="none"/>
                <w:lang w:val="en-US" w:eastAsia="zh-CN"/>
              </w:rPr>
              <w:t>及可打开的网站链接</w:t>
            </w:r>
            <w:r>
              <w:rPr>
                <w:rFonts w:hint="eastAsia" w:asciiTheme="minorEastAsia" w:hAnsiTheme="minorEastAsia" w:eastAsiaTheme="minorEastAsia" w:cstheme="minorEastAsia"/>
                <w:color w:val="auto"/>
                <w:sz w:val="21"/>
                <w:szCs w:val="21"/>
                <w:highlight w:val="none"/>
              </w:rPr>
              <w:t>，否则不得分。</w:t>
            </w:r>
          </w:p>
        </w:tc>
        <w:tc>
          <w:tcPr>
            <w:tcW w:w="452" w:type="pct"/>
            <w:tcBorders>
              <w:tl2br w:val="nil"/>
              <w:tr2bl w:val="nil"/>
            </w:tcBorders>
            <w:vAlign w:val="center"/>
          </w:tcPr>
          <w:p w14:paraId="24E2150D">
            <w:pPr>
              <w:pageBreakBefore w:val="0"/>
              <w:overflowPunct/>
              <w:topLinePunct w:val="0"/>
              <w:bidi w:val="0"/>
              <w:adjustRightInd w:val="0"/>
              <w:snapToGrid w:val="0"/>
              <w:spacing w:line="360" w:lineRule="auto"/>
              <w:ind w:firstLine="422"/>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r>
      <w:tr w14:paraId="6BDB91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5" w:type="pct"/>
            <w:vMerge w:val="continue"/>
            <w:tcBorders>
              <w:tl2br w:val="nil"/>
              <w:tr2bl w:val="nil"/>
            </w:tcBorders>
            <w:vAlign w:val="center"/>
          </w:tcPr>
          <w:p w14:paraId="17DEBDB9">
            <w:pPr>
              <w:pStyle w:val="177"/>
              <w:pageBreakBefore w:val="0"/>
              <w:overflowPunct/>
              <w:topLinePunct w:val="0"/>
              <w:bidi w:val="0"/>
              <w:spacing w:line="360" w:lineRule="auto"/>
              <w:ind w:left="105" w:leftChars="50" w:right="105" w:rightChars="50" w:firstLine="422"/>
              <w:jc w:val="center"/>
              <w:rPr>
                <w:rFonts w:hint="eastAsia" w:asciiTheme="minorEastAsia" w:hAnsiTheme="minorEastAsia" w:eastAsiaTheme="minorEastAsia" w:cstheme="minorEastAsia"/>
                <w:color w:val="auto"/>
                <w:sz w:val="21"/>
                <w:szCs w:val="21"/>
                <w:highlight w:val="none"/>
              </w:rPr>
            </w:pPr>
          </w:p>
        </w:tc>
        <w:tc>
          <w:tcPr>
            <w:tcW w:w="673" w:type="pct"/>
            <w:vMerge w:val="continue"/>
            <w:tcBorders>
              <w:tl2br w:val="nil"/>
              <w:tr2bl w:val="nil"/>
            </w:tcBorders>
            <w:vAlign w:val="center"/>
          </w:tcPr>
          <w:p w14:paraId="32049547">
            <w:pPr>
              <w:pStyle w:val="177"/>
              <w:pageBreakBefore w:val="0"/>
              <w:overflowPunct/>
              <w:topLinePunct w:val="0"/>
              <w:bidi w:val="0"/>
              <w:spacing w:line="360" w:lineRule="auto"/>
              <w:ind w:left="105" w:leftChars="50" w:right="105" w:rightChars="50"/>
              <w:jc w:val="center"/>
              <w:rPr>
                <w:rFonts w:hint="eastAsia" w:asciiTheme="minorEastAsia" w:hAnsiTheme="minorEastAsia" w:eastAsiaTheme="minorEastAsia" w:cstheme="minorEastAsia"/>
                <w:color w:val="auto"/>
                <w:sz w:val="21"/>
                <w:szCs w:val="21"/>
                <w:highlight w:val="none"/>
              </w:rPr>
            </w:pPr>
          </w:p>
        </w:tc>
        <w:tc>
          <w:tcPr>
            <w:tcW w:w="770" w:type="pct"/>
            <w:tcBorders>
              <w:tl2br w:val="nil"/>
              <w:tr2bl w:val="nil"/>
            </w:tcBorders>
            <w:vAlign w:val="center"/>
          </w:tcPr>
          <w:p w14:paraId="17BB62E8">
            <w:pPr>
              <w:pageBreakBefore w:val="0"/>
              <w:overflowPunct/>
              <w:topLinePunct w:val="0"/>
              <w:bidi w:val="0"/>
              <w:adjustRightInd w:val="0"/>
              <w:snapToGrid w:val="0"/>
              <w:spacing w:line="360" w:lineRule="auto"/>
              <w:ind w:left="0" w:leftChars="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4.培训方案</w:t>
            </w:r>
          </w:p>
        </w:tc>
        <w:tc>
          <w:tcPr>
            <w:tcW w:w="2708" w:type="pct"/>
            <w:tcBorders>
              <w:tl2br w:val="nil"/>
              <w:tr2bl w:val="nil"/>
            </w:tcBorders>
            <w:vAlign w:val="center"/>
          </w:tcPr>
          <w:p w14:paraId="634D72C8">
            <w:pPr>
              <w:pageBreakBefore w:val="0"/>
              <w:numPr>
                <w:ilvl w:val="-1"/>
                <w:numId w:val="0"/>
              </w:numPr>
              <w:overflowPunct/>
              <w:topLinePunct w:val="0"/>
              <w:bidi w:val="0"/>
              <w:spacing w:line="360" w:lineRule="auto"/>
              <w:ind w:firstLine="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安装培训：厂家工程师在用户所在地对用户进行设备全方位的培训。培训内容包括仪器的技术原理、操作、数据处理、基本维护等（不少于3人）。</w:t>
            </w:r>
          </w:p>
          <w:p w14:paraId="590F6EA1">
            <w:pPr>
              <w:pageBreakBefore w:val="0"/>
              <w:numPr>
                <w:ilvl w:val="-1"/>
                <w:numId w:val="0"/>
              </w:numPr>
              <w:overflowPunct/>
              <w:topLinePunct w:val="0"/>
              <w:bidi w:val="0"/>
              <w:spacing w:line="360" w:lineRule="auto"/>
              <w:ind w:firstLine="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应用培训：验收后设备运行后按招标人要求的时间不少于6人.次（所需费用包含在本次投标总报价中）参加厂家举办的相关应用培训班。使培训人员达到熟练掌握、灵活应用的程度，结合供应商提供的培训方案包括（从培训责任、培训目标、培训时间进度关键控制点、培训对象、培训计划、培训次数、培训内容、培训方式、培训讲师安排、培训地点等方面），评标委员会根据方案内容进行综合评分：</w:t>
            </w:r>
          </w:p>
          <w:p w14:paraId="7B0207F4">
            <w:pPr>
              <w:pageBreakBefore w:val="0"/>
              <w:numPr>
                <w:ilvl w:val="-1"/>
                <w:numId w:val="0"/>
              </w:numPr>
              <w:overflowPunct/>
              <w:topLinePunct w:val="0"/>
              <w:bidi w:val="0"/>
              <w:spacing w:line="360" w:lineRule="auto"/>
              <w:ind w:firstLine="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培训计划完整、详细能充分考虑到各个岗位人员、培训教表、培训教材及资料针对与采购内容紧密结合、课时安排合理充分考虑到节假日、培训方式不少于3种、讲师经验5年以上等，有详尽的说明文件，包括技术手段的具体实现方式，不是笼统的表达，能够完全体现上述内容，且规范合理与本项目合同履行息息相关，完全响应并满足或高于招标文件需求</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分；</w:t>
            </w:r>
          </w:p>
          <w:p w14:paraId="16FFD4BF">
            <w:pPr>
              <w:pageBreakBefore w:val="0"/>
              <w:numPr>
                <w:ilvl w:val="-1"/>
                <w:numId w:val="0"/>
              </w:numPr>
              <w:overflowPunct/>
              <w:topLinePunct w:val="0"/>
              <w:bidi w:val="0"/>
              <w:spacing w:line="360" w:lineRule="auto"/>
              <w:ind w:firstLine="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培训计划完整、详细能充分考虑到各个岗位人员、培训教表、培训教材及资料针对与采购内容紧密结合、课时安排合理充分考虑到节假日、培训方式不少于3种、讲师经验5年以上等，虽然能够体现上述内容，但有少部分内容需要进一步完善甚至重新考虑得</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分；</w:t>
            </w:r>
          </w:p>
          <w:p w14:paraId="2759D790">
            <w:pPr>
              <w:pageBreakBefore w:val="0"/>
              <w:numPr>
                <w:ilvl w:val="-1"/>
                <w:numId w:val="0"/>
              </w:numPr>
              <w:overflowPunct/>
              <w:topLinePunct w:val="0"/>
              <w:bidi w:val="0"/>
              <w:spacing w:line="360" w:lineRule="auto"/>
              <w:ind w:firstLine="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3.培训计划不完整或不详细、课时安排欠妥、讲师经验5年以下，缺少上述部分内容或内容不合理或者与本项目合同履行不相关，有多部分内容需要进一步完善甚至重新考虑得</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分；</w:t>
            </w:r>
          </w:p>
          <w:p w14:paraId="430D8AEA">
            <w:pPr>
              <w:pageBreakBefore w:val="0"/>
              <w:numPr>
                <w:ilvl w:val="-1"/>
                <w:numId w:val="0"/>
              </w:numPr>
              <w:overflowPunct/>
              <w:topLinePunct w:val="0"/>
              <w:bidi w:val="0"/>
              <w:spacing w:line="360" w:lineRule="auto"/>
              <w:ind w:firstLine="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4.未提供的得0分；</w:t>
            </w:r>
          </w:p>
        </w:tc>
        <w:tc>
          <w:tcPr>
            <w:tcW w:w="452" w:type="pct"/>
            <w:tcBorders>
              <w:tl2br w:val="nil"/>
              <w:tr2bl w:val="nil"/>
            </w:tcBorders>
            <w:vAlign w:val="center"/>
          </w:tcPr>
          <w:p w14:paraId="0A7FCA80">
            <w:pPr>
              <w:pageBreakBefore w:val="0"/>
              <w:overflowPunct/>
              <w:topLinePunct w:val="0"/>
              <w:bidi w:val="0"/>
              <w:adjustRightInd w:val="0"/>
              <w:snapToGrid w:val="0"/>
              <w:spacing w:line="360" w:lineRule="auto"/>
              <w:ind w:firstLine="422"/>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6</w:t>
            </w:r>
          </w:p>
        </w:tc>
      </w:tr>
      <w:tr w14:paraId="4AB209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5" w:type="pct"/>
            <w:vMerge w:val="continue"/>
            <w:tcBorders>
              <w:tl2br w:val="nil"/>
              <w:tr2bl w:val="nil"/>
            </w:tcBorders>
            <w:vAlign w:val="center"/>
          </w:tcPr>
          <w:p w14:paraId="2E3CF3D9">
            <w:pPr>
              <w:pStyle w:val="177"/>
              <w:pageBreakBefore w:val="0"/>
              <w:overflowPunct/>
              <w:topLinePunct w:val="0"/>
              <w:bidi w:val="0"/>
              <w:spacing w:line="360" w:lineRule="auto"/>
              <w:ind w:left="105" w:leftChars="50" w:right="105" w:rightChars="50" w:firstLine="422"/>
              <w:jc w:val="center"/>
              <w:rPr>
                <w:rFonts w:hint="eastAsia" w:asciiTheme="minorEastAsia" w:hAnsiTheme="minorEastAsia" w:eastAsiaTheme="minorEastAsia" w:cstheme="minorEastAsia"/>
                <w:color w:val="auto"/>
                <w:sz w:val="21"/>
                <w:szCs w:val="21"/>
                <w:highlight w:val="none"/>
              </w:rPr>
            </w:pPr>
          </w:p>
        </w:tc>
        <w:tc>
          <w:tcPr>
            <w:tcW w:w="673" w:type="pct"/>
            <w:vMerge w:val="continue"/>
            <w:tcBorders>
              <w:tl2br w:val="nil"/>
              <w:tr2bl w:val="nil"/>
            </w:tcBorders>
            <w:vAlign w:val="center"/>
          </w:tcPr>
          <w:p w14:paraId="2FD887D5">
            <w:pPr>
              <w:pStyle w:val="177"/>
              <w:pageBreakBefore w:val="0"/>
              <w:overflowPunct/>
              <w:topLinePunct w:val="0"/>
              <w:bidi w:val="0"/>
              <w:spacing w:line="360" w:lineRule="auto"/>
              <w:ind w:left="105" w:leftChars="50" w:right="105" w:rightChars="50"/>
              <w:jc w:val="center"/>
              <w:rPr>
                <w:rFonts w:hint="eastAsia" w:asciiTheme="minorEastAsia" w:hAnsiTheme="minorEastAsia" w:eastAsiaTheme="minorEastAsia" w:cstheme="minorEastAsia"/>
                <w:color w:val="auto"/>
                <w:sz w:val="21"/>
                <w:szCs w:val="21"/>
                <w:highlight w:val="none"/>
              </w:rPr>
            </w:pPr>
          </w:p>
        </w:tc>
        <w:tc>
          <w:tcPr>
            <w:tcW w:w="770" w:type="pct"/>
            <w:tcBorders>
              <w:tl2br w:val="nil"/>
              <w:tr2bl w:val="nil"/>
            </w:tcBorders>
            <w:shd w:val="clear" w:color="auto" w:fill="auto"/>
            <w:vAlign w:val="center"/>
          </w:tcPr>
          <w:p w14:paraId="2113CD53">
            <w:pPr>
              <w:pageBreakBefore w:val="0"/>
              <w:overflowPunct/>
              <w:topLinePunct w:val="0"/>
              <w:bidi w:val="0"/>
              <w:adjustRightInd w:val="0"/>
              <w:snapToGrid w:val="0"/>
              <w:spacing w:line="360" w:lineRule="auto"/>
              <w:ind w:left="0" w:lef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5.售后服务</w:t>
            </w:r>
          </w:p>
        </w:tc>
        <w:tc>
          <w:tcPr>
            <w:tcW w:w="2708" w:type="pct"/>
            <w:tcBorders>
              <w:tl2br w:val="nil"/>
              <w:tr2bl w:val="nil"/>
            </w:tcBorders>
            <w:shd w:val="clear" w:color="auto" w:fill="auto"/>
            <w:vAlign w:val="center"/>
          </w:tcPr>
          <w:p w14:paraId="24BA64F2">
            <w:pPr>
              <w:pageBreakBefore w:val="0"/>
              <w:overflowPunct/>
              <w:topLinePunct w:val="0"/>
              <w:bidi w:val="0"/>
              <w:spacing w:line="360" w:lineRule="auto"/>
              <w:ind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1、详细说明售后服务的内容、形式、含维修人员组成、免费维修时间、解决质量或操作问题的响应时间、解决问题时间、维修单位名称、地点；（4分）</w:t>
            </w:r>
          </w:p>
          <w:p w14:paraId="5D5305A9">
            <w:pPr>
              <w:pageBreakBefore w:val="0"/>
              <w:overflowPunct/>
              <w:topLinePunct w:val="0"/>
              <w:bidi w:val="0"/>
              <w:spacing w:line="360" w:lineRule="auto"/>
              <w:ind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描述完整、内容详尽，能够充分满足采购人需求的得4分；描述基本完整、内容较详尽，能够满足采购人需求的得2分；描述不完整、内容一般，基本满足采购人需求的得1分；不能满足采购人需求或者未提供不得分。</w:t>
            </w:r>
          </w:p>
          <w:p w14:paraId="046D41F7">
            <w:pPr>
              <w:pageBreakBefore w:val="0"/>
              <w:overflowPunct/>
              <w:topLinePunct w:val="0"/>
              <w:bidi w:val="0"/>
              <w:spacing w:line="360" w:lineRule="auto"/>
              <w:ind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2、对于设备整机保修的承诺及实施(2分)</w:t>
            </w:r>
          </w:p>
          <w:p w14:paraId="75FE52FE">
            <w:pPr>
              <w:pageBreakBefore w:val="0"/>
              <w:overflowPunct/>
              <w:topLinePunct w:val="0"/>
              <w:bidi w:val="0"/>
              <w:spacing w:line="360" w:lineRule="auto"/>
              <w:ind w:firstLine="422"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供应商对设备整机保修的承诺实施内容完整，能够从采购人角度出发，且在质保期内具有有效措施的，得2分；</w:t>
            </w:r>
          </w:p>
          <w:p w14:paraId="304B96E1">
            <w:pPr>
              <w:pageBreakBefore w:val="0"/>
              <w:overflowPunct/>
              <w:topLinePunct w:val="0"/>
              <w:bidi w:val="0"/>
              <w:spacing w:line="360" w:lineRule="auto"/>
              <w:ind w:firstLine="422"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供应商对设备整机保修的承诺实施内容基本完整，在质保期内实施措施一般的，得1分；</w:t>
            </w:r>
          </w:p>
          <w:p w14:paraId="78D560E3">
            <w:pPr>
              <w:pageBreakBefore w:val="0"/>
              <w:overflowPunct/>
              <w:topLinePunct w:val="0"/>
              <w:bidi w:val="0"/>
              <w:spacing w:line="360" w:lineRule="auto"/>
              <w:ind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3、其它优惠条款服务承诺。综合对比所有供应商的优惠条款服务承诺及实质性有利于采购人实施落实的；（3分）</w:t>
            </w:r>
          </w:p>
          <w:p w14:paraId="76C4342A">
            <w:pPr>
              <w:pageBreakBefore w:val="0"/>
              <w:overflowPunct/>
              <w:topLinePunct w:val="0"/>
              <w:bidi w:val="0"/>
              <w:spacing w:line="360" w:lineRule="auto"/>
              <w:ind w:firstLine="422"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优惠条款内容详尽，容易落实的，得3分；</w:t>
            </w:r>
          </w:p>
          <w:p w14:paraId="3CAC7F2E">
            <w:pPr>
              <w:pageBreakBefore w:val="0"/>
              <w:overflowPunct/>
              <w:topLinePunct w:val="0"/>
              <w:bidi w:val="0"/>
              <w:spacing w:line="360" w:lineRule="auto"/>
              <w:ind w:firstLine="422"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优惠条款内容基本全面，可以落实的，得2分；</w:t>
            </w:r>
          </w:p>
          <w:p w14:paraId="7C6354E3">
            <w:pPr>
              <w:pageBreakBefore w:val="0"/>
              <w:overflowPunct/>
              <w:topLinePunct w:val="0"/>
              <w:bidi w:val="0"/>
              <w:spacing w:line="360" w:lineRule="auto"/>
              <w:ind w:firstLine="422"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优惠条款内容一般，不够全面，基本可落实的，得1分；</w:t>
            </w:r>
          </w:p>
          <w:p w14:paraId="23DACF1C">
            <w:pPr>
              <w:pageBreakBefore w:val="0"/>
              <w:overflowPunct/>
              <w:topLinePunct w:val="0"/>
              <w:bidi w:val="0"/>
              <w:spacing w:line="360" w:lineRule="auto"/>
              <w:ind w:firstLine="422"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未提供或其他情况不得分。</w:t>
            </w:r>
          </w:p>
        </w:tc>
        <w:tc>
          <w:tcPr>
            <w:tcW w:w="452" w:type="pct"/>
            <w:tcBorders>
              <w:tl2br w:val="nil"/>
              <w:tr2bl w:val="nil"/>
            </w:tcBorders>
            <w:shd w:val="clear" w:color="auto" w:fill="auto"/>
            <w:vAlign w:val="center"/>
          </w:tcPr>
          <w:p w14:paraId="3F115A75">
            <w:pPr>
              <w:pageBreakBefore w:val="0"/>
              <w:overflowPunct/>
              <w:topLinePunct w:val="0"/>
              <w:bidi w:val="0"/>
              <w:adjustRightInd w:val="0"/>
              <w:snapToGrid w:val="0"/>
              <w:spacing w:line="360" w:lineRule="auto"/>
              <w:ind w:firstLine="422" w:firstLineChars="0"/>
              <w:jc w:val="both"/>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9</w:t>
            </w:r>
          </w:p>
        </w:tc>
      </w:tr>
    </w:tbl>
    <w:p w14:paraId="6CA7FE19">
      <w:pPr>
        <w:pageBreakBefore w:val="0"/>
        <w:overflowPunct/>
        <w:topLinePunct w:val="0"/>
        <w:bidi w:val="0"/>
        <w:rPr>
          <w:rFonts w:hint="eastAsia"/>
          <w:color w:val="auto"/>
          <w:highlight w:val="none"/>
        </w:rPr>
      </w:pPr>
      <w:r>
        <w:rPr>
          <w:rFonts w:hint="eastAsia"/>
          <w:color w:val="auto"/>
          <w:highlight w:val="none"/>
        </w:rPr>
        <w:br w:type="page"/>
      </w:r>
      <w:bookmarkEnd w:id="198"/>
      <w:bookmarkEnd w:id="199"/>
      <w:bookmarkEnd w:id="200"/>
    </w:p>
    <w:p w14:paraId="6DEDCE1A">
      <w:pPr>
        <w:pStyle w:val="2"/>
        <w:pageBreakBefore w:val="0"/>
        <w:overflowPunct/>
        <w:topLinePunct w:val="0"/>
        <w:bidi w:val="0"/>
        <w:spacing w:line="360" w:lineRule="auto"/>
        <w:ind w:firstLine="643"/>
        <w:rPr>
          <w:rFonts w:hint="eastAsia" w:asciiTheme="minorEastAsia" w:hAnsiTheme="minorEastAsia" w:eastAsiaTheme="minorEastAsia" w:cstheme="minorEastAsia"/>
          <w:color w:val="auto"/>
          <w:sz w:val="44"/>
          <w:szCs w:val="44"/>
          <w:highlight w:val="none"/>
        </w:rPr>
      </w:pPr>
      <w:bookmarkStart w:id="201" w:name="_Toc433093356"/>
      <w:bookmarkStart w:id="202" w:name="_Toc27572"/>
      <w:r>
        <w:rPr>
          <w:rFonts w:hint="eastAsia" w:asciiTheme="minorEastAsia" w:hAnsiTheme="minorEastAsia" w:eastAsiaTheme="minorEastAsia" w:cstheme="minorEastAsia"/>
          <w:color w:val="auto"/>
          <w:sz w:val="44"/>
          <w:szCs w:val="44"/>
          <w:highlight w:val="none"/>
        </w:rPr>
        <w:t xml:space="preserve"> </w:t>
      </w:r>
      <w:bookmarkStart w:id="203" w:name="_Toc13881"/>
      <w:bookmarkStart w:id="204" w:name="_Toc9960"/>
      <w:bookmarkStart w:id="205" w:name="_Toc22423"/>
      <w:bookmarkStart w:id="206" w:name="_Toc20574"/>
      <w:bookmarkStart w:id="207" w:name="_Toc12256"/>
      <w:bookmarkStart w:id="208" w:name="_Toc13640"/>
      <w:r>
        <w:rPr>
          <w:rFonts w:hint="eastAsia" w:asciiTheme="minorEastAsia" w:hAnsiTheme="minorEastAsia" w:eastAsiaTheme="minorEastAsia" w:cstheme="minorEastAsia"/>
          <w:color w:val="auto"/>
          <w:sz w:val="44"/>
          <w:szCs w:val="44"/>
          <w:highlight w:val="none"/>
        </w:rPr>
        <w:t xml:space="preserve">第六章 </w:t>
      </w:r>
      <w:bookmarkEnd w:id="201"/>
      <w:bookmarkEnd w:id="202"/>
      <w:bookmarkEnd w:id="203"/>
      <w:r>
        <w:rPr>
          <w:rFonts w:hint="eastAsia" w:asciiTheme="minorEastAsia" w:hAnsiTheme="minorEastAsia" w:eastAsiaTheme="minorEastAsia" w:cstheme="minorEastAsia"/>
          <w:color w:val="auto"/>
          <w:sz w:val="44"/>
          <w:szCs w:val="44"/>
          <w:highlight w:val="none"/>
        </w:rPr>
        <w:t>合同条款及格式</w:t>
      </w:r>
      <w:bookmarkEnd w:id="204"/>
      <w:bookmarkEnd w:id="205"/>
      <w:bookmarkEnd w:id="206"/>
      <w:bookmarkEnd w:id="207"/>
      <w:bookmarkEnd w:id="208"/>
    </w:p>
    <w:p w14:paraId="4D9C0F36">
      <w:pPr>
        <w:pStyle w:val="16"/>
        <w:tabs>
          <w:tab w:val="left" w:pos="567"/>
        </w:tabs>
        <w:spacing w:after="0"/>
        <w:jc w:val="center"/>
        <w:rPr>
          <w:rFonts w:hint="eastAsia" w:ascii="宋体" w:hAnsi="宋体" w:cs="宋体"/>
          <w:b/>
          <w:bCs/>
          <w:color w:val="auto"/>
          <w:spacing w:val="-20"/>
          <w:kern w:val="44"/>
          <w:sz w:val="48"/>
          <w:szCs w:val="48"/>
          <w:highlight w:val="none"/>
        </w:rPr>
      </w:pPr>
    </w:p>
    <w:p w14:paraId="59210C20">
      <w:pPr>
        <w:pStyle w:val="16"/>
        <w:tabs>
          <w:tab w:val="left" w:pos="567"/>
        </w:tabs>
        <w:spacing w:after="0"/>
        <w:jc w:val="center"/>
        <w:rPr>
          <w:rFonts w:hint="eastAsia" w:ascii="宋体" w:hAnsi="宋体" w:cs="宋体"/>
          <w:b/>
          <w:bCs/>
          <w:color w:val="auto"/>
          <w:spacing w:val="-20"/>
          <w:kern w:val="44"/>
          <w:sz w:val="48"/>
          <w:szCs w:val="48"/>
          <w:highlight w:val="none"/>
        </w:rPr>
      </w:pPr>
    </w:p>
    <w:p w14:paraId="7909AEEB">
      <w:pPr>
        <w:pStyle w:val="16"/>
        <w:tabs>
          <w:tab w:val="left" w:pos="567"/>
        </w:tabs>
        <w:spacing w:after="0" w:line="360" w:lineRule="auto"/>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5048B75D">
      <w:pPr>
        <w:pStyle w:val="16"/>
        <w:tabs>
          <w:tab w:val="left" w:pos="567"/>
        </w:tabs>
        <w:spacing w:after="0" w:line="360" w:lineRule="auto"/>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（参考格式）</w:t>
      </w:r>
    </w:p>
    <w:p w14:paraId="137F0644">
      <w:pPr>
        <w:rPr>
          <w:rFonts w:ascii="宋体" w:hAnsi="宋体" w:cs="宋体"/>
          <w:b/>
          <w:bCs/>
          <w:color w:val="auto"/>
          <w:spacing w:val="-20"/>
          <w:kern w:val="44"/>
          <w:sz w:val="40"/>
          <w:szCs w:val="40"/>
          <w:highlight w:val="none"/>
        </w:rPr>
      </w:pPr>
    </w:p>
    <w:p w14:paraId="4EA5DE59">
      <w:pPr>
        <w:rPr>
          <w:rFonts w:ascii="宋体" w:hAnsi="宋体" w:cs="宋体"/>
          <w:b/>
          <w:bCs/>
          <w:color w:val="auto"/>
          <w:spacing w:val="-20"/>
          <w:kern w:val="44"/>
          <w:sz w:val="40"/>
          <w:szCs w:val="40"/>
          <w:highlight w:val="none"/>
        </w:rPr>
      </w:pPr>
    </w:p>
    <w:p w14:paraId="27D52E6F">
      <w:pPr>
        <w:rPr>
          <w:rFonts w:ascii="宋体" w:hAnsi="宋体" w:cs="宋体"/>
          <w:b/>
          <w:bCs/>
          <w:color w:val="auto"/>
          <w:spacing w:val="-20"/>
          <w:kern w:val="44"/>
          <w:sz w:val="40"/>
          <w:szCs w:val="40"/>
          <w:highlight w:val="none"/>
        </w:rPr>
      </w:pPr>
    </w:p>
    <w:p w14:paraId="3329A468">
      <w:pPr>
        <w:rPr>
          <w:rFonts w:ascii="宋体" w:hAnsi="宋体" w:cs="宋体"/>
          <w:b/>
          <w:bCs/>
          <w:color w:val="auto"/>
          <w:spacing w:val="-20"/>
          <w:kern w:val="44"/>
          <w:sz w:val="40"/>
          <w:szCs w:val="40"/>
          <w:highlight w:val="none"/>
        </w:rPr>
      </w:pPr>
    </w:p>
    <w:p w14:paraId="12C4CEF8">
      <w:pPr>
        <w:pStyle w:val="233"/>
        <w:rPr>
          <w:rFonts w:ascii="宋体" w:hAnsi="宋体" w:cs="宋体"/>
          <w:b/>
          <w:bCs/>
          <w:color w:val="auto"/>
          <w:spacing w:val="-20"/>
          <w:kern w:val="44"/>
          <w:sz w:val="40"/>
          <w:szCs w:val="40"/>
          <w:highlight w:val="none"/>
        </w:rPr>
      </w:pPr>
    </w:p>
    <w:p w14:paraId="0300EF11">
      <w:pPr>
        <w:pStyle w:val="233"/>
        <w:rPr>
          <w:rFonts w:ascii="宋体" w:hAnsi="宋体" w:cs="宋体"/>
          <w:b/>
          <w:bCs/>
          <w:color w:val="auto"/>
          <w:spacing w:val="-20"/>
          <w:kern w:val="44"/>
          <w:sz w:val="40"/>
          <w:szCs w:val="40"/>
          <w:highlight w:val="none"/>
        </w:rPr>
      </w:pPr>
    </w:p>
    <w:p w14:paraId="5AB42758">
      <w:pPr>
        <w:pStyle w:val="233"/>
        <w:rPr>
          <w:rFonts w:ascii="宋体" w:hAnsi="宋体" w:cs="宋体"/>
          <w:b/>
          <w:bCs/>
          <w:color w:val="auto"/>
          <w:spacing w:val="-20"/>
          <w:kern w:val="44"/>
          <w:sz w:val="40"/>
          <w:szCs w:val="40"/>
          <w:highlight w:val="none"/>
        </w:rPr>
      </w:pPr>
    </w:p>
    <w:p w14:paraId="7D4761E5">
      <w:pPr>
        <w:pStyle w:val="233"/>
        <w:rPr>
          <w:rFonts w:ascii="宋体" w:hAnsi="宋体" w:cs="宋体"/>
          <w:b/>
          <w:bCs/>
          <w:color w:val="auto"/>
          <w:spacing w:val="-20"/>
          <w:kern w:val="44"/>
          <w:sz w:val="40"/>
          <w:szCs w:val="40"/>
          <w:highlight w:val="none"/>
        </w:rPr>
      </w:pPr>
    </w:p>
    <w:p w14:paraId="7EAC408C">
      <w:pPr>
        <w:pStyle w:val="233"/>
        <w:rPr>
          <w:rFonts w:ascii="宋体" w:hAnsi="宋体" w:cs="宋体"/>
          <w:b/>
          <w:bCs/>
          <w:color w:val="auto"/>
          <w:spacing w:val="-20"/>
          <w:kern w:val="44"/>
          <w:sz w:val="40"/>
          <w:szCs w:val="40"/>
          <w:highlight w:val="none"/>
        </w:rPr>
      </w:pPr>
    </w:p>
    <w:p w14:paraId="6D4F43E1">
      <w:pPr>
        <w:pStyle w:val="233"/>
        <w:rPr>
          <w:rFonts w:ascii="宋体" w:hAnsi="宋体" w:cs="宋体"/>
          <w:b/>
          <w:bCs/>
          <w:color w:val="auto"/>
          <w:spacing w:val="-20"/>
          <w:kern w:val="44"/>
          <w:sz w:val="40"/>
          <w:szCs w:val="40"/>
          <w:highlight w:val="none"/>
        </w:rPr>
      </w:pPr>
    </w:p>
    <w:p w14:paraId="18940D7D">
      <w:pPr>
        <w:rPr>
          <w:rFonts w:ascii="宋体" w:hAnsi="宋体" w:cs="宋体"/>
          <w:b/>
          <w:bCs/>
          <w:color w:val="auto"/>
          <w:spacing w:val="-20"/>
          <w:kern w:val="44"/>
          <w:sz w:val="40"/>
          <w:szCs w:val="40"/>
          <w:highlight w:val="none"/>
        </w:rPr>
      </w:pPr>
    </w:p>
    <w:p w14:paraId="3F127D63">
      <w:pPr>
        <w:spacing w:line="360" w:lineRule="auto"/>
        <w:ind w:left="420" w:leftChars="200" w:firstLine="1458" w:firstLineChars="521"/>
        <w:rPr>
          <w:rFonts w:hint="default"/>
          <w:color w:val="auto"/>
          <w:sz w:val="28"/>
          <w:szCs w:val="28"/>
          <w:highlight w:val="none"/>
          <w:lang w:val="en-US"/>
        </w:rPr>
      </w:pPr>
      <w:r>
        <w:rPr>
          <w:rFonts w:hint="eastAsia" w:ascii="宋体" w:hAnsi="宋体" w:cs="宋体"/>
          <w:color w:val="auto"/>
          <w:kern w:val="0"/>
          <w:sz w:val="28"/>
          <w:szCs w:val="28"/>
          <w:highlight w:val="none"/>
        </w:rPr>
        <w:t>项目名称：</w:t>
      </w:r>
      <w:r>
        <w:rPr>
          <w:rFonts w:hint="eastAsia" w:ascii="宋体" w:hAnsi="宋体" w:cs="宋体"/>
          <w:b w:val="0"/>
          <w:bCs w:val="0"/>
          <w:color w:val="auto"/>
          <w:sz w:val="28"/>
          <w:szCs w:val="28"/>
          <w:highlight w:val="none"/>
          <w:u w:val="single"/>
          <w:lang w:val="en-US" w:eastAsia="zh-CN"/>
        </w:rPr>
        <w:t xml:space="preserve">                             </w:t>
      </w:r>
    </w:p>
    <w:p w14:paraId="5232D956">
      <w:pPr>
        <w:spacing w:line="360" w:lineRule="auto"/>
        <w:ind w:left="420" w:leftChars="200" w:firstLine="1458" w:firstLineChars="521"/>
        <w:rPr>
          <w:color w:val="auto"/>
          <w:sz w:val="28"/>
          <w:szCs w:val="28"/>
          <w:highlight w:val="none"/>
          <w:u w:val="single"/>
        </w:rPr>
      </w:pPr>
      <w:r>
        <w:rPr>
          <w:rFonts w:hint="eastAsia"/>
          <w:color w:val="auto"/>
          <w:sz w:val="28"/>
          <w:szCs w:val="28"/>
          <w:highlight w:val="none"/>
        </w:rPr>
        <w:t>合同编号：</w:t>
      </w:r>
      <w:r>
        <w:rPr>
          <w:rFonts w:hint="eastAsia"/>
          <w:color w:val="auto"/>
          <w:sz w:val="28"/>
          <w:szCs w:val="28"/>
          <w:highlight w:val="none"/>
          <w:u w:val="single"/>
        </w:rPr>
        <w:t xml:space="preserve">                             </w:t>
      </w:r>
    </w:p>
    <w:p w14:paraId="360F803A">
      <w:pPr>
        <w:spacing w:line="360" w:lineRule="auto"/>
        <w:ind w:left="420" w:leftChars="200" w:firstLine="1458" w:firstLineChars="521"/>
        <w:rPr>
          <w:rFonts w:hint="default"/>
          <w:color w:val="auto"/>
          <w:sz w:val="28"/>
          <w:szCs w:val="28"/>
          <w:highlight w:val="none"/>
          <w:lang w:val="en-US"/>
        </w:rPr>
      </w:pPr>
      <w:r>
        <w:rPr>
          <w:rFonts w:hint="eastAsia"/>
          <w:color w:val="auto"/>
          <w:sz w:val="28"/>
          <w:szCs w:val="28"/>
          <w:highlight w:val="none"/>
        </w:rPr>
        <w:t>甲    方：</w:t>
      </w:r>
      <w:r>
        <w:rPr>
          <w:rFonts w:hint="eastAsia" w:ascii="宋体" w:hAnsi="宋体" w:cs="宋体"/>
          <w:b w:val="0"/>
          <w:bCs w:val="0"/>
          <w:color w:val="auto"/>
          <w:sz w:val="28"/>
          <w:szCs w:val="28"/>
          <w:highlight w:val="none"/>
          <w:u w:val="single"/>
          <w:lang w:val="en-US" w:eastAsia="zh-CN"/>
        </w:rPr>
        <w:t xml:space="preserve">                           </w:t>
      </w:r>
      <w:r>
        <w:rPr>
          <w:rFonts w:hint="eastAsia"/>
          <w:color w:val="auto"/>
          <w:sz w:val="28"/>
          <w:szCs w:val="28"/>
          <w:highlight w:val="none"/>
          <w:u w:val="single"/>
          <w:lang w:val="en-US" w:eastAsia="zh-CN"/>
        </w:rPr>
        <w:t xml:space="preserve">  </w:t>
      </w:r>
    </w:p>
    <w:p w14:paraId="1E217824">
      <w:pPr>
        <w:spacing w:line="360" w:lineRule="auto"/>
        <w:ind w:left="420" w:leftChars="200" w:firstLine="1458" w:firstLineChars="521"/>
        <w:rPr>
          <w:color w:val="auto"/>
          <w:sz w:val="28"/>
          <w:szCs w:val="28"/>
          <w:highlight w:val="none"/>
          <w:u w:val="single"/>
        </w:rPr>
      </w:pPr>
      <w:r>
        <w:rPr>
          <w:rFonts w:hint="eastAsia"/>
          <w:color w:val="auto"/>
          <w:sz w:val="28"/>
          <w:szCs w:val="28"/>
          <w:highlight w:val="none"/>
        </w:rPr>
        <w:t>乙    方：</w:t>
      </w:r>
      <w:r>
        <w:rPr>
          <w:rFonts w:hint="eastAsia"/>
          <w:color w:val="auto"/>
          <w:sz w:val="28"/>
          <w:szCs w:val="28"/>
          <w:highlight w:val="none"/>
          <w:u w:val="single"/>
        </w:rPr>
        <w:t xml:space="preserve">                             </w:t>
      </w:r>
    </w:p>
    <w:p w14:paraId="5F00FA42">
      <w:pPr>
        <w:spacing w:line="360" w:lineRule="auto"/>
        <w:ind w:left="420" w:leftChars="200" w:firstLine="1458" w:firstLineChars="521"/>
        <w:rPr>
          <w:color w:val="auto"/>
          <w:sz w:val="28"/>
          <w:szCs w:val="28"/>
          <w:highlight w:val="none"/>
        </w:rPr>
      </w:pPr>
      <w:r>
        <w:rPr>
          <w:rFonts w:hint="eastAsia"/>
          <w:color w:val="auto"/>
          <w:sz w:val="28"/>
          <w:szCs w:val="28"/>
          <w:highlight w:val="none"/>
        </w:rPr>
        <w:t>签订时间：</w:t>
      </w:r>
      <w:r>
        <w:rPr>
          <w:rFonts w:hint="eastAsia"/>
          <w:color w:val="auto"/>
          <w:sz w:val="28"/>
          <w:szCs w:val="28"/>
          <w:highlight w:val="none"/>
          <w:u w:val="single"/>
        </w:rPr>
        <w:t xml:space="preserve">      </w:t>
      </w:r>
      <w:r>
        <w:rPr>
          <w:color w:val="auto"/>
          <w:sz w:val="28"/>
          <w:szCs w:val="28"/>
          <w:highlight w:val="none"/>
          <w:u w:val="single"/>
        </w:rPr>
        <w:t xml:space="preserve">           </w:t>
      </w:r>
      <w:r>
        <w:rPr>
          <w:rFonts w:hint="eastAsia"/>
          <w:color w:val="auto"/>
          <w:sz w:val="28"/>
          <w:szCs w:val="28"/>
          <w:highlight w:val="none"/>
          <w:u w:val="single"/>
        </w:rPr>
        <w:t xml:space="preserve">            </w:t>
      </w:r>
    </w:p>
    <w:p w14:paraId="3A8DC718">
      <w:pPr>
        <w:rPr>
          <w:color w:val="auto"/>
          <w:highlight w:val="none"/>
        </w:rPr>
      </w:pPr>
    </w:p>
    <w:p w14:paraId="7B9ACE1D">
      <w:pPr>
        <w:pStyle w:val="3"/>
        <w:tabs>
          <w:tab w:val="left" w:pos="576"/>
        </w:tabs>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eastAsia="黑体"/>
          <w:color w:val="auto"/>
          <w:sz w:val="44"/>
          <w:szCs w:val="44"/>
          <w:highlight w:val="none"/>
        </w:rPr>
        <w:br w:type="page"/>
      </w:r>
      <w:bookmarkStart w:id="209" w:name="_Toc20655"/>
      <w:bookmarkStart w:id="210" w:name="_Toc25210"/>
      <w:bookmarkStart w:id="211" w:name="_Toc25515"/>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209"/>
      <w:bookmarkEnd w:id="210"/>
      <w:bookmarkEnd w:id="211"/>
    </w:p>
    <w:p w14:paraId="652EEA62">
      <w:pPr>
        <w:rPr>
          <w:rFonts w:hint="eastAsia"/>
          <w:color w:val="auto"/>
          <w:highlight w:val="none"/>
        </w:rPr>
      </w:pPr>
    </w:p>
    <w:p w14:paraId="5411D056">
      <w:pPr>
        <w:adjustRightInd w:val="0"/>
        <w:snapToGrid w:val="0"/>
        <w:spacing w:before="0" w:beforeLines="0" w:line="400" w:lineRule="exact"/>
        <w:rPr>
          <w:rFonts w:hint="default" w:ascii="宋体" w:hAnsi="宋体" w:eastAsia="宋体" w:cs="宋体"/>
          <w:color w:val="auto"/>
          <w:sz w:val="21"/>
          <w:szCs w:val="21"/>
          <w:highlight w:val="none"/>
          <w:u w:val="single"/>
          <w:lang w:val="en-US"/>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lang w:eastAsia="zh-CN"/>
        </w:rPr>
        <w:t>河南省精神病医院</w:t>
      </w:r>
      <w:r>
        <w:rPr>
          <w:rFonts w:hint="eastAsia" w:ascii="宋体" w:hAnsi="宋体" w:eastAsia="宋体" w:cs="宋体"/>
          <w:color w:val="auto"/>
          <w:sz w:val="21"/>
          <w:szCs w:val="21"/>
          <w:highlight w:val="none"/>
          <w:u w:val="single"/>
          <w:lang w:val="en-US" w:eastAsia="zh-CN"/>
        </w:rPr>
        <w:t xml:space="preserve">  </w:t>
      </w:r>
    </w:p>
    <w:p w14:paraId="2274F281">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14:paraId="248EB51C">
      <w:pPr>
        <w:pStyle w:val="17"/>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乙方的《投标（响应）文件》及《中标（成交）通知书》，甲乙双方同意签订本合同。具体情况及要求如下：</w:t>
      </w:r>
    </w:p>
    <w:p w14:paraId="393E6D9C">
      <w:pPr>
        <w:numPr>
          <w:ilvl w:val="0"/>
          <w:numId w:val="2"/>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2C1AF114">
      <w:pPr>
        <w:pStyle w:val="17"/>
        <w:numPr>
          <w:ilvl w:val="0"/>
          <w:numId w:val="3"/>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河南省精神病医院北京大学第六医院河南医院国家区域医疗中心一期项目生物反馈治疗仪采购项目   </w:t>
      </w:r>
    </w:p>
    <w:p w14:paraId="4EAD5F34">
      <w:pPr>
        <w:pStyle w:val="17"/>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采购项目编号：</w:t>
      </w:r>
      <w:r>
        <w:rPr>
          <w:rFonts w:hint="eastAsia" w:ascii="宋体" w:hAnsi="宋体" w:eastAsia="宋体" w:cs="宋体"/>
          <w:color w:val="auto"/>
          <w:sz w:val="21"/>
          <w:szCs w:val="21"/>
          <w:highlight w:val="none"/>
          <w:u w:val="single"/>
        </w:rPr>
        <w:t xml:space="preserve">                                          </w:t>
      </w:r>
    </w:p>
    <w:p w14:paraId="40AEF446">
      <w:pPr>
        <w:pStyle w:val="17"/>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1ECA3A2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3F3D867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3758984E">
      <w:pPr>
        <w:numPr>
          <w:ilvl w:val="0"/>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14:paraId="7364B3ED">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14:paraId="029D3669">
      <w:pPr>
        <w:pStyle w:val="233"/>
        <w:numPr>
          <w:ilvl w:val="0"/>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val="en-US" w:eastAsia="zh-CN"/>
        </w:rPr>
        <w:t>分散采购</w:t>
      </w:r>
    </w:p>
    <w:p w14:paraId="31AE67BE">
      <w:pPr>
        <w:pStyle w:val="233"/>
        <w:numPr>
          <w:ilvl w:val="0"/>
          <w:numId w:val="0"/>
        </w:numPr>
        <w:adjustRightInd w:val="0"/>
        <w:snapToGrid w:val="0"/>
        <w:spacing w:before="0" w:beforeLines="0" w:line="400" w:lineRule="exact"/>
        <w:ind w:firstLine="420" w:firstLineChars="20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eastAsia="zh-CN"/>
        </w:rPr>
        <w:t>竞争性磋商</w:t>
      </w:r>
    </w:p>
    <w:p w14:paraId="40BC9434">
      <w:pPr>
        <w:pStyle w:val="233"/>
        <w:numPr>
          <w:ilvl w:val="0"/>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39BF546A">
      <w:pPr>
        <w:pStyle w:val="233"/>
        <w:numPr>
          <w:ilvl w:val="0"/>
          <w:numId w:val="0"/>
        </w:numPr>
        <w:adjustRightInd w:val="0"/>
        <w:snapToGrid w:val="0"/>
        <w:spacing w:before="0" w:beforeLines="0" w:line="400" w:lineRule="exact"/>
        <w:ind w:firstLine="420" w:firstLineChars="2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027BAC27">
      <w:pPr>
        <w:numPr>
          <w:ilvl w:val="0"/>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color="auto" w:fill="auto"/>
          <w:lang w:eastAsia="zh-CN"/>
        </w:rPr>
        <w:t>购</w:t>
      </w:r>
      <w:r>
        <w:rPr>
          <w:rFonts w:hint="eastAsia" w:ascii="宋体" w:hAnsi="宋体" w:eastAsia="宋体" w:cs="宋体"/>
          <w:color w:val="auto"/>
          <w:w w:val="100"/>
          <w:sz w:val="21"/>
          <w:szCs w:val="21"/>
          <w:highlight w:val="none"/>
          <w:shd w:val="clear" w:color="auto" w:fill="auto"/>
        </w:rPr>
        <w:t>合同</w:t>
      </w:r>
      <w:r>
        <w:rPr>
          <w:rFonts w:hint="eastAsia" w:ascii="宋体" w:hAnsi="宋体" w:eastAsia="宋体" w:cs="宋体"/>
          <w:color w:val="auto"/>
          <w:w w:val="100"/>
          <w:sz w:val="21"/>
          <w:szCs w:val="21"/>
          <w:highlight w:val="none"/>
          <w:shd w:val="clear" w:color="auto" w:fill="auto"/>
          <w:lang w:eastAsia="zh-CN"/>
        </w:rPr>
        <w:t>（中小企业预留合同）</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FE"/>
      </w:r>
      <w:r>
        <w:rPr>
          <w:rFonts w:hint="eastAsia" w:ascii="宋体" w:hAnsi="宋体" w:eastAsia="宋体" w:cs="宋体"/>
          <w:iCs/>
          <w:color w:val="auto"/>
          <w:sz w:val="21"/>
          <w:szCs w:val="21"/>
          <w:highlight w:val="none"/>
        </w:rPr>
        <w:t>否</w:t>
      </w:r>
    </w:p>
    <w:p w14:paraId="056CE37F">
      <w:pPr>
        <w:numPr>
          <w:ilvl w:val="0"/>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FE"/>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22C09487">
      <w:pPr>
        <w:numPr>
          <w:ilvl w:val="0"/>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07249AC9">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2253CB73">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FE"/>
      </w:r>
      <w:r>
        <w:rPr>
          <w:rFonts w:hint="eastAsia" w:ascii="宋体" w:hAnsi="宋体" w:eastAsia="宋体" w:cs="宋体"/>
          <w:iCs/>
          <w:color w:val="auto"/>
          <w:sz w:val="21"/>
          <w:szCs w:val="21"/>
          <w:highlight w:val="none"/>
        </w:rPr>
        <w:t>否</w:t>
      </w:r>
    </w:p>
    <w:p w14:paraId="7835B389">
      <w:pPr>
        <w:numPr>
          <w:ilvl w:val="0"/>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）中标（成交）供应商是否为外商投资企业：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7F54136B">
      <w:pPr>
        <w:pStyle w:val="233"/>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46912E78">
      <w:pPr>
        <w:numPr>
          <w:ilvl w:val="0"/>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159EC78D">
      <w:pPr>
        <w:numPr>
          <w:ilvl w:val="0"/>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14:paraId="5A91EC08">
      <w:pPr>
        <w:numPr>
          <w:ilvl w:val="0"/>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14:paraId="2C02C5E9">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eastAsia="zh-CN"/>
        </w:rPr>
        <w:t>否</w:t>
      </w:r>
    </w:p>
    <w:p w14:paraId="4456F0BF">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1AF32224">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2C91748C">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125037C1">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4D006EF8">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63F78292">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0937EF50">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12C878EC">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3BC329A7">
      <w:pPr>
        <w:pStyle w:val="233"/>
        <w:numPr>
          <w:ilvl w:val="0"/>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4C4FE7A1">
      <w:pPr>
        <w:pStyle w:val="233"/>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14:paraId="54146B91">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4A7E533B">
      <w:pPr>
        <w:pStyle w:val="233"/>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2EC69826">
      <w:pPr>
        <w:numPr>
          <w:ilvl w:val="0"/>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14:paraId="145C1035">
      <w:pPr>
        <w:numPr>
          <w:ilvl w:val="0"/>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不涉及</w:t>
      </w:r>
    </w:p>
    <w:p w14:paraId="4732C454">
      <w:pPr>
        <w:numPr>
          <w:ilvl w:val="0"/>
          <w:numId w:val="2"/>
        </w:numPr>
        <w:adjustRightInd w:val="0"/>
        <w:snapToGrid w:val="0"/>
        <w:spacing w:before="0" w:beforeLines="0" w:line="400" w:lineRule="exact"/>
        <w:ind w:firstLine="422" w:firstLineChars="200"/>
        <w:rPr>
          <w:rFonts w:ascii="宋体" w:hAnsi="宋体"/>
          <w:b/>
          <w:color w:val="auto"/>
          <w:sz w:val="21"/>
          <w:szCs w:val="21"/>
          <w:highlight w:val="none"/>
        </w:rPr>
      </w:pPr>
      <w:r>
        <w:rPr>
          <w:rFonts w:hint="eastAsia" w:ascii="宋体" w:hAnsi="宋体"/>
          <w:b/>
          <w:color w:val="auto"/>
          <w:sz w:val="21"/>
          <w:szCs w:val="21"/>
          <w:highlight w:val="none"/>
        </w:rPr>
        <w:t>合同金额</w:t>
      </w:r>
    </w:p>
    <w:p w14:paraId="3447673F">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（1）合同金额小写：</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u w:val="single"/>
        </w:rPr>
        <w:t xml:space="preserve">      </w:t>
      </w:r>
    </w:p>
    <w:p w14:paraId="2332D7AE">
      <w:pPr>
        <w:adjustRightInd w:val="0"/>
        <w:snapToGrid w:val="0"/>
        <w:spacing w:before="0" w:beforeLines="0" w:line="400" w:lineRule="exact"/>
        <w:ind w:left="0" w:firstLine="0" w:firstLineChars="0"/>
        <w:rPr>
          <w:rFonts w:hint="eastAsia" w:ascii="宋体" w:hAnsi="宋体"/>
          <w:color w:val="auto"/>
          <w:sz w:val="21"/>
          <w:szCs w:val="21"/>
          <w:highlight w:val="none"/>
          <w:u w:val="single"/>
        </w:rPr>
      </w:pP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大写：</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u w:val="single"/>
        </w:rPr>
        <w:t xml:space="preserve">      </w:t>
      </w:r>
    </w:p>
    <w:p w14:paraId="74352D68">
      <w:pPr>
        <w:adjustRightInd w:val="0"/>
        <w:snapToGrid w:val="0"/>
        <w:spacing w:before="0" w:beforeLines="0" w:line="400" w:lineRule="exact"/>
        <w:ind w:firstLine="0" w:firstLineChars="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 xml:space="preserve">    （注：固定单价合同应填写单价和最高限价）</w:t>
      </w:r>
    </w:p>
    <w:p w14:paraId="03F818DF">
      <w:pPr>
        <w:numPr>
          <w:ilvl w:val="0"/>
          <w:numId w:val="0"/>
        </w:numPr>
        <w:adjustRightInd w:val="0"/>
        <w:snapToGrid w:val="0"/>
        <w:spacing w:before="0" w:beforeLines="0" w:line="400" w:lineRule="exact"/>
        <w:ind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lang w:eastAsia="zh-CN"/>
        </w:rPr>
        <w:t>）</w:t>
      </w:r>
      <w:r>
        <w:rPr>
          <w:rFonts w:hint="eastAsia" w:ascii="宋体" w:hAnsi="宋体"/>
          <w:color w:val="auto"/>
          <w:sz w:val="21"/>
          <w:szCs w:val="21"/>
          <w:highlight w:val="none"/>
        </w:rPr>
        <w:t>合同定价方式</w:t>
      </w:r>
      <w:r>
        <w:rPr>
          <w:rFonts w:hint="eastAsia" w:ascii="宋体" w:hAnsi="宋体"/>
          <w:color w:val="auto"/>
          <w:sz w:val="21"/>
          <w:szCs w:val="21"/>
          <w:highlight w:val="none"/>
          <w:lang w:eastAsia="zh-CN"/>
        </w:rPr>
        <w:t>（采用组合定价方式的，可以勾选多项）</w:t>
      </w:r>
      <w:r>
        <w:rPr>
          <w:rFonts w:hint="eastAsia" w:ascii="宋体" w:hAnsi="宋体"/>
          <w:color w:val="auto"/>
          <w:sz w:val="21"/>
          <w:szCs w:val="21"/>
          <w:highlight w:val="none"/>
        </w:rPr>
        <w:t>：</w:t>
      </w:r>
    </w:p>
    <w:p w14:paraId="3F232F78">
      <w:pPr>
        <w:adjustRightInd w:val="0"/>
        <w:snapToGrid w:val="0"/>
        <w:spacing w:before="0" w:beforeLines="0" w:line="400" w:lineRule="exact"/>
        <w:ind w:firstLine="420" w:firstLineChars="200"/>
        <w:rPr>
          <w:rFonts w:hint="eastAsia" w:ascii="宋体" w:hAnsi="宋体" w:eastAsia="宋体"/>
          <w:color w:val="auto"/>
          <w:sz w:val="21"/>
          <w:szCs w:val="21"/>
          <w:highlight w:val="none"/>
          <w:lang w:eastAsia="zh-CN"/>
        </w:rPr>
      </w:pPr>
      <w:r>
        <w:rPr>
          <w:rFonts w:hint="eastAsia" w:ascii="宋体" w:hAnsi="宋体"/>
          <w:iCs/>
          <w:color w:val="auto"/>
          <w:sz w:val="21"/>
          <w:szCs w:val="21"/>
          <w:highlight w:val="none"/>
          <w:lang w:val="en-US" w:eastAsia="zh-CN"/>
        </w:rPr>
        <w:t xml:space="preserve">  </w:t>
      </w:r>
      <w:r>
        <w:rPr>
          <w:rFonts w:hint="eastAsia" w:ascii="宋体" w:hAnsi="宋体"/>
          <w:iCs/>
          <w:color w:val="auto"/>
          <w:sz w:val="21"/>
          <w:szCs w:val="21"/>
          <w:highlight w:val="none"/>
        </w:rPr>
        <w:sym w:font="Wingdings" w:char="00FE"/>
      </w:r>
      <w:r>
        <w:rPr>
          <w:rFonts w:hint="eastAsia" w:ascii="宋体" w:hAnsi="宋体"/>
          <w:iCs/>
          <w:color w:val="auto"/>
          <w:sz w:val="21"/>
          <w:szCs w:val="21"/>
          <w:highlight w:val="none"/>
        </w:rPr>
        <w:t xml:space="preserve">固定总价 </w:t>
      </w:r>
      <w:r>
        <w:rPr>
          <w:rFonts w:hint="eastAsia" w:ascii="宋体" w:hAnsi="宋体"/>
          <w:iCs/>
          <w:color w:val="auto"/>
          <w:sz w:val="21"/>
          <w:szCs w:val="21"/>
          <w:highlight w:val="none"/>
        </w:rPr>
        <w:sym w:font="Wingdings" w:char="00A8"/>
      </w:r>
      <w:r>
        <w:rPr>
          <w:rFonts w:hint="eastAsia" w:ascii="宋体" w:hAnsi="宋体"/>
          <w:iCs/>
          <w:color w:val="auto"/>
          <w:sz w:val="21"/>
          <w:szCs w:val="21"/>
          <w:highlight w:val="none"/>
        </w:rPr>
        <w:t>固定单价</w:t>
      </w:r>
      <w:r>
        <w:rPr>
          <w:rFonts w:hint="eastAsia" w:ascii="宋体" w:hAnsi="宋体"/>
          <w:iCs/>
          <w:color w:val="auto"/>
          <w:sz w:val="21"/>
          <w:szCs w:val="21"/>
          <w:highlight w:val="none"/>
          <w:lang w:val="en-US" w:eastAsia="zh-CN"/>
        </w:rPr>
        <w:t xml:space="preserve"> </w:t>
      </w:r>
      <w:r>
        <w:rPr>
          <w:rFonts w:hint="eastAsia" w:ascii="宋体" w:hAnsi="宋体"/>
          <w:iCs/>
          <w:color w:val="auto"/>
          <w:sz w:val="21"/>
          <w:szCs w:val="21"/>
          <w:highlight w:val="none"/>
        </w:rPr>
        <w:sym w:font="Wingdings" w:char="00A8"/>
      </w:r>
      <w:r>
        <w:rPr>
          <w:rFonts w:hint="eastAsia" w:ascii="宋体" w:hAnsi="宋体"/>
          <w:iCs/>
          <w:color w:val="auto"/>
          <w:sz w:val="21"/>
          <w:szCs w:val="21"/>
          <w:highlight w:val="none"/>
          <w:lang w:eastAsia="zh-CN"/>
        </w:rPr>
        <w:t>固定费率</w:t>
      </w:r>
      <w:r>
        <w:rPr>
          <w:rFonts w:hint="eastAsia" w:ascii="宋体" w:hAnsi="宋体"/>
          <w:iCs/>
          <w:color w:val="auto"/>
          <w:sz w:val="21"/>
          <w:szCs w:val="21"/>
          <w:highlight w:val="none"/>
        </w:rPr>
        <w:t xml:space="preserve"> </w:t>
      </w:r>
      <w:r>
        <w:rPr>
          <w:rFonts w:hint="eastAsia" w:ascii="宋体" w:hAnsi="宋体"/>
          <w:iCs/>
          <w:color w:val="auto"/>
          <w:sz w:val="21"/>
          <w:szCs w:val="21"/>
          <w:highlight w:val="none"/>
        </w:rPr>
        <w:sym w:font="Wingdings" w:char="00A8"/>
      </w:r>
      <w:r>
        <w:rPr>
          <w:rFonts w:hint="eastAsia" w:ascii="宋体" w:hAnsi="宋体"/>
          <w:iCs/>
          <w:color w:val="auto"/>
          <w:sz w:val="21"/>
          <w:szCs w:val="21"/>
          <w:highlight w:val="none"/>
        </w:rPr>
        <w:t xml:space="preserve">成本补偿 </w:t>
      </w:r>
      <w:r>
        <w:rPr>
          <w:rFonts w:hint="eastAsia" w:ascii="宋体" w:hAnsi="宋体"/>
          <w:iCs/>
          <w:color w:val="auto"/>
          <w:sz w:val="21"/>
          <w:szCs w:val="21"/>
          <w:highlight w:val="none"/>
        </w:rPr>
        <w:sym w:font="Wingdings" w:char="00A8"/>
      </w:r>
      <w:r>
        <w:rPr>
          <w:rFonts w:hint="eastAsia" w:ascii="宋体" w:hAnsi="宋体"/>
          <w:iCs/>
          <w:color w:val="auto"/>
          <w:sz w:val="21"/>
          <w:szCs w:val="21"/>
          <w:highlight w:val="none"/>
        </w:rPr>
        <w:t>绩效激励</w:t>
      </w:r>
      <w:r>
        <w:rPr>
          <w:rFonts w:hint="eastAsia" w:ascii="宋体" w:hAnsi="宋体"/>
          <w:iCs/>
          <w:color w:val="auto"/>
          <w:sz w:val="21"/>
          <w:szCs w:val="21"/>
          <w:highlight w:val="none"/>
          <w:lang w:val="en-US" w:eastAsia="zh-CN"/>
        </w:rPr>
        <w:t xml:space="preserve"> </w:t>
      </w:r>
      <w:r>
        <w:rPr>
          <w:rFonts w:hint="eastAsia" w:ascii="宋体" w:hAnsi="宋体"/>
          <w:iCs/>
          <w:color w:val="auto"/>
          <w:sz w:val="21"/>
          <w:szCs w:val="21"/>
          <w:highlight w:val="none"/>
        </w:rPr>
        <w:sym w:font="Wingdings" w:char="00A8"/>
      </w:r>
      <w:r>
        <w:rPr>
          <w:rFonts w:hint="eastAsia" w:ascii="宋体" w:hAnsi="宋体"/>
          <w:iCs/>
          <w:color w:val="auto"/>
          <w:sz w:val="21"/>
          <w:szCs w:val="21"/>
          <w:highlight w:val="none"/>
          <w:lang w:eastAsia="zh-CN"/>
        </w:rPr>
        <w:t>其他</w:t>
      </w:r>
      <w:r>
        <w:rPr>
          <w:rFonts w:hint="eastAsia" w:ascii="宋体" w:hAnsi="宋体"/>
          <w:color w:val="auto"/>
          <w:sz w:val="21"/>
          <w:szCs w:val="21"/>
          <w:highlight w:val="none"/>
          <w:u w:val="single"/>
        </w:rPr>
        <w:t xml:space="preserve">       </w:t>
      </w:r>
    </w:p>
    <w:p w14:paraId="069331F5">
      <w:pPr>
        <w:pStyle w:val="95"/>
        <w:spacing w:beforeLines="0" w:line="400" w:lineRule="exact"/>
        <w:rPr>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）付款方式（按项目实际勾选填写）：</w:t>
      </w:r>
    </w:p>
    <w:p w14:paraId="1AB4114B">
      <w:pPr>
        <w:snapToGrid w:val="0"/>
        <w:spacing w:beforeLines="0" w:line="400" w:lineRule="exact"/>
        <w:ind w:firstLine="630" w:firstLineChars="300"/>
        <w:rPr>
          <w:color w:val="auto"/>
          <w:sz w:val="21"/>
          <w:szCs w:val="21"/>
          <w:highlight w:val="none"/>
        </w:rPr>
      </w:pPr>
      <w:r>
        <w:rPr>
          <w:rFonts w:hint="eastAsia" w:ascii="宋体" w:hAnsi="宋体"/>
          <w:color w:val="auto"/>
          <w:sz w:val="21"/>
          <w:szCs w:val="21"/>
          <w:highlight w:val="none"/>
        </w:rPr>
        <w:sym w:font="Wingdings" w:char="00FE"/>
      </w:r>
      <w:r>
        <w:rPr>
          <w:rFonts w:hint="eastAsia" w:ascii="宋体" w:hAnsi="宋体"/>
          <w:color w:val="auto"/>
          <w:sz w:val="21"/>
          <w:szCs w:val="21"/>
          <w:highlight w:val="none"/>
        </w:rPr>
        <w:t>分期付款：</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合同签订后，甲方收到乙方银行保函形式的预付款担保函后(合同总金额的50%，有效期自保函递交之日起不少于三个月)，支付合同总价的50%作为预付款；全部货物安装调试完毕，且经甲方书面验收合格后30日内，乙方向甲方提供符合甲方财务要求的发票，经甲方审核完毕后，甲方向乙方支付剩余合同价款的50%。</w:t>
      </w:r>
      <w:r>
        <w:rPr>
          <w:rFonts w:hint="eastAsia" w:ascii="宋体" w:hAnsi="宋体"/>
          <w:color w:val="auto"/>
          <w:sz w:val="21"/>
          <w:szCs w:val="21"/>
          <w:highlight w:val="none"/>
          <w:u w:val="single"/>
        </w:rPr>
        <w:t xml:space="preserve"> </w:t>
      </w:r>
    </w:p>
    <w:p w14:paraId="2ED85F92">
      <w:pPr>
        <w:numPr>
          <w:ilvl w:val="0"/>
          <w:numId w:val="2"/>
        </w:numPr>
        <w:adjustRightInd w:val="0"/>
        <w:snapToGrid w:val="0"/>
        <w:spacing w:before="0" w:beforeLines="0" w:line="400" w:lineRule="exact"/>
        <w:ind w:firstLine="422" w:firstLineChars="200"/>
        <w:rPr>
          <w:rFonts w:ascii="宋体" w:hAnsi="宋体"/>
          <w:b/>
          <w:bCs w:val="0"/>
          <w:color w:val="auto"/>
          <w:sz w:val="21"/>
          <w:szCs w:val="21"/>
          <w:highlight w:val="none"/>
          <w:u w:val="single"/>
        </w:rPr>
      </w:pPr>
      <w:r>
        <w:rPr>
          <w:rFonts w:hint="eastAsia" w:ascii="宋体" w:hAnsi="宋体"/>
          <w:b/>
          <w:bCs w:val="0"/>
          <w:color w:val="auto"/>
          <w:sz w:val="21"/>
          <w:szCs w:val="21"/>
          <w:highlight w:val="none"/>
        </w:rPr>
        <w:t>合同履行</w:t>
      </w:r>
    </w:p>
    <w:p w14:paraId="0B53858D">
      <w:pPr>
        <w:adjustRightInd w:val="0"/>
        <w:snapToGrid w:val="0"/>
        <w:spacing w:before="0" w:beforeLines="0"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（1）起始日期：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日，完成日期：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w:t>
      </w:r>
    </w:p>
    <w:p w14:paraId="5B0ECFBF">
      <w:pPr>
        <w:adjustRightInd w:val="0"/>
        <w:snapToGrid w:val="0"/>
        <w:spacing w:before="0" w:beforeLines="0" w:line="400" w:lineRule="exact"/>
        <w:ind w:firstLine="420" w:firstLineChars="20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乙方交付时间及</w:t>
      </w:r>
      <w:r>
        <w:rPr>
          <w:rFonts w:hint="eastAsia" w:ascii="宋体" w:hAnsi="宋体" w:cs="宋体"/>
          <w:color w:val="auto"/>
          <w:sz w:val="21"/>
          <w:szCs w:val="21"/>
          <w:highlight w:val="none"/>
          <w:lang w:eastAsia="zh-CN"/>
        </w:rPr>
        <w:t>履约</w:t>
      </w:r>
      <w:r>
        <w:rPr>
          <w:rFonts w:hint="eastAsia" w:ascii="宋体" w:hAnsi="宋体" w:cs="宋体"/>
          <w:color w:val="auto"/>
          <w:sz w:val="21"/>
          <w:szCs w:val="21"/>
          <w:highlight w:val="none"/>
        </w:rPr>
        <w:t>地点</w:t>
      </w:r>
      <w:r>
        <w:rPr>
          <w:rFonts w:hint="eastAsia" w:ascii="宋体" w:hAnsi="宋体" w:cs="宋体"/>
          <w:b w:val="0"/>
          <w:bCs/>
          <w:color w:val="auto"/>
          <w:sz w:val="21"/>
          <w:szCs w:val="21"/>
          <w:highlight w:val="none"/>
        </w:rPr>
        <w:t>：</w:t>
      </w:r>
      <w:r>
        <w:rPr>
          <w:rFonts w:hint="eastAsia" w:ascii="宋体" w:hAnsi="宋体" w:cs="宋体"/>
          <w:color w:val="auto"/>
          <w:sz w:val="21"/>
          <w:szCs w:val="21"/>
          <w:highlight w:val="none"/>
          <w:u w:val="single"/>
        </w:rPr>
        <w:t xml:space="preserve">                             </w:t>
      </w:r>
    </w:p>
    <w:p w14:paraId="767D3740">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216E8A8">
      <w:pPr>
        <w:pStyle w:val="233"/>
        <w:spacing w:beforeLines="0"/>
        <w:rPr>
          <w:rFonts w:hint="eastAsia" w:ascii="宋体" w:hAnsi="宋体" w:eastAsia="宋体" w:cs="宋体"/>
          <w:color w:val="auto"/>
          <w:sz w:val="21"/>
          <w:szCs w:val="21"/>
          <w:highlight w:val="none"/>
          <w:lang w:val="en-US" w:eastAsia="zh-CN"/>
        </w:rPr>
      </w:pPr>
      <w:r>
        <w:rPr>
          <w:rFonts w:hint="eastAsia" w:ascii="宋体" w:hAnsi="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转账或银行保函</w:t>
      </w:r>
      <w:r>
        <w:rPr>
          <w:rFonts w:hint="eastAsia" w:ascii="宋体" w:hAnsi="宋体" w:eastAsia="宋体" w:cs="宋体"/>
          <w:bCs/>
          <w:color w:val="auto"/>
          <w:sz w:val="21"/>
          <w:szCs w:val="21"/>
          <w:highlight w:val="none"/>
          <w:u w:val="single"/>
        </w:rPr>
        <w:t xml:space="preserve">         </w:t>
      </w:r>
    </w:p>
    <w:p w14:paraId="75C6D208">
      <w:pPr>
        <w:pStyle w:val="233"/>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成交价</w:t>
      </w:r>
      <w:r>
        <w:rPr>
          <w:rFonts w:hint="eastAsia" w:ascii="宋体" w:hAnsi="宋体" w:eastAsia="宋体" w:cs="宋体"/>
          <w:bCs/>
          <w:color w:val="auto"/>
          <w:sz w:val="21"/>
          <w:szCs w:val="21"/>
          <w:highlight w:val="none"/>
          <w:u w:val="single"/>
        </w:rPr>
        <w:t>的</w:t>
      </w:r>
      <w:r>
        <w:rPr>
          <w:rFonts w:hint="eastAsia" w:ascii="宋体" w:hAnsi="宋体" w:eastAsia="宋体" w:cs="宋体"/>
          <w:bCs/>
          <w:color w:val="auto"/>
          <w:sz w:val="21"/>
          <w:szCs w:val="21"/>
          <w:highlight w:val="none"/>
          <w:u w:val="single"/>
          <w:lang w:val="en-US" w:eastAsia="zh-CN"/>
        </w:rPr>
        <w:t>10</w:t>
      </w:r>
      <w:r>
        <w:rPr>
          <w:rFonts w:hint="eastAsia" w:ascii="宋体" w:hAnsi="宋体" w:eastAsia="宋体" w:cs="宋体"/>
          <w:bCs/>
          <w:color w:val="auto"/>
          <w:sz w:val="21"/>
          <w:szCs w:val="21"/>
          <w:highlight w:val="none"/>
          <w:u w:val="single"/>
        </w:rPr>
        <w:t xml:space="preserve">%            </w:t>
      </w:r>
    </w:p>
    <w:p w14:paraId="68D925A7">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bCs/>
          <w:color w:val="auto"/>
          <w:sz w:val="21"/>
          <w:szCs w:val="21"/>
          <w:highlight w:val="none"/>
          <w:u w:val="none"/>
          <w:lang w:val="en-US" w:eastAsia="zh-CN"/>
        </w:rPr>
        <w:t xml:space="preserve">    履约担保期限</w:t>
      </w:r>
      <w:r>
        <w:rPr>
          <w:rFonts w:hint="eastAsia" w:ascii="宋体" w:hAnsi="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项目质保期满7个工作日内无息退还     </w:t>
      </w:r>
    </w:p>
    <w:p w14:paraId="648B9C09">
      <w:pPr>
        <w:adjustRightInd w:val="0"/>
        <w:snapToGrid w:val="0"/>
        <w:spacing w:before="0" w:beforeLines="0" w:line="400" w:lineRule="exact"/>
        <w:ind w:firstLine="420" w:firstLineChars="200"/>
        <w:rPr>
          <w:rFonts w:hint="eastAsia" w:ascii="宋体" w:hAnsi="宋体" w:cs="宋体"/>
          <w:bCs/>
          <w:color w:val="auto"/>
          <w:sz w:val="21"/>
          <w:szCs w:val="21"/>
          <w:highlight w:val="none"/>
        </w:rPr>
      </w:pPr>
      <w:r>
        <w:rPr>
          <w:rFonts w:hint="eastAsia" w:ascii="宋体" w:hAnsi="宋体" w:cs="宋体"/>
          <w:bCs/>
          <w:color w:val="auto"/>
          <w:sz w:val="21"/>
          <w:szCs w:val="21"/>
          <w:highlight w:val="none"/>
        </w:rPr>
        <w:t>（4）分期履行要求：</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cs="宋体"/>
          <w:bCs/>
          <w:color w:val="auto"/>
          <w:sz w:val="21"/>
          <w:szCs w:val="21"/>
          <w:highlight w:val="none"/>
          <w:u w:val="single"/>
        </w:rPr>
        <w:t xml:space="preserve"> </w:t>
      </w:r>
    </w:p>
    <w:p w14:paraId="578D2595">
      <w:pPr>
        <w:adjustRightInd w:val="0"/>
        <w:snapToGrid w:val="0"/>
        <w:spacing w:before="0" w:beforeLines="0" w:line="400" w:lineRule="exact"/>
        <w:ind w:firstLine="420" w:firstLineChars="200"/>
        <w:rPr>
          <w:rFonts w:hint="eastAsia" w:ascii="宋体" w:hAnsi="宋体" w:cs="宋体"/>
          <w:color w:val="auto"/>
          <w:sz w:val="21"/>
          <w:szCs w:val="21"/>
          <w:highlight w:val="none"/>
          <w:u w:val="single"/>
        </w:rPr>
      </w:pPr>
      <w:r>
        <w:rPr>
          <w:rFonts w:hint="eastAsia" w:ascii="宋体" w:hAnsi="宋体" w:cs="宋体"/>
          <w:bCs/>
          <w:color w:val="auto"/>
          <w:sz w:val="21"/>
          <w:szCs w:val="21"/>
          <w:highlight w:val="none"/>
        </w:rPr>
        <w:t>（5）</w:t>
      </w:r>
      <w:r>
        <w:rPr>
          <w:rFonts w:hint="eastAsia" w:ascii="宋体" w:hAnsi="宋体" w:cs="宋体"/>
          <w:bCs/>
          <w:color w:val="auto"/>
          <w:sz w:val="21"/>
          <w:szCs w:val="21"/>
          <w:highlight w:val="none"/>
          <w:lang w:eastAsia="zh-CN"/>
        </w:rPr>
        <w:t>风险处置措施和替代方案</w:t>
      </w:r>
      <w:r>
        <w:rPr>
          <w:rFonts w:hint="eastAsia" w:ascii="宋体" w:hAnsi="宋体" w:cs="宋体"/>
          <w:bCs/>
          <w:color w:val="auto"/>
          <w:sz w:val="21"/>
          <w:szCs w:val="21"/>
          <w:highlight w:val="none"/>
        </w:rPr>
        <w:t>：</w:t>
      </w:r>
      <w:r>
        <w:rPr>
          <w:rFonts w:hint="eastAsia" w:ascii="宋体" w:hAnsi="宋体" w:cs="宋体"/>
          <w:color w:val="auto"/>
          <w:sz w:val="21"/>
          <w:szCs w:val="21"/>
          <w:highlight w:val="none"/>
          <w:u w:val="single"/>
        </w:rPr>
        <w:t xml:space="preserve">                                    </w:t>
      </w:r>
    </w:p>
    <w:p w14:paraId="1978608B">
      <w:pPr>
        <w:numPr>
          <w:ilvl w:val="0"/>
          <w:numId w:val="2"/>
        </w:numPr>
        <w:adjustRightInd w:val="0"/>
        <w:snapToGrid w:val="0"/>
        <w:spacing w:before="0" w:beforeLines="0" w:line="400" w:lineRule="exact"/>
        <w:ind w:firstLine="422" w:firstLineChars="200"/>
        <w:rPr>
          <w:rFonts w:ascii="宋体" w:hAnsi="宋体"/>
          <w:b/>
          <w:color w:val="auto"/>
          <w:sz w:val="21"/>
          <w:szCs w:val="21"/>
          <w:highlight w:val="none"/>
        </w:rPr>
      </w:pPr>
      <w:r>
        <w:rPr>
          <w:rFonts w:hint="eastAsia" w:ascii="宋体" w:hAnsi="宋体"/>
          <w:b/>
          <w:color w:val="auto"/>
          <w:sz w:val="21"/>
          <w:szCs w:val="21"/>
          <w:highlight w:val="none"/>
        </w:rPr>
        <w:t>合同验收</w:t>
      </w:r>
    </w:p>
    <w:p w14:paraId="55681A2A">
      <w:pPr>
        <w:numPr>
          <w:ilvl w:val="0"/>
          <w:numId w:val="4"/>
        </w:numPr>
        <w:adjustRightInd w:val="0"/>
        <w:snapToGrid w:val="0"/>
        <w:spacing w:before="0" w:beforeLines="0" w:line="400" w:lineRule="exac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验收组织方式：</w:t>
      </w:r>
      <w:r>
        <w:rPr>
          <w:rFonts w:hint="eastAsia" w:ascii="宋体" w:hAnsi="宋体" w:eastAsia="宋体" w:cs="宋体"/>
          <w:color w:val="auto"/>
          <w:sz w:val="21"/>
          <w:szCs w:val="21"/>
          <w:highlight w:val="none"/>
        </w:rPr>
        <w:sym w:font="Wingdings" w:char="00FE"/>
      </w:r>
      <w:r>
        <w:rPr>
          <w:rFonts w:hint="eastAsia" w:ascii="宋体" w:hAnsi="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 w:val="21"/>
          <w:szCs w:val="21"/>
          <w:highlight w:val="none"/>
        </w:rPr>
        <w:t>委托第三方组织</w:t>
      </w:r>
    </w:p>
    <w:p w14:paraId="74D5A8AC">
      <w:pPr>
        <w:numPr>
          <w:ilvl w:val="0"/>
          <w:numId w:val="0"/>
        </w:numPr>
        <w:adjustRightInd w:val="0"/>
        <w:snapToGrid w:val="0"/>
        <w:spacing w:before="0" w:beforeLines="0" w:line="400" w:lineRule="exact"/>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         </w:t>
      </w:r>
      <w:r>
        <w:rPr>
          <w:rFonts w:hint="eastAsia" w:ascii="宋体" w:hAnsi="宋体"/>
          <w:bCs/>
          <w:color w:val="auto"/>
          <w:sz w:val="21"/>
          <w:szCs w:val="21"/>
          <w:highlight w:val="none"/>
        </w:rPr>
        <w:t>验收主体：</w:t>
      </w:r>
      <w:r>
        <w:rPr>
          <w:rFonts w:hint="eastAsia" w:ascii="宋体" w:hAnsi="宋体"/>
          <w:bCs/>
          <w:color w:val="auto"/>
          <w:sz w:val="21"/>
          <w:szCs w:val="21"/>
          <w:highlight w:val="none"/>
          <w:u w:val="single"/>
        </w:rPr>
        <w:t xml:space="preserve">   河南省精神病医院国有资产管理科 </w:t>
      </w:r>
    </w:p>
    <w:p w14:paraId="64F4FCD2">
      <w:pPr>
        <w:adjustRightInd w:val="0"/>
        <w:snapToGrid w:val="0"/>
        <w:spacing w:before="0" w:beforeLines="0" w:line="400" w:lineRule="exact"/>
        <w:ind w:firstLine="0" w:firstLineChars="0"/>
        <w:rPr>
          <w:rFonts w:ascii="宋体" w:hAnsi="宋体"/>
          <w:bCs/>
          <w:color w:val="auto"/>
          <w:sz w:val="21"/>
          <w:szCs w:val="21"/>
          <w:highlight w:val="none"/>
        </w:rPr>
      </w:pPr>
      <w:r>
        <w:rPr>
          <w:rFonts w:hint="eastAsia" w:ascii="宋体" w:hAnsi="宋体"/>
          <w:bCs/>
          <w:color w:val="auto"/>
          <w:sz w:val="21"/>
          <w:szCs w:val="21"/>
          <w:highlight w:val="none"/>
          <w:lang w:val="en-US" w:eastAsia="zh-CN"/>
        </w:rPr>
        <w:t xml:space="preserve">        </w:t>
      </w:r>
      <w:r>
        <w:rPr>
          <w:rFonts w:hint="eastAsia" w:ascii="宋体" w:hAnsi="宋体"/>
          <w:bCs/>
          <w:color w:val="auto"/>
          <w:sz w:val="21"/>
          <w:szCs w:val="21"/>
          <w:highlight w:val="none"/>
        </w:rPr>
        <w:t>是否邀请本项目的其他供应商</w:t>
      </w:r>
      <w:r>
        <w:rPr>
          <w:rFonts w:hint="eastAsia" w:ascii="宋体" w:hAnsi="宋体"/>
          <w:bCs/>
          <w:color w:val="auto"/>
          <w:sz w:val="21"/>
          <w:szCs w:val="21"/>
          <w:highlight w:val="none"/>
          <w:lang w:eastAsia="zh-CN"/>
        </w:rPr>
        <w:t>参加验收</w:t>
      </w:r>
      <w:r>
        <w:rPr>
          <w:rFonts w:hint="eastAsia" w:ascii="宋体" w:hAnsi="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bCs/>
          <w:color w:val="auto"/>
          <w:sz w:val="21"/>
          <w:szCs w:val="21"/>
          <w:highlight w:val="none"/>
        </w:rPr>
        <w:t>否</w:t>
      </w:r>
    </w:p>
    <w:p w14:paraId="02F7D763">
      <w:pPr>
        <w:adjustRightInd w:val="0"/>
        <w:snapToGrid w:val="0"/>
        <w:spacing w:before="0" w:beforeLines="0" w:line="400" w:lineRule="exact"/>
        <w:ind w:firstLine="840" w:firstLineChars="400"/>
        <w:rPr>
          <w:rFonts w:ascii="宋体" w:hAnsi="宋体"/>
          <w:bCs/>
          <w:color w:val="auto"/>
          <w:sz w:val="21"/>
          <w:szCs w:val="21"/>
          <w:highlight w:val="none"/>
        </w:rPr>
      </w:pPr>
      <w:r>
        <w:rPr>
          <w:rFonts w:hint="eastAsia" w:ascii="宋体" w:hAnsi="宋体"/>
          <w:bCs/>
          <w:color w:val="auto"/>
          <w:sz w:val="21"/>
          <w:szCs w:val="21"/>
          <w:highlight w:val="none"/>
        </w:rPr>
        <w:t>是否邀请专家</w:t>
      </w:r>
      <w:r>
        <w:rPr>
          <w:rFonts w:hint="eastAsia" w:ascii="宋体" w:hAnsi="宋体"/>
          <w:bCs/>
          <w:color w:val="auto"/>
          <w:sz w:val="21"/>
          <w:szCs w:val="21"/>
          <w:highlight w:val="none"/>
          <w:lang w:eastAsia="zh-CN"/>
        </w:rPr>
        <w:t>参加验收</w:t>
      </w:r>
      <w:r>
        <w:rPr>
          <w:rFonts w:hint="eastAsia" w:ascii="宋体" w:hAnsi="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bCs/>
          <w:color w:val="auto"/>
          <w:sz w:val="21"/>
          <w:szCs w:val="21"/>
          <w:highlight w:val="none"/>
        </w:rPr>
        <w:t>否</w:t>
      </w:r>
    </w:p>
    <w:p w14:paraId="07EE611B">
      <w:pPr>
        <w:adjustRightInd w:val="0"/>
        <w:snapToGrid w:val="0"/>
        <w:spacing w:before="0" w:beforeLines="0" w:line="400" w:lineRule="exact"/>
        <w:ind w:firstLine="840" w:firstLineChars="400"/>
        <w:rPr>
          <w:rFonts w:ascii="宋体" w:hAnsi="宋体"/>
          <w:bCs/>
          <w:color w:val="auto"/>
          <w:sz w:val="21"/>
          <w:szCs w:val="21"/>
          <w:highlight w:val="none"/>
        </w:rPr>
      </w:pPr>
      <w:r>
        <w:rPr>
          <w:rFonts w:hint="eastAsia" w:ascii="宋体" w:hAnsi="宋体"/>
          <w:bCs/>
          <w:color w:val="auto"/>
          <w:sz w:val="21"/>
          <w:szCs w:val="21"/>
          <w:highlight w:val="none"/>
        </w:rPr>
        <w:t>是否邀请服务对象</w:t>
      </w:r>
      <w:r>
        <w:rPr>
          <w:rFonts w:hint="eastAsia" w:ascii="宋体" w:hAnsi="宋体"/>
          <w:bCs/>
          <w:color w:val="auto"/>
          <w:sz w:val="21"/>
          <w:szCs w:val="21"/>
          <w:highlight w:val="none"/>
          <w:lang w:eastAsia="zh-CN"/>
        </w:rPr>
        <w:t>参加验收</w:t>
      </w:r>
      <w:r>
        <w:rPr>
          <w:rFonts w:hint="eastAsia" w:ascii="宋体" w:hAnsi="宋体"/>
          <w:bCs/>
          <w:color w:val="auto"/>
          <w:sz w:val="21"/>
          <w:szCs w:val="21"/>
          <w:highlight w:val="none"/>
        </w:rPr>
        <w:t>：</w:t>
      </w:r>
      <w:r>
        <w:rPr>
          <w:rFonts w:hint="eastAsia" w:ascii="宋体" w:hAnsi="宋体" w:eastAsia="宋体" w:cs="宋体"/>
          <w:color w:val="auto"/>
          <w:sz w:val="21"/>
          <w:szCs w:val="21"/>
          <w:highlight w:val="none"/>
        </w:rPr>
        <w:sym w:font="Wingdings" w:char="00FE"/>
      </w:r>
      <w:r>
        <w:rPr>
          <w:rFonts w:hint="eastAsia" w:ascii="宋体" w:hAnsi="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 w:val="21"/>
          <w:szCs w:val="21"/>
          <w:highlight w:val="none"/>
        </w:rPr>
        <w:t>否</w:t>
      </w:r>
    </w:p>
    <w:p w14:paraId="638882B3">
      <w:pPr>
        <w:adjustRightInd w:val="0"/>
        <w:snapToGrid w:val="0"/>
        <w:spacing w:before="0" w:beforeLines="0" w:line="400" w:lineRule="exact"/>
        <w:ind w:firstLine="840" w:firstLineChars="400"/>
        <w:rPr>
          <w:rFonts w:ascii="宋体" w:hAnsi="宋体"/>
          <w:bCs/>
          <w:color w:val="auto"/>
          <w:sz w:val="21"/>
          <w:szCs w:val="21"/>
          <w:highlight w:val="none"/>
        </w:rPr>
      </w:pPr>
      <w:r>
        <w:rPr>
          <w:rFonts w:hint="eastAsia" w:ascii="宋体" w:hAnsi="宋体"/>
          <w:bCs/>
          <w:color w:val="auto"/>
          <w:sz w:val="21"/>
          <w:szCs w:val="21"/>
          <w:highlight w:val="none"/>
        </w:rPr>
        <w:t>是否邀请第三方检测机构</w:t>
      </w:r>
      <w:r>
        <w:rPr>
          <w:rFonts w:hint="eastAsia" w:ascii="宋体" w:hAnsi="宋体"/>
          <w:bCs/>
          <w:color w:val="auto"/>
          <w:sz w:val="21"/>
          <w:szCs w:val="21"/>
          <w:highlight w:val="none"/>
          <w:lang w:eastAsia="zh-CN"/>
        </w:rPr>
        <w:t>参加验收</w:t>
      </w:r>
      <w:r>
        <w:rPr>
          <w:rFonts w:hint="eastAsia" w:ascii="宋体" w:hAnsi="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bCs/>
          <w:color w:val="auto"/>
          <w:sz w:val="21"/>
          <w:szCs w:val="21"/>
          <w:highlight w:val="none"/>
        </w:rPr>
        <w:t>否</w:t>
      </w:r>
    </w:p>
    <w:p w14:paraId="3711018E">
      <w:pPr>
        <w:adjustRightInd w:val="0"/>
        <w:snapToGrid w:val="0"/>
        <w:spacing w:before="0" w:beforeLines="0" w:line="400" w:lineRule="exact"/>
        <w:ind w:firstLine="840" w:firstLineChars="400"/>
        <w:rPr>
          <w:rFonts w:hint="eastAsia" w:ascii="宋体" w:hAnsi="宋体"/>
          <w:bCs/>
          <w:color w:val="auto"/>
          <w:sz w:val="21"/>
          <w:szCs w:val="21"/>
          <w:highlight w:val="none"/>
        </w:rPr>
      </w:pPr>
      <w:r>
        <w:rPr>
          <w:rFonts w:hint="eastAsia" w:ascii="宋体" w:hAnsi="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 w:val="21"/>
          <w:szCs w:val="21"/>
          <w:highlight w:val="none"/>
        </w:rPr>
        <w:t>是</w:t>
      </w:r>
      <w:r>
        <w:rPr>
          <w:rFonts w:hint="eastAsia" w:ascii="宋体" w:hAnsi="宋体"/>
          <w:bCs/>
          <w:color w:val="auto"/>
          <w:sz w:val="21"/>
          <w:szCs w:val="21"/>
          <w:highlight w:val="none"/>
          <w:lang w:eastAsia="zh-CN"/>
        </w:rPr>
        <w:t>，抽查比例：</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u w:val="single"/>
          <w:lang w:val="en-US" w:eastAsia="zh-CN"/>
        </w:rPr>
        <w:t xml:space="preserve">     </w:t>
      </w:r>
      <w:r>
        <w:rPr>
          <w:rFonts w:hint="eastAsia" w:ascii="宋体" w:hAnsi="宋体"/>
          <w:bCs/>
          <w:color w:val="auto"/>
          <w:sz w:val="21"/>
          <w:szCs w:val="21"/>
          <w:highlight w:val="none"/>
        </w:rPr>
        <w:t xml:space="preserve"> </w:t>
      </w:r>
      <w:r>
        <w:rPr>
          <w:rFonts w:hint="eastAsia" w:ascii="宋体" w:hAnsi="宋体" w:eastAsia="宋体" w:cs="宋体"/>
          <w:color w:val="auto"/>
          <w:sz w:val="21"/>
          <w:szCs w:val="21"/>
          <w:highlight w:val="none"/>
        </w:rPr>
        <w:sym w:font="Wingdings" w:char="00FE"/>
      </w:r>
      <w:r>
        <w:rPr>
          <w:rFonts w:hint="eastAsia" w:ascii="宋体" w:hAnsi="宋体"/>
          <w:bCs/>
          <w:color w:val="auto"/>
          <w:sz w:val="21"/>
          <w:szCs w:val="21"/>
          <w:highlight w:val="none"/>
        </w:rPr>
        <w:t>否</w:t>
      </w:r>
    </w:p>
    <w:p w14:paraId="79EB0FC1">
      <w:pPr>
        <w:adjustRightInd w:val="0"/>
        <w:snapToGrid w:val="0"/>
        <w:spacing w:before="0" w:beforeLines="0" w:line="400" w:lineRule="exact"/>
        <w:ind w:firstLine="840" w:firstLineChars="400"/>
        <w:rPr>
          <w:rFonts w:hint="eastAsia" w:ascii="宋体" w:hAnsi="宋体" w:eastAsia="宋体"/>
          <w:bCs/>
          <w:color w:val="auto"/>
          <w:sz w:val="21"/>
          <w:szCs w:val="21"/>
          <w:highlight w:val="none"/>
          <w:u w:val="single"/>
          <w:lang w:eastAsia="zh-CN"/>
        </w:rPr>
      </w:pPr>
      <w:r>
        <w:rPr>
          <w:rFonts w:hint="eastAsia" w:ascii="宋体" w:hAnsi="宋体" w:eastAsia="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 w:val="21"/>
          <w:szCs w:val="21"/>
          <w:highlight w:val="none"/>
        </w:rPr>
        <w:t>是</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u w:val="single"/>
          <w:lang w:eastAsia="zh-CN"/>
        </w:rPr>
        <w:t>（应明确对被破坏的检测产品的处理方式）</w:t>
      </w:r>
    </w:p>
    <w:p w14:paraId="5F3BB596">
      <w:pPr>
        <w:adjustRightInd w:val="0"/>
        <w:snapToGrid w:val="0"/>
        <w:spacing w:before="0" w:beforeLines="0" w:line="400" w:lineRule="exact"/>
        <w:ind w:firstLine="840" w:firstLineChars="4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FE"/>
      </w:r>
      <w:r>
        <w:rPr>
          <w:rFonts w:hint="eastAsia" w:ascii="宋体" w:hAnsi="宋体" w:eastAsia="宋体"/>
          <w:bCs/>
          <w:color w:val="auto"/>
          <w:sz w:val="21"/>
          <w:szCs w:val="21"/>
          <w:highlight w:val="none"/>
        </w:rPr>
        <w:t>否</w:t>
      </w:r>
    </w:p>
    <w:p w14:paraId="1A0EAFBB">
      <w:pPr>
        <w:adjustRightInd w:val="0"/>
        <w:snapToGrid w:val="0"/>
        <w:spacing w:before="0" w:beforeLines="0" w:line="400" w:lineRule="exact"/>
        <w:ind w:firstLine="840" w:firstLineChars="400"/>
        <w:rPr>
          <w:rFonts w:hint="eastAsia" w:ascii="宋体" w:hAnsi="宋体"/>
          <w:bCs/>
          <w:color w:val="auto"/>
          <w:sz w:val="21"/>
          <w:szCs w:val="21"/>
          <w:highlight w:val="none"/>
          <w:u w:val="single"/>
        </w:rPr>
      </w:pPr>
      <w:r>
        <w:rPr>
          <w:rFonts w:hint="eastAsia" w:ascii="宋体" w:hAnsi="宋体"/>
          <w:bCs/>
          <w:color w:val="auto"/>
          <w:sz w:val="21"/>
          <w:szCs w:val="21"/>
          <w:highlight w:val="none"/>
        </w:rPr>
        <w:t>验收组织的其他事项：</w:t>
      </w:r>
      <w:r>
        <w:rPr>
          <w:rFonts w:hint="eastAsia" w:ascii="宋体" w:hAnsi="宋体"/>
          <w:bCs/>
          <w:color w:val="auto"/>
          <w:sz w:val="21"/>
          <w:szCs w:val="21"/>
          <w:highlight w:val="none"/>
          <w:u w:val="single"/>
        </w:rPr>
        <w:t xml:space="preserve">                </w:t>
      </w:r>
    </w:p>
    <w:p w14:paraId="06649DE9">
      <w:pPr>
        <w:adjustRightInd w:val="0"/>
        <w:snapToGrid w:val="0"/>
        <w:spacing w:before="0" w:beforeLines="0" w:line="400" w:lineRule="exact"/>
        <w:ind w:firstLine="420" w:firstLineChars="200"/>
        <w:rPr>
          <w:rFonts w:hint="eastAsia" w:ascii="宋体" w:hAnsi="宋体"/>
          <w:bCs/>
          <w:color w:val="auto"/>
          <w:sz w:val="21"/>
          <w:szCs w:val="21"/>
          <w:highlight w:val="none"/>
          <w:u w:val="single"/>
        </w:rPr>
      </w:pPr>
      <w:r>
        <w:rPr>
          <w:rFonts w:hint="eastAsia" w:ascii="宋体" w:hAnsi="宋体"/>
          <w:bCs/>
          <w:color w:val="auto"/>
          <w:sz w:val="21"/>
          <w:szCs w:val="21"/>
          <w:highlight w:val="none"/>
        </w:rPr>
        <w:t>（2）履约验收时间：</w:t>
      </w:r>
      <w:r>
        <w:rPr>
          <w:rFonts w:hint="eastAsia" w:ascii="宋体" w:hAnsi="宋体"/>
          <w:bCs/>
          <w:color w:val="auto"/>
          <w:sz w:val="21"/>
          <w:szCs w:val="21"/>
          <w:highlight w:val="none"/>
          <w:u w:val="single"/>
        </w:rPr>
        <w:t>（计划于何时验收/供应商提出验收申请之日起</w:t>
      </w:r>
      <w:r>
        <w:rPr>
          <w:rFonts w:hint="eastAsia" w:ascii="宋体" w:hAnsi="宋体"/>
          <w:bCs/>
          <w:color w:val="auto"/>
          <w:sz w:val="21"/>
          <w:szCs w:val="21"/>
          <w:highlight w:val="none"/>
          <w:u w:val="single"/>
          <w:lang w:val="en-US" w:eastAsia="zh-CN"/>
        </w:rPr>
        <w:t>7</w:t>
      </w:r>
      <w:r>
        <w:rPr>
          <w:rFonts w:hint="eastAsia" w:ascii="宋体" w:hAnsi="宋体"/>
          <w:bCs/>
          <w:color w:val="auto"/>
          <w:sz w:val="21"/>
          <w:szCs w:val="21"/>
          <w:highlight w:val="none"/>
          <w:u w:val="single"/>
        </w:rPr>
        <w:t>日内组织验收）</w:t>
      </w:r>
      <w:r>
        <w:rPr>
          <w:rFonts w:hint="eastAsia" w:ascii="宋体" w:hAnsi="宋体"/>
          <w:bCs/>
          <w:color w:val="auto"/>
          <w:sz w:val="21"/>
          <w:szCs w:val="21"/>
          <w:highlight w:val="none"/>
          <w:u w:val="single"/>
          <w:lang w:val="en-US" w:eastAsia="zh-CN"/>
        </w:rPr>
        <w:t xml:space="preserve"> </w:t>
      </w:r>
    </w:p>
    <w:p w14:paraId="79E9B923">
      <w:pPr>
        <w:adjustRightInd w:val="0"/>
        <w:snapToGrid w:val="0"/>
        <w:spacing w:before="0" w:beforeLines="0" w:line="400" w:lineRule="exact"/>
        <w:ind w:firstLine="420" w:firstLineChars="200"/>
        <w:rPr>
          <w:rFonts w:hint="eastAsia" w:ascii="宋体" w:hAnsi="宋体"/>
          <w:bCs/>
          <w:color w:val="auto"/>
          <w:sz w:val="21"/>
          <w:szCs w:val="21"/>
          <w:highlight w:val="none"/>
        </w:rPr>
      </w:pPr>
      <w:r>
        <w:rPr>
          <w:rFonts w:hint="eastAsia" w:ascii="宋体" w:hAnsi="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 w:val="21"/>
          <w:szCs w:val="21"/>
          <w:highlight w:val="none"/>
        </w:rPr>
        <w:t xml:space="preserve">一次性验收         </w:t>
      </w:r>
    </w:p>
    <w:p w14:paraId="1C5D2B59">
      <w:pPr>
        <w:adjustRightInd w:val="0"/>
        <w:snapToGrid w:val="0"/>
        <w:spacing w:before="0" w:beforeLines="0" w:line="400" w:lineRule="exact"/>
        <w:ind w:firstLine="0" w:firstLineChars="0"/>
        <w:rPr>
          <w:rFonts w:hint="eastAsia"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FE"/>
      </w:r>
      <w:r>
        <w:rPr>
          <w:rFonts w:hint="eastAsia" w:ascii="宋体" w:hAnsi="宋体"/>
          <w:bCs/>
          <w:color w:val="auto"/>
          <w:sz w:val="21"/>
          <w:szCs w:val="21"/>
          <w:highlight w:val="none"/>
        </w:rPr>
        <w:t>分期/分项验收</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u w:val="single"/>
          <w:lang w:eastAsia="zh-CN"/>
        </w:rPr>
        <w:t>（</w:t>
      </w:r>
      <w:r>
        <w:rPr>
          <w:rFonts w:hint="eastAsia" w:ascii="宋体" w:hAnsi="宋体"/>
          <w:bCs/>
          <w:color w:val="auto"/>
          <w:sz w:val="21"/>
          <w:szCs w:val="21"/>
          <w:highlight w:val="none"/>
          <w:u w:val="single"/>
          <w:lang w:val="en-US" w:eastAsia="zh-CN"/>
        </w:rPr>
        <w:t>设备到货后，由医学装备部组织相关部门进行初验。安装调试运行后，国有资产管理科根据初验结果，组织相关科室验收。</w:t>
      </w:r>
      <w:r>
        <w:rPr>
          <w:rFonts w:hint="eastAsia" w:ascii="宋体" w:hAnsi="宋体"/>
          <w:bCs/>
          <w:color w:val="auto"/>
          <w:sz w:val="21"/>
          <w:szCs w:val="21"/>
          <w:highlight w:val="none"/>
          <w:u w:val="single"/>
          <w:lang w:eastAsia="zh-CN"/>
        </w:rPr>
        <w:t>）</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u w:val="single"/>
          <w:lang w:val="en-US" w:eastAsia="zh-CN"/>
        </w:rPr>
        <w:t xml:space="preserve"> </w:t>
      </w:r>
    </w:p>
    <w:p w14:paraId="3E289335">
      <w:pPr>
        <w:adjustRightInd w:val="0"/>
        <w:snapToGrid w:val="0"/>
        <w:spacing w:before="0" w:beforeLines="0" w:line="400" w:lineRule="exact"/>
        <w:ind w:firstLine="420" w:firstLineChars="200"/>
        <w:rPr>
          <w:rFonts w:ascii="宋体" w:hAnsi="宋体"/>
          <w:bCs/>
          <w:color w:val="auto"/>
          <w:sz w:val="21"/>
          <w:szCs w:val="21"/>
          <w:highlight w:val="none"/>
        </w:rPr>
      </w:pPr>
      <w:r>
        <w:rPr>
          <w:rFonts w:hint="eastAsia" w:ascii="宋体" w:hAnsi="宋体"/>
          <w:bCs/>
          <w:color w:val="auto"/>
          <w:sz w:val="21"/>
          <w:szCs w:val="21"/>
          <w:highlight w:val="none"/>
        </w:rPr>
        <w:t>（4）履约验收程序：</w:t>
      </w:r>
      <w:r>
        <w:rPr>
          <w:rFonts w:hint="eastAsia" w:ascii="宋体" w:hAnsi="宋体"/>
          <w:bCs/>
          <w:color w:val="auto"/>
          <w:sz w:val="21"/>
          <w:szCs w:val="21"/>
          <w:highlight w:val="none"/>
          <w:u w:val="single"/>
        </w:rPr>
        <w:t xml:space="preserve">                                         </w:t>
      </w:r>
    </w:p>
    <w:p w14:paraId="387B9EE3">
      <w:pPr>
        <w:adjustRightInd w:val="0"/>
        <w:snapToGrid w:val="0"/>
        <w:spacing w:before="0" w:beforeLines="0" w:line="400" w:lineRule="exact"/>
        <w:ind w:firstLine="420" w:firstLineChars="200"/>
        <w:rPr>
          <w:rFonts w:ascii="宋体" w:hAnsi="宋体"/>
          <w:bCs/>
          <w:color w:val="auto"/>
          <w:sz w:val="21"/>
          <w:szCs w:val="21"/>
          <w:highlight w:val="none"/>
          <w:u w:val="single"/>
        </w:rPr>
      </w:pPr>
      <w:r>
        <w:rPr>
          <w:rFonts w:hint="eastAsia" w:ascii="宋体" w:hAnsi="宋体"/>
          <w:bCs/>
          <w:color w:val="auto"/>
          <w:sz w:val="21"/>
          <w:szCs w:val="21"/>
          <w:highlight w:val="none"/>
        </w:rPr>
        <w:t>（5）履约验收的内容：</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 w:val="21"/>
          <w:szCs w:val="21"/>
          <w:highlight w:val="none"/>
          <w:u w:val="single"/>
        </w:rPr>
        <w:t xml:space="preserve">                                      </w:t>
      </w:r>
    </w:p>
    <w:p w14:paraId="5A9909A9">
      <w:pPr>
        <w:adjustRightInd w:val="0"/>
        <w:snapToGrid w:val="0"/>
        <w:spacing w:before="0" w:beforeLines="0" w:line="400" w:lineRule="exact"/>
        <w:ind w:firstLine="420" w:firstLineChars="200"/>
        <w:rPr>
          <w:rFonts w:hint="eastAsia" w:ascii="宋体" w:hAnsi="宋体"/>
          <w:bCs/>
          <w:color w:val="auto"/>
          <w:sz w:val="21"/>
          <w:szCs w:val="21"/>
          <w:highlight w:val="none"/>
          <w:u w:val="single"/>
        </w:rPr>
      </w:pPr>
      <w:r>
        <w:rPr>
          <w:rFonts w:hint="eastAsia" w:ascii="宋体" w:hAnsi="宋体"/>
          <w:bCs/>
          <w:color w:val="auto"/>
          <w:sz w:val="21"/>
          <w:szCs w:val="21"/>
          <w:highlight w:val="none"/>
        </w:rPr>
        <w:t>（6）履约验收标准：</w:t>
      </w:r>
      <w:r>
        <w:rPr>
          <w:rFonts w:hint="eastAsia" w:ascii="宋体" w:hAnsi="宋体"/>
          <w:bCs/>
          <w:color w:val="auto"/>
          <w:sz w:val="21"/>
          <w:szCs w:val="21"/>
          <w:highlight w:val="none"/>
          <w:u w:val="single"/>
        </w:rPr>
        <w:t xml:space="preserve">                                         </w:t>
      </w:r>
    </w:p>
    <w:p w14:paraId="457EE2D4">
      <w:pPr>
        <w:pStyle w:val="233"/>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1E959F2E">
      <w:pPr>
        <w:adjustRightInd w:val="0"/>
        <w:snapToGrid w:val="0"/>
        <w:spacing w:before="0" w:beforeLines="0" w:line="400" w:lineRule="exact"/>
        <w:ind w:firstLine="420" w:firstLineChars="200"/>
        <w:rPr>
          <w:rFonts w:hint="eastAsia" w:ascii="宋体" w:hAnsi="宋体" w:cs="宋体"/>
          <w:bCs/>
          <w:color w:val="auto"/>
          <w:sz w:val="21"/>
          <w:szCs w:val="21"/>
          <w:highlight w:val="none"/>
          <w:u w:val="single"/>
        </w:rPr>
      </w:pPr>
      <w:r>
        <w:rPr>
          <w:rFonts w:hint="eastAsia" w:ascii="宋体" w:hAnsi="宋体" w:cs="宋体"/>
          <w:bCs/>
          <w:color w:val="auto"/>
          <w:sz w:val="21"/>
          <w:szCs w:val="21"/>
          <w:highlight w:val="none"/>
        </w:rPr>
        <w:t>（8）履约验收其他事项：</w:t>
      </w:r>
      <w:r>
        <w:rPr>
          <w:rFonts w:hint="eastAsia" w:ascii="宋体" w:hAnsi="宋体" w:cs="宋体"/>
          <w:bCs/>
          <w:color w:val="auto"/>
          <w:sz w:val="21"/>
          <w:szCs w:val="21"/>
          <w:highlight w:val="none"/>
          <w:u w:val="single"/>
        </w:rPr>
        <w:t xml:space="preserve">      </w:t>
      </w:r>
      <w:r>
        <w:rPr>
          <w:rFonts w:hint="eastAsia" w:ascii="宋体" w:hAnsi="宋体" w:cs="宋体"/>
          <w:bCs/>
          <w:i w:val="0"/>
          <w:iCs w:val="0"/>
          <w:color w:val="auto"/>
          <w:sz w:val="21"/>
          <w:szCs w:val="21"/>
          <w:highlight w:val="none"/>
          <w:u w:val="single"/>
        </w:rPr>
        <w:t>（产权过户登记等）</w:t>
      </w:r>
      <w:r>
        <w:rPr>
          <w:rFonts w:hint="eastAsia" w:ascii="宋体" w:hAnsi="宋体" w:cs="宋体"/>
          <w:bCs/>
          <w:color w:val="auto"/>
          <w:sz w:val="21"/>
          <w:szCs w:val="21"/>
          <w:highlight w:val="none"/>
          <w:u w:val="single"/>
        </w:rPr>
        <w:t xml:space="preserve">          </w:t>
      </w:r>
    </w:p>
    <w:p w14:paraId="121864BD">
      <w:pPr>
        <w:numPr>
          <w:ilvl w:val="0"/>
          <w:numId w:val="2"/>
        </w:numPr>
        <w:adjustRightInd w:val="0"/>
        <w:snapToGrid w:val="0"/>
        <w:spacing w:before="0" w:beforeLines="0" w:line="400" w:lineRule="exact"/>
        <w:ind w:firstLine="422" w:firstLineChars="200"/>
        <w:rPr>
          <w:rFonts w:hint="eastAsia" w:ascii="宋体" w:hAnsi="宋体"/>
          <w:b/>
          <w:color w:val="auto"/>
          <w:sz w:val="21"/>
          <w:szCs w:val="21"/>
          <w:highlight w:val="none"/>
        </w:rPr>
      </w:pPr>
      <w:r>
        <w:rPr>
          <w:rFonts w:hint="eastAsia" w:ascii="宋体" w:hAnsi="宋体"/>
          <w:b/>
          <w:color w:val="auto"/>
          <w:sz w:val="21"/>
          <w:szCs w:val="21"/>
          <w:highlight w:val="none"/>
        </w:rPr>
        <w:t>组成合同的文件</w:t>
      </w:r>
    </w:p>
    <w:p w14:paraId="2C3CE89F">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本协议书与下列文件一起构成合同文件，如下述文件之间有任何抵触、矛盾或歧义，应按以下顺序解释：</w:t>
      </w:r>
    </w:p>
    <w:p w14:paraId="76FE63E2">
      <w:pPr>
        <w:adjustRightInd w:val="0"/>
        <w:snapToGrid w:val="0"/>
        <w:spacing w:before="0" w:beforeLines="0" w:line="400" w:lineRule="exact"/>
        <w:ind w:firstLine="420" w:firstLineChars="200"/>
        <w:rPr>
          <w:rFonts w:hint="eastAsia" w:ascii="宋体" w:hAnsi="宋体"/>
          <w:color w:val="auto"/>
          <w:sz w:val="21"/>
          <w:szCs w:val="21"/>
          <w:highlight w:val="none"/>
          <w:lang w:eastAsia="zh-CN"/>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政府采购</w:t>
      </w:r>
      <w:r>
        <w:rPr>
          <w:rFonts w:hint="eastAsia" w:ascii="宋体" w:hAnsi="宋体"/>
          <w:color w:val="auto"/>
          <w:sz w:val="21"/>
          <w:szCs w:val="21"/>
          <w:highlight w:val="none"/>
        </w:rPr>
        <w:t>合同协议书及其变更、补充</w:t>
      </w:r>
      <w:r>
        <w:rPr>
          <w:rFonts w:hint="eastAsia" w:ascii="宋体" w:hAnsi="宋体"/>
          <w:color w:val="auto"/>
          <w:sz w:val="21"/>
          <w:szCs w:val="21"/>
          <w:highlight w:val="none"/>
          <w:lang w:eastAsia="zh-CN"/>
        </w:rPr>
        <w:t>协议</w:t>
      </w:r>
    </w:p>
    <w:p w14:paraId="6919BAEC">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）政府采购合同专用条款</w:t>
      </w:r>
    </w:p>
    <w:p w14:paraId="20BD6FAE">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）政府采购合同通用条款</w:t>
      </w:r>
    </w:p>
    <w:p w14:paraId="5ACA2717">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）中标</w:t>
      </w:r>
      <w:r>
        <w:rPr>
          <w:rFonts w:hint="eastAsia" w:ascii="宋体" w:hAnsi="宋体"/>
          <w:color w:val="auto"/>
          <w:sz w:val="21"/>
          <w:szCs w:val="21"/>
          <w:highlight w:val="none"/>
          <w:lang w:eastAsia="zh-CN"/>
        </w:rPr>
        <w:t>（成交）</w:t>
      </w:r>
      <w:r>
        <w:rPr>
          <w:rFonts w:hint="eastAsia" w:ascii="宋体" w:hAnsi="宋体"/>
          <w:color w:val="auto"/>
          <w:sz w:val="21"/>
          <w:szCs w:val="21"/>
          <w:highlight w:val="none"/>
        </w:rPr>
        <w:t>通知书</w:t>
      </w:r>
    </w:p>
    <w:p w14:paraId="1C1601E6">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）投标（响应）文件</w:t>
      </w:r>
    </w:p>
    <w:p w14:paraId="110A63DB">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（6）采购文件</w:t>
      </w:r>
    </w:p>
    <w:p w14:paraId="7C03C9E8">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（7）有关技术文件，图纸</w:t>
      </w:r>
    </w:p>
    <w:p w14:paraId="2916D12D">
      <w:pPr>
        <w:pStyle w:val="233"/>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713F4A29">
      <w:pPr>
        <w:numPr>
          <w:ilvl w:val="0"/>
          <w:numId w:val="2"/>
        </w:numPr>
        <w:adjustRightInd w:val="0"/>
        <w:snapToGrid w:val="0"/>
        <w:spacing w:before="0" w:beforeLines="0" w:line="400" w:lineRule="exact"/>
        <w:ind w:firstLine="422" w:firstLineChars="200"/>
        <w:rPr>
          <w:rFonts w:hint="eastAsia" w:ascii="宋体" w:hAnsi="宋体"/>
          <w:b/>
          <w:color w:val="auto"/>
          <w:sz w:val="21"/>
          <w:szCs w:val="21"/>
          <w:highlight w:val="none"/>
        </w:rPr>
      </w:pPr>
      <w:r>
        <w:rPr>
          <w:rFonts w:hint="eastAsia" w:ascii="宋体" w:hAnsi="宋体"/>
          <w:b/>
          <w:color w:val="auto"/>
          <w:sz w:val="21"/>
          <w:szCs w:val="21"/>
          <w:highlight w:val="none"/>
        </w:rPr>
        <w:t>合同生效</w:t>
      </w:r>
    </w:p>
    <w:p w14:paraId="27C81683">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本合同自</w:t>
      </w:r>
      <w:r>
        <w:rPr>
          <w:rFonts w:hint="eastAsia" w:ascii="宋体" w:hAnsi="宋体"/>
          <w:color w:val="auto"/>
          <w:sz w:val="21"/>
          <w:szCs w:val="21"/>
          <w:highlight w:val="none"/>
          <w:u w:val="single"/>
        </w:rPr>
        <w:t xml:space="preserve">    双方签字盖章之日起   </w:t>
      </w:r>
      <w:r>
        <w:rPr>
          <w:rFonts w:hint="eastAsia" w:ascii="宋体" w:hAnsi="宋体"/>
          <w:color w:val="auto"/>
          <w:sz w:val="21"/>
          <w:szCs w:val="21"/>
          <w:highlight w:val="none"/>
        </w:rPr>
        <w:t>生效。</w:t>
      </w:r>
    </w:p>
    <w:p w14:paraId="138A5EDF">
      <w:pPr>
        <w:numPr>
          <w:ilvl w:val="0"/>
          <w:numId w:val="2"/>
        </w:numPr>
        <w:adjustRightInd w:val="0"/>
        <w:snapToGrid w:val="0"/>
        <w:spacing w:before="0" w:beforeLines="0" w:line="400" w:lineRule="exact"/>
        <w:ind w:firstLine="422" w:firstLineChars="200"/>
        <w:rPr>
          <w:rFonts w:hint="eastAsia" w:ascii="宋体" w:hAnsi="宋体"/>
          <w:b/>
          <w:color w:val="auto"/>
          <w:sz w:val="21"/>
          <w:szCs w:val="21"/>
          <w:highlight w:val="none"/>
        </w:rPr>
      </w:pPr>
      <w:r>
        <w:rPr>
          <w:rFonts w:hint="eastAsia" w:ascii="宋体" w:hAnsi="宋体"/>
          <w:b/>
          <w:color w:val="auto"/>
          <w:sz w:val="21"/>
          <w:szCs w:val="21"/>
          <w:highlight w:val="none"/>
        </w:rPr>
        <w:t>合同份数</w:t>
      </w:r>
    </w:p>
    <w:p w14:paraId="0DE10D6A">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本合同一式</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陆</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份，</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执</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肆</w:t>
      </w:r>
      <w:r>
        <w:rPr>
          <w:rFonts w:hint="eastAsia" w:ascii="宋体" w:hAnsi="宋体"/>
          <w:color w:val="auto"/>
          <w:sz w:val="21"/>
          <w:szCs w:val="21"/>
          <w:highlight w:val="none"/>
        </w:rPr>
        <w:t>份，</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执</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贰</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份，均具有同等法律效力。</w:t>
      </w:r>
    </w:p>
    <w:p w14:paraId="111D834F">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合同订立时间：</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年</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月</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日</w:t>
      </w:r>
    </w:p>
    <w:p w14:paraId="735348B1">
      <w:pPr>
        <w:adjustRightInd w:val="0"/>
        <w:snapToGrid w:val="0"/>
        <w:spacing w:before="0" w:beforeLines="0"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合同订立地点：</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河南省精神病医院</w:t>
      </w:r>
      <w:r>
        <w:rPr>
          <w:rFonts w:hint="eastAsia" w:ascii="宋体" w:hAnsi="宋体"/>
          <w:color w:val="auto"/>
          <w:sz w:val="21"/>
          <w:szCs w:val="21"/>
          <w:highlight w:val="none"/>
          <w:u w:val="single"/>
        </w:rPr>
        <w:t xml:space="preserve">  </w:t>
      </w:r>
    </w:p>
    <w:p w14:paraId="0128C11D">
      <w:pPr>
        <w:adjustRightInd w:val="0"/>
        <w:snapToGrid w:val="0"/>
        <w:spacing w:before="0" w:beforeLines="0" w:line="400" w:lineRule="exact"/>
        <w:ind w:firstLine="420" w:firstLineChars="200"/>
        <w:rPr>
          <w:color w:val="auto"/>
          <w:sz w:val="21"/>
          <w:szCs w:val="21"/>
          <w:highlight w:val="none"/>
        </w:rPr>
      </w:pPr>
      <w:r>
        <w:rPr>
          <w:rFonts w:hint="eastAsia" w:ascii="宋体" w:hAnsi="宋体"/>
          <w:color w:val="auto"/>
          <w:sz w:val="21"/>
          <w:szCs w:val="21"/>
          <w:highlight w:val="none"/>
        </w:rPr>
        <w:t>附件：具体标</w:t>
      </w:r>
      <w:r>
        <w:rPr>
          <w:rFonts w:hint="eastAsia" w:ascii="宋体" w:hAnsi="宋体"/>
          <w:color w:val="auto"/>
          <w:sz w:val="21"/>
          <w:szCs w:val="21"/>
          <w:highlight w:val="none"/>
          <w:lang w:eastAsia="zh-CN"/>
        </w:rPr>
        <w:t>的及其</w:t>
      </w:r>
      <w:r>
        <w:rPr>
          <w:rFonts w:hint="eastAsia" w:ascii="宋体" w:hAnsi="宋体"/>
          <w:color w:val="auto"/>
          <w:sz w:val="21"/>
          <w:szCs w:val="21"/>
          <w:highlight w:val="none"/>
          <w:u w:val="none"/>
          <w:lang w:val="en-US" w:eastAsia="zh-CN"/>
        </w:rPr>
        <w:t>技术要求和商务要求</w:t>
      </w:r>
      <w:r>
        <w:rPr>
          <w:rFonts w:hint="eastAsia" w:ascii="宋体" w:hAnsi="宋体"/>
          <w:color w:val="auto"/>
          <w:sz w:val="21"/>
          <w:szCs w:val="21"/>
          <w:highlight w:val="none"/>
        </w:rPr>
        <w:t>、联合协议、分包</w:t>
      </w:r>
      <w:r>
        <w:rPr>
          <w:rFonts w:hint="eastAsia" w:ascii="宋体" w:hAnsi="宋体"/>
          <w:color w:val="auto"/>
          <w:sz w:val="21"/>
          <w:szCs w:val="21"/>
          <w:highlight w:val="none"/>
          <w:lang w:eastAsia="zh-CN"/>
        </w:rPr>
        <w:t>意向</w:t>
      </w:r>
      <w:r>
        <w:rPr>
          <w:rFonts w:hint="eastAsia" w:ascii="宋体" w:hAnsi="宋体"/>
          <w:color w:val="auto"/>
          <w:sz w:val="21"/>
          <w:szCs w:val="21"/>
          <w:highlight w:val="none"/>
        </w:rPr>
        <w:t>协议等。</w:t>
      </w:r>
    </w:p>
    <w:p w14:paraId="696C8E88">
      <w:pPr>
        <w:pStyle w:val="95"/>
        <w:rPr>
          <w:rFonts w:hint="eastAsia"/>
          <w:color w:val="auto"/>
          <w:sz w:val="21"/>
          <w:szCs w:val="21"/>
          <w:highlight w:val="none"/>
        </w:rPr>
      </w:pPr>
    </w:p>
    <w:tbl>
      <w:tblPr>
        <w:tblStyle w:val="38"/>
        <w:tblW w:w="4925"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41"/>
        <w:gridCol w:w="2645"/>
        <w:gridCol w:w="2155"/>
        <w:gridCol w:w="2312"/>
      </w:tblGrid>
      <w:tr w14:paraId="69F602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0" w:type="pct"/>
            <w:gridSpan w:val="2"/>
            <w:tcBorders>
              <w:bottom w:val="single" w:color="auto" w:sz="2" w:space="0"/>
              <w:right w:val="single" w:color="auto" w:sz="2" w:space="0"/>
            </w:tcBorders>
            <w:noWrap w:val="0"/>
            <w:vAlign w:val="center"/>
          </w:tcPr>
          <w:p w14:paraId="7897D6E7">
            <w:pPr>
              <w:adjustRightInd w:val="0"/>
              <w:snapToGrid w:val="0"/>
              <w:spacing w:line="300" w:lineRule="exact"/>
              <w:jc w:val="center"/>
              <w:rPr>
                <w:color w:val="auto"/>
                <w:sz w:val="21"/>
                <w:szCs w:val="21"/>
                <w:highlight w:val="none"/>
              </w:rPr>
            </w:pPr>
            <w:r>
              <w:rPr>
                <w:color w:val="auto"/>
                <w:sz w:val="21"/>
                <w:szCs w:val="21"/>
                <w:highlight w:val="none"/>
              </w:rPr>
              <w:t>甲方</w:t>
            </w:r>
            <w:r>
              <w:rPr>
                <w:rFonts w:hint="eastAsia"/>
                <w:color w:val="auto"/>
                <w:sz w:val="21"/>
                <w:szCs w:val="21"/>
                <w:highlight w:val="none"/>
              </w:rPr>
              <w:t>（采购人</w:t>
            </w:r>
            <w:r>
              <w:rPr>
                <w:rFonts w:hint="eastAsia" w:ascii="宋体" w:hAnsi="宋体"/>
                <w:color w:val="auto"/>
                <w:sz w:val="21"/>
                <w:szCs w:val="21"/>
                <w:highlight w:val="none"/>
                <w:lang w:eastAsia="zh-CN"/>
              </w:rPr>
              <w:t>、受采购人委托签订合同的单位</w:t>
            </w:r>
            <w:r>
              <w:rPr>
                <w:rFonts w:hint="eastAsia" w:ascii="宋体" w:hAnsi="宋体"/>
                <w:color w:val="auto"/>
                <w:sz w:val="21"/>
                <w:szCs w:val="21"/>
                <w:highlight w:val="none"/>
              </w:rPr>
              <w:t>或</w:t>
            </w:r>
            <w:r>
              <w:rPr>
                <w:rFonts w:hint="eastAsia"/>
                <w:color w:val="auto"/>
                <w:sz w:val="21"/>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4F04BBB2">
            <w:pPr>
              <w:adjustRightInd w:val="0"/>
              <w:snapToGrid w:val="0"/>
              <w:spacing w:line="300" w:lineRule="exact"/>
              <w:jc w:val="center"/>
              <w:rPr>
                <w:color w:val="auto"/>
                <w:sz w:val="21"/>
                <w:szCs w:val="21"/>
                <w:highlight w:val="none"/>
              </w:rPr>
            </w:pPr>
            <w:r>
              <w:rPr>
                <w:color w:val="auto"/>
                <w:sz w:val="21"/>
                <w:szCs w:val="21"/>
                <w:highlight w:val="none"/>
              </w:rPr>
              <w:t>乙方</w:t>
            </w:r>
            <w:r>
              <w:rPr>
                <w:rFonts w:hint="eastAsia"/>
                <w:color w:val="auto"/>
                <w:sz w:val="21"/>
                <w:szCs w:val="21"/>
                <w:highlight w:val="none"/>
              </w:rPr>
              <w:t>（供应商）</w:t>
            </w:r>
          </w:p>
        </w:tc>
      </w:tr>
      <w:tr w14:paraId="10D60E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15" w:type="pct"/>
            <w:tcBorders>
              <w:top w:val="single" w:color="auto" w:sz="2" w:space="0"/>
              <w:bottom w:val="single" w:color="auto" w:sz="2" w:space="0"/>
              <w:right w:val="single" w:color="auto" w:sz="2" w:space="0"/>
            </w:tcBorders>
            <w:noWrap w:val="0"/>
            <w:vAlign w:val="center"/>
          </w:tcPr>
          <w:p w14:paraId="481DA505">
            <w:pPr>
              <w:adjustRightInd w:val="0"/>
              <w:snapToGrid w:val="0"/>
              <w:spacing w:line="300" w:lineRule="exact"/>
              <w:jc w:val="center"/>
              <w:rPr>
                <w:color w:val="auto"/>
                <w:sz w:val="21"/>
                <w:szCs w:val="21"/>
                <w:highlight w:val="none"/>
              </w:rPr>
            </w:pPr>
            <w:r>
              <w:rPr>
                <w:color w:val="auto"/>
                <w:sz w:val="21"/>
                <w:szCs w:val="21"/>
                <w:highlight w:val="none"/>
              </w:rPr>
              <w:t>单位名称</w:t>
            </w:r>
            <w:r>
              <w:rPr>
                <w:rFonts w:hint="eastAsia"/>
                <w:color w:val="auto"/>
                <w:sz w:val="21"/>
                <w:szCs w:val="21"/>
                <w:highlight w:val="none"/>
              </w:rPr>
              <w:t>（公章</w:t>
            </w:r>
            <w:r>
              <w:rPr>
                <w:rFonts w:hint="eastAsia"/>
                <w:color w:val="auto"/>
                <w:sz w:val="21"/>
                <w:szCs w:val="21"/>
                <w:highlight w:val="none"/>
                <w:lang w:eastAsia="zh-CN"/>
              </w:rPr>
              <w:t>或合同章</w:t>
            </w:r>
            <w:r>
              <w:rPr>
                <w:rFonts w:hint="eastAsia"/>
                <w:color w:val="auto"/>
                <w:sz w:val="21"/>
                <w:szCs w:val="21"/>
                <w:highlight w:val="none"/>
              </w:rPr>
              <w:t>）</w:t>
            </w:r>
          </w:p>
        </w:tc>
        <w:tc>
          <w:tcPr>
            <w:tcW w:w="1445" w:type="pct"/>
            <w:tcBorders>
              <w:top w:val="single" w:color="auto" w:sz="2" w:space="0"/>
              <w:left w:val="single" w:color="auto" w:sz="2" w:space="0"/>
              <w:bottom w:val="single" w:color="auto" w:sz="2" w:space="0"/>
              <w:right w:val="single" w:color="auto" w:sz="2" w:space="0"/>
            </w:tcBorders>
            <w:noWrap w:val="0"/>
            <w:vAlign w:val="center"/>
          </w:tcPr>
          <w:p w14:paraId="7B06C864">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6A10568">
            <w:pPr>
              <w:adjustRightInd w:val="0"/>
              <w:snapToGrid w:val="0"/>
              <w:spacing w:line="300" w:lineRule="exact"/>
              <w:jc w:val="center"/>
              <w:rPr>
                <w:color w:val="auto"/>
                <w:sz w:val="21"/>
                <w:szCs w:val="21"/>
                <w:highlight w:val="none"/>
              </w:rPr>
            </w:pPr>
            <w:r>
              <w:rPr>
                <w:color w:val="auto"/>
                <w:sz w:val="21"/>
                <w:szCs w:val="21"/>
                <w:highlight w:val="none"/>
              </w:rPr>
              <w:t>单位名称</w:t>
            </w:r>
            <w:r>
              <w:rPr>
                <w:rFonts w:hint="eastAsia"/>
                <w:color w:val="auto"/>
                <w:sz w:val="21"/>
                <w:szCs w:val="21"/>
                <w:highlight w:val="none"/>
              </w:rPr>
              <w:t>（公章</w:t>
            </w:r>
            <w:r>
              <w:rPr>
                <w:rFonts w:hint="eastAsia"/>
                <w:color w:val="auto"/>
                <w:sz w:val="21"/>
                <w:szCs w:val="21"/>
                <w:highlight w:val="none"/>
                <w:lang w:eastAsia="zh-CN"/>
              </w:rPr>
              <w:t>或合同章</w:t>
            </w:r>
            <w:r>
              <w:rPr>
                <w:rFonts w:hint="eastAsia"/>
                <w:color w:val="auto"/>
                <w:sz w:val="21"/>
                <w:szCs w:val="21"/>
                <w:highlight w:val="none"/>
              </w:rPr>
              <w:t>）</w:t>
            </w:r>
          </w:p>
        </w:tc>
        <w:tc>
          <w:tcPr>
            <w:tcW w:w="1261" w:type="pct"/>
            <w:tcBorders>
              <w:top w:val="single" w:color="auto" w:sz="2" w:space="0"/>
              <w:left w:val="single" w:color="auto" w:sz="2" w:space="0"/>
              <w:bottom w:val="single" w:color="auto" w:sz="2" w:space="0"/>
            </w:tcBorders>
            <w:noWrap w:val="0"/>
            <w:vAlign w:val="center"/>
          </w:tcPr>
          <w:p w14:paraId="1C5915B7">
            <w:pPr>
              <w:adjustRightInd w:val="0"/>
              <w:snapToGrid w:val="0"/>
              <w:spacing w:line="300" w:lineRule="exact"/>
              <w:jc w:val="center"/>
              <w:rPr>
                <w:color w:val="auto"/>
                <w:spacing w:val="20"/>
                <w:sz w:val="21"/>
                <w:szCs w:val="21"/>
                <w:highlight w:val="none"/>
              </w:rPr>
            </w:pPr>
          </w:p>
        </w:tc>
      </w:tr>
      <w:tr w14:paraId="3CC915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15" w:type="pct"/>
            <w:vMerge w:val="restart"/>
            <w:tcBorders>
              <w:top w:val="single" w:color="auto" w:sz="2" w:space="0"/>
              <w:right w:val="single" w:color="auto" w:sz="2" w:space="0"/>
            </w:tcBorders>
            <w:noWrap w:val="0"/>
            <w:vAlign w:val="center"/>
          </w:tcPr>
          <w:p w14:paraId="4D99DE18">
            <w:pPr>
              <w:adjustRightInd w:val="0"/>
              <w:snapToGrid w:val="0"/>
              <w:spacing w:line="300" w:lineRule="exact"/>
              <w:jc w:val="center"/>
              <w:rPr>
                <w:color w:val="auto"/>
                <w:sz w:val="21"/>
                <w:szCs w:val="21"/>
                <w:highlight w:val="none"/>
              </w:rPr>
            </w:pPr>
            <w:r>
              <w:rPr>
                <w:color w:val="auto"/>
                <w:sz w:val="21"/>
                <w:szCs w:val="21"/>
                <w:highlight w:val="none"/>
              </w:rPr>
              <w:t>法定代表人</w:t>
            </w:r>
          </w:p>
          <w:p w14:paraId="77B5EECB">
            <w:pPr>
              <w:adjustRightInd w:val="0"/>
              <w:snapToGrid w:val="0"/>
              <w:spacing w:line="300" w:lineRule="exact"/>
              <w:ind w:firstLine="100" w:firstLineChars="48"/>
              <w:jc w:val="center"/>
              <w:rPr>
                <w:color w:val="auto"/>
                <w:sz w:val="21"/>
                <w:szCs w:val="21"/>
                <w:highlight w:val="none"/>
              </w:rPr>
            </w:pPr>
            <w:r>
              <w:rPr>
                <w:rFonts w:hint="eastAsia"/>
                <w:color w:val="auto"/>
                <w:sz w:val="21"/>
                <w:szCs w:val="21"/>
                <w:highlight w:val="none"/>
              </w:rPr>
              <w:t>或其</w:t>
            </w:r>
            <w:r>
              <w:rPr>
                <w:color w:val="auto"/>
                <w:sz w:val="21"/>
                <w:szCs w:val="21"/>
                <w:highlight w:val="none"/>
              </w:rPr>
              <w:t>委托代理人</w:t>
            </w:r>
            <w:r>
              <w:rPr>
                <w:rFonts w:hint="eastAsia"/>
                <w:color w:val="auto"/>
                <w:sz w:val="21"/>
                <w:szCs w:val="21"/>
                <w:highlight w:val="none"/>
              </w:rPr>
              <w:t>（签章）</w:t>
            </w:r>
          </w:p>
        </w:tc>
        <w:tc>
          <w:tcPr>
            <w:tcW w:w="1445" w:type="pct"/>
            <w:vMerge w:val="restart"/>
            <w:tcBorders>
              <w:top w:val="single" w:color="auto" w:sz="2" w:space="0"/>
              <w:left w:val="single" w:color="auto" w:sz="2" w:space="0"/>
              <w:right w:val="single" w:color="auto" w:sz="2" w:space="0"/>
            </w:tcBorders>
            <w:noWrap w:val="0"/>
            <w:vAlign w:val="center"/>
          </w:tcPr>
          <w:p w14:paraId="13C50881">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right w:val="single" w:color="auto" w:sz="2" w:space="0"/>
            </w:tcBorders>
            <w:noWrap w:val="0"/>
            <w:vAlign w:val="center"/>
          </w:tcPr>
          <w:p w14:paraId="36E0715A">
            <w:pPr>
              <w:adjustRightInd w:val="0"/>
              <w:snapToGrid w:val="0"/>
              <w:spacing w:line="300" w:lineRule="exact"/>
              <w:jc w:val="center"/>
              <w:rPr>
                <w:color w:val="auto"/>
                <w:sz w:val="21"/>
                <w:szCs w:val="21"/>
                <w:highlight w:val="none"/>
              </w:rPr>
            </w:pPr>
            <w:r>
              <w:rPr>
                <w:color w:val="auto"/>
                <w:sz w:val="21"/>
                <w:szCs w:val="21"/>
                <w:highlight w:val="none"/>
              </w:rPr>
              <w:t>法定代表人</w:t>
            </w:r>
          </w:p>
          <w:p w14:paraId="652D9306">
            <w:pPr>
              <w:adjustRightInd w:val="0"/>
              <w:snapToGrid w:val="0"/>
              <w:spacing w:line="300" w:lineRule="exact"/>
              <w:jc w:val="center"/>
              <w:rPr>
                <w:color w:val="auto"/>
                <w:sz w:val="21"/>
                <w:szCs w:val="21"/>
                <w:highlight w:val="none"/>
              </w:rPr>
            </w:pPr>
            <w:r>
              <w:rPr>
                <w:rFonts w:hint="eastAsia"/>
                <w:color w:val="auto"/>
                <w:sz w:val="21"/>
                <w:szCs w:val="21"/>
                <w:highlight w:val="none"/>
              </w:rPr>
              <w:t>或其</w:t>
            </w:r>
            <w:r>
              <w:rPr>
                <w:color w:val="auto"/>
                <w:sz w:val="21"/>
                <w:szCs w:val="21"/>
                <w:highlight w:val="none"/>
              </w:rPr>
              <w:t>委托代理人</w:t>
            </w:r>
            <w:r>
              <w:rPr>
                <w:rFonts w:hint="eastAsia"/>
                <w:color w:val="auto"/>
                <w:sz w:val="21"/>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2CBA6F1D">
            <w:pPr>
              <w:adjustRightInd w:val="0"/>
              <w:snapToGrid w:val="0"/>
              <w:spacing w:line="300" w:lineRule="exact"/>
              <w:jc w:val="center"/>
              <w:rPr>
                <w:color w:val="auto"/>
                <w:sz w:val="21"/>
                <w:szCs w:val="21"/>
                <w:highlight w:val="none"/>
              </w:rPr>
            </w:pPr>
          </w:p>
        </w:tc>
      </w:tr>
      <w:tr w14:paraId="69C489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vMerge w:val="continue"/>
            <w:tcBorders>
              <w:bottom w:val="single" w:color="auto" w:sz="2" w:space="0"/>
              <w:right w:val="single" w:color="auto" w:sz="2" w:space="0"/>
            </w:tcBorders>
            <w:noWrap w:val="0"/>
            <w:vAlign w:val="center"/>
          </w:tcPr>
          <w:p w14:paraId="7D4F80BE">
            <w:pPr>
              <w:adjustRightInd w:val="0"/>
              <w:snapToGrid w:val="0"/>
              <w:spacing w:line="300" w:lineRule="exact"/>
              <w:jc w:val="center"/>
              <w:rPr>
                <w:color w:val="auto"/>
                <w:sz w:val="21"/>
                <w:szCs w:val="21"/>
                <w:highlight w:val="none"/>
              </w:rPr>
            </w:pPr>
          </w:p>
        </w:tc>
        <w:tc>
          <w:tcPr>
            <w:tcW w:w="1445" w:type="pct"/>
            <w:vMerge w:val="continue"/>
            <w:tcBorders>
              <w:left w:val="single" w:color="auto" w:sz="2" w:space="0"/>
              <w:bottom w:val="single" w:color="auto" w:sz="2" w:space="0"/>
              <w:right w:val="single" w:color="auto" w:sz="2" w:space="0"/>
            </w:tcBorders>
            <w:noWrap w:val="0"/>
            <w:vAlign w:val="center"/>
          </w:tcPr>
          <w:p w14:paraId="41F84459">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A3CF7F7">
            <w:pPr>
              <w:adjustRightInd w:val="0"/>
              <w:snapToGrid w:val="0"/>
              <w:spacing w:line="300" w:lineRule="exact"/>
              <w:jc w:val="center"/>
              <w:rPr>
                <w:rFonts w:hint="eastAsia" w:eastAsia="宋体"/>
                <w:color w:val="auto"/>
                <w:sz w:val="21"/>
                <w:szCs w:val="21"/>
                <w:highlight w:val="none"/>
                <w:lang w:eastAsia="zh-CN"/>
              </w:rPr>
            </w:pPr>
            <w:r>
              <w:rPr>
                <w:rFonts w:hint="eastAsia"/>
                <w:color w:val="auto"/>
                <w:sz w:val="21"/>
                <w:szCs w:val="21"/>
                <w:highlight w:val="none"/>
                <w:lang w:eastAsia="zh-CN"/>
              </w:rPr>
              <w:t>拥有者性别</w:t>
            </w:r>
          </w:p>
        </w:tc>
        <w:tc>
          <w:tcPr>
            <w:tcW w:w="1261" w:type="pct"/>
            <w:tcBorders>
              <w:top w:val="single" w:color="auto" w:sz="2" w:space="0"/>
              <w:left w:val="single" w:color="auto" w:sz="2" w:space="0"/>
              <w:bottom w:val="single" w:color="auto" w:sz="2" w:space="0"/>
            </w:tcBorders>
            <w:noWrap w:val="0"/>
            <w:vAlign w:val="center"/>
          </w:tcPr>
          <w:p w14:paraId="6BFB7949">
            <w:pPr>
              <w:adjustRightInd w:val="0"/>
              <w:snapToGrid w:val="0"/>
              <w:spacing w:line="300" w:lineRule="exact"/>
              <w:jc w:val="center"/>
              <w:rPr>
                <w:color w:val="auto"/>
                <w:spacing w:val="20"/>
                <w:sz w:val="21"/>
                <w:szCs w:val="21"/>
                <w:highlight w:val="none"/>
              </w:rPr>
            </w:pPr>
          </w:p>
        </w:tc>
      </w:tr>
      <w:tr w14:paraId="2A2077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1F393235">
            <w:pPr>
              <w:adjustRightInd w:val="0"/>
              <w:snapToGrid w:val="0"/>
              <w:spacing w:line="300" w:lineRule="exact"/>
              <w:jc w:val="center"/>
              <w:rPr>
                <w:rFonts w:hint="eastAsia" w:eastAsia="宋体"/>
                <w:color w:val="auto"/>
                <w:sz w:val="21"/>
                <w:szCs w:val="21"/>
                <w:highlight w:val="none"/>
                <w:lang w:eastAsia="zh-CN"/>
              </w:rPr>
            </w:pPr>
            <w:r>
              <w:rPr>
                <w:rFonts w:hint="eastAsia"/>
                <w:color w:val="auto"/>
                <w:sz w:val="21"/>
                <w:szCs w:val="21"/>
                <w:highlight w:val="none"/>
                <w:lang w:eastAsia="zh-CN"/>
              </w:rPr>
              <w:t>住</w:t>
            </w:r>
            <w:r>
              <w:rPr>
                <w:rFonts w:hint="eastAsia"/>
                <w:color w:val="auto"/>
                <w:sz w:val="21"/>
                <w:szCs w:val="21"/>
                <w:highlight w:val="none"/>
                <w:lang w:val="en-US" w:eastAsia="zh-CN"/>
              </w:rPr>
              <w:t xml:space="preserve">  </w:t>
            </w:r>
            <w:r>
              <w:rPr>
                <w:rFonts w:hint="eastAsia"/>
                <w:color w:val="auto"/>
                <w:sz w:val="21"/>
                <w:szCs w:val="21"/>
                <w:highlight w:val="none"/>
                <w:lang w:eastAsia="zh-CN"/>
              </w:rPr>
              <w:t>所</w:t>
            </w:r>
          </w:p>
        </w:tc>
        <w:tc>
          <w:tcPr>
            <w:tcW w:w="1445" w:type="pct"/>
            <w:tcBorders>
              <w:top w:val="single" w:color="auto" w:sz="2" w:space="0"/>
              <w:left w:val="single" w:color="auto" w:sz="2" w:space="0"/>
              <w:bottom w:val="single" w:color="auto" w:sz="2" w:space="0"/>
              <w:right w:val="single" w:color="auto" w:sz="2" w:space="0"/>
            </w:tcBorders>
            <w:noWrap w:val="0"/>
            <w:vAlign w:val="center"/>
          </w:tcPr>
          <w:p w14:paraId="555C2DA4">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23B93AD">
            <w:pPr>
              <w:adjustRightInd w:val="0"/>
              <w:snapToGrid w:val="0"/>
              <w:spacing w:line="300" w:lineRule="exact"/>
              <w:jc w:val="center"/>
              <w:rPr>
                <w:rFonts w:hint="eastAsia" w:eastAsia="宋体"/>
                <w:color w:val="auto"/>
                <w:sz w:val="21"/>
                <w:szCs w:val="21"/>
                <w:highlight w:val="none"/>
                <w:lang w:eastAsia="zh-CN"/>
              </w:rPr>
            </w:pPr>
            <w:r>
              <w:rPr>
                <w:rFonts w:hint="eastAsia"/>
                <w:color w:val="auto"/>
                <w:sz w:val="21"/>
                <w:szCs w:val="21"/>
                <w:highlight w:val="none"/>
                <w:lang w:eastAsia="zh-CN"/>
              </w:rPr>
              <w:t>住</w:t>
            </w:r>
            <w:r>
              <w:rPr>
                <w:rFonts w:hint="eastAsia"/>
                <w:color w:val="auto"/>
                <w:sz w:val="21"/>
                <w:szCs w:val="21"/>
                <w:highlight w:val="none"/>
                <w:lang w:val="en-US" w:eastAsia="zh-CN"/>
              </w:rPr>
              <w:t xml:space="preserve">  </w:t>
            </w:r>
            <w:r>
              <w:rPr>
                <w:rFonts w:hint="eastAsia"/>
                <w:color w:val="auto"/>
                <w:sz w:val="21"/>
                <w:szCs w:val="21"/>
                <w:highlight w:val="none"/>
                <w:lang w:eastAsia="zh-CN"/>
              </w:rPr>
              <w:t>所</w:t>
            </w:r>
          </w:p>
        </w:tc>
        <w:tc>
          <w:tcPr>
            <w:tcW w:w="1261" w:type="pct"/>
            <w:tcBorders>
              <w:top w:val="single" w:color="auto" w:sz="2" w:space="0"/>
              <w:left w:val="single" w:color="auto" w:sz="2" w:space="0"/>
              <w:bottom w:val="single" w:color="auto" w:sz="2" w:space="0"/>
            </w:tcBorders>
            <w:noWrap w:val="0"/>
            <w:vAlign w:val="center"/>
          </w:tcPr>
          <w:p w14:paraId="07BD5B9B">
            <w:pPr>
              <w:adjustRightInd w:val="0"/>
              <w:snapToGrid w:val="0"/>
              <w:spacing w:line="300" w:lineRule="exact"/>
              <w:jc w:val="center"/>
              <w:rPr>
                <w:color w:val="auto"/>
                <w:spacing w:val="20"/>
                <w:sz w:val="21"/>
                <w:szCs w:val="21"/>
                <w:highlight w:val="none"/>
              </w:rPr>
            </w:pPr>
          </w:p>
        </w:tc>
      </w:tr>
      <w:tr w14:paraId="5E4428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0B92AD8A">
            <w:pPr>
              <w:adjustRightInd w:val="0"/>
              <w:snapToGrid w:val="0"/>
              <w:spacing w:line="300" w:lineRule="exact"/>
              <w:jc w:val="center"/>
              <w:rPr>
                <w:color w:val="auto"/>
                <w:sz w:val="21"/>
                <w:szCs w:val="21"/>
                <w:highlight w:val="none"/>
              </w:rPr>
            </w:pPr>
            <w:r>
              <w:rPr>
                <w:color w:val="auto"/>
                <w:sz w:val="21"/>
                <w:szCs w:val="21"/>
                <w:highlight w:val="none"/>
              </w:rPr>
              <w:t>联 系 人</w:t>
            </w:r>
          </w:p>
        </w:tc>
        <w:tc>
          <w:tcPr>
            <w:tcW w:w="1445" w:type="pct"/>
            <w:tcBorders>
              <w:top w:val="single" w:color="auto" w:sz="2" w:space="0"/>
              <w:left w:val="single" w:color="auto" w:sz="2" w:space="0"/>
              <w:bottom w:val="single" w:color="auto" w:sz="2" w:space="0"/>
              <w:right w:val="single" w:color="auto" w:sz="2" w:space="0"/>
            </w:tcBorders>
            <w:noWrap w:val="0"/>
            <w:vAlign w:val="center"/>
          </w:tcPr>
          <w:p w14:paraId="25130018">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A13B2A4">
            <w:pPr>
              <w:adjustRightInd w:val="0"/>
              <w:snapToGrid w:val="0"/>
              <w:spacing w:line="300" w:lineRule="exact"/>
              <w:jc w:val="center"/>
              <w:rPr>
                <w:color w:val="auto"/>
                <w:sz w:val="21"/>
                <w:szCs w:val="21"/>
                <w:highlight w:val="none"/>
              </w:rPr>
            </w:pPr>
            <w:r>
              <w:rPr>
                <w:color w:val="auto"/>
                <w:sz w:val="21"/>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3818C7F2">
            <w:pPr>
              <w:adjustRightInd w:val="0"/>
              <w:snapToGrid w:val="0"/>
              <w:spacing w:line="300" w:lineRule="exact"/>
              <w:jc w:val="center"/>
              <w:rPr>
                <w:color w:val="auto"/>
                <w:spacing w:val="20"/>
                <w:sz w:val="21"/>
                <w:szCs w:val="21"/>
                <w:highlight w:val="none"/>
              </w:rPr>
            </w:pPr>
          </w:p>
        </w:tc>
      </w:tr>
      <w:tr w14:paraId="76BD3B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69091859">
            <w:pPr>
              <w:adjustRightInd w:val="0"/>
              <w:snapToGrid w:val="0"/>
              <w:spacing w:line="300" w:lineRule="exact"/>
              <w:jc w:val="center"/>
              <w:rPr>
                <w:color w:val="auto"/>
                <w:sz w:val="21"/>
                <w:szCs w:val="21"/>
                <w:highlight w:val="none"/>
              </w:rPr>
            </w:pPr>
            <w:r>
              <w:rPr>
                <w:color w:val="auto"/>
                <w:sz w:val="21"/>
                <w:szCs w:val="21"/>
                <w:highlight w:val="none"/>
              </w:rPr>
              <w:t>联系电话</w:t>
            </w:r>
          </w:p>
        </w:tc>
        <w:tc>
          <w:tcPr>
            <w:tcW w:w="1445" w:type="pct"/>
            <w:tcBorders>
              <w:top w:val="single" w:color="auto" w:sz="2" w:space="0"/>
              <w:left w:val="single" w:color="auto" w:sz="2" w:space="0"/>
              <w:bottom w:val="single" w:color="auto" w:sz="2" w:space="0"/>
              <w:right w:val="single" w:color="auto" w:sz="2" w:space="0"/>
            </w:tcBorders>
            <w:noWrap w:val="0"/>
            <w:vAlign w:val="center"/>
          </w:tcPr>
          <w:p w14:paraId="637B9B43">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96EA4A9">
            <w:pPr>
              <w:adjustRightInd w:val="0"/>
              <w:snapToGrid w:val="0"/>
              <w:spacing w:line="300" w:lineRule="exact"/>
              <w:jc w:val="center"/>
              <w:rPr>
                <w:color w:val="auto"/>
                <w:sz w:val="21"/>
                <w:szCs w:val="21"/>
                <w:highlight w:val="none"/>
              </w:rPr>
            </w:pPr>
            <w:r>
              <w:rPr>
                <w:color w:val="auto"/>
                <w:sz w:val="21"/>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0AAFBB1B">
            <w:pPr>
              <w:adjustRightInd w:val="0"/>
              <w:snapToGrid w:val="0"/>
              <w:spacing w:line="300" w:lineRule="exact"/>
              <w:jc w:val="center"/>
              <w:rPr>
                <w:color w:val="auto"/>
                <w:spacing w:val="20"/>
                <w:sz w:val="21"/>
                <w:szCs w:val="21"/>
                <w:highlight w:val="none"/>
              </w:rPr>
            </w:pPr>
          </w:p>
        </w:tc>
      </w:tr>
      <w:tr w14:paraId="2B7EFB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19D1EDDC">
            <w:pPr>
              <w:adjustRightInd w:val="0"/>
              <w:snapToGrid w:val="0"/>
              <w:spacing w:line="300" w:lineRule="exact"/>
              <w:jc w:val="center"/>
              <w:rPr>
                <w:rFonts w:hint="eastAsia" w:eastAsia="宋体"/>
                <w:color w:val="auto"/>
                <w:sz w:val="21"/>
                <w:szCs w:val="21"/>
                <w:highlight w:val="none"/>
                <w:lang w:eastAsia="zh-CN"/>
              </w:rPr>
            </w:pPr>
            <w:r>
              <w:rPr>
                <w:rFonts w:hint="eastAsia"/>
                <w:color w:val="auto"/>
                <w:sz w:val="21"/>
                <w:szCs w:val="21"/>
                <w:highlight w:val="none"/>
                <w:lang w:eastAsia="zh-CN"/>
              </w:rPr>
              <w:t>通信地址</w:t>
            </w:r>
          </w:p>
        </w:tc>
        <w:tc>
          <w:tcPr>
            <w:tcW w:w="1445" w:type="pct"/>
            <w:tcBorders>
              <w:top w:val="single" w:color="auto" w:sz="2" w:space="0"/>
              <w:left w:val="single" w:color="auto" w:sz="2" w:space="0"/>
              <w:bottom w:val="single" w:color="auto" w:sz="2" w:space="0"/>
              <w:right w:val="single" w:color="auto" w:sz="2" w:space="0"/>
            </w:tcBorders>
            <w:noWrap w:val="0"/>
            <w:vAlign w:val="center"/>
          </w:tcPr>
          <w:p w14:paraId="479D3E2F">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BAEDA20">
            <w:pPr>
              <w:adjustRightInd w:val="0"/>
              <w:snapToGrid w:val="0"/>
              <w:spacing w:line="300" w:lineRule="exact"/>
              <w:jc w:val="center"/>
              <w:rPr>
                <w:color w:val="auto"/>
                <w:sz w:val="21"/>
                <w:szCs w:val="21"/>
                <w:highlight w:val="none"/>
              </w:rPr>
            </w:pPr>
            <w:r>
              <w:rPr>
                <w:rFonts w:hint="eastAsia"/>
                <w:color w:val="auto"/>
                <w:sz w:val="21"/>
                <w:szCs w:val="21"/>
                <w:highlight w:val="none"/>
                <w:lang w:eastAsia="zh-CN"/>
              </w:rPr>
              <w:t>通信地址</w:t>
            </w:r>
          </w:p>
        </w:tc>
        <w:tc>
          <w:tcPr>
            <w:tcW w:w="1261" w:type="pct"/>
            <w:tcBorders>
              <w:top w:val="single" w:color="auto" w:sz="2" w:space="0"/>
              <w:left w:val="single" w:color="auto" w:sz="2" w:space="0"/>
              <w:bottom w:val="single" w:color="auto" w:sz="2" w:space="0"/>
            </w:tcBorders>
            <w:noWrap w:val="0"/>
            <w:vAlign w:val="center"/>
          </w:tcPr>
          <w:p w14:paraId="0CCA816B">
            <w:pPr>
              <w:adjustRightInd w:val="0"/>
              <w:snapToGrid w:val="0"/>
              <w:spacing w:line="300" w:lineRule="exact"/>
              <w:jc w:val="center"/>
              <w:rPr>
                <w:color w:val="auto"/>
                <w:spacing w:val="20"/>
                <w:sz w:val="21"/>
                <w:szCs w:val="21"/>
                <w:highlight w:val="none"/>
              </w:rPr>
            </w:pPr>
          </w:p>
        </w:tc>
      </w:tr>
      <w:tr w14:paraId="1B7697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479B31C4">
            <w:pPr>
              <w:adjustRightInd w:val="0"/>
              <w:snapToGrid w:val="0"/>
              <w:spacing w:line="300" w:lineRule="exact"/>
              <w:jc w:val="center"/>
              <w:rPr>
                <w:color w:val="auto"/>
                <w:sz w:val="21"/>
                <w:szCs w:val="21"/>
                <w:highlight w:val="none"/>
              </w:rPr>
            </w:pPr>
            <w:r>
              <w:rPr>
                <w:color w:val="auto"/>
                <w:sz w:val="21"/>
                <w:szCs w:val="21"/>
                <w:highlight w:val="none"/>
              </w:rPr>
              <w:t>邮政编码</w:t>
            </w:r>
          </w:p>
        </w:tc>
        <w:tc>
          <w:tcPr>
            <w:tcW w:w="1445" w:type="pct"/>
            <w:tcBorders>
              <w:top w:val="single" w:color="auto" w:sz="2" w:space="0"/>
              <w:left w:val="single" w:color="auto" w:sz="2" w:space="0"/>
              <w:bottom w:val="single" w:color="auto" w:sz="2" w:space="0"/>
              <w:right w:val="single" w:color="auto" w:sz="2" w:space="0"/>
            </w:tcBorders>
            <w:noWrap w:val="0"/>
            <w:vAlign w:val="center"/>
          </w:tcPr>
          <w:p w14:paraId="7D1A8CD7">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9BFD298">
            <w:pPr>
              <w:adjustRightInd w:val="0"/>
              <w:snapToGrid w:val="0"/>
              <w:spacing w:line="300" w:lineRule="exact"/>
              <w:jc w:val="center"/>
              <w:rPr>
                <w:color w:val="auto"/>
                <w:sz w:val="21"/>
                <w:szCs w:val="21"/>
                <w:highlight w:val="none"/>
              </w:rPr>
            </w:pPr>
            <w:r>
              <w:rPr>
                <w:color w:val="auto"/>
                <w:sz w:val="21"/>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04B8103F">
            <w:pPr>
              <w:adjustRightInd w:val="0"/>
              <w:snapToGrid w:val="0"/>
              <w:spacing w:line="300" w:lineRule="exact"/>
              <w:jc w:val="center"/>
              <w:rPr>
                <w:color w:val="auto"/>
                <w:spacing w:val="20"/>
                <w:sz w:val="21"/>
                <w:szCs w:val="21"/>
                <w:highlight w:val="none"/>
              </w:rPr>
            </w:pPr>
          </w:p>
        </w:tc>
      </w:tr>
      <w:tr w14:paraId="20587F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3DF762AA">
            <w:pPr>
              <w:adjustRightInd w:val="0"/>
              <w:snapToGrid w:val="0"/>
              <w:spacing w:line="300" w:lineRule="exact"/>
              <w:jc w:val="center"/>
              <w:rPr>
                <w:color w:val="auto"/>
                <w:sz w:val="21"/>
                <w:szCs w:val="21"/>
                <w:highlight w:val="none"/>
              </w:rPr>
            </w:pPr>
            <w:r>
              <w:rPr>
                <w:rFonts w:hint="eastAsia"/>
                <w:color w:val="auto"/>
                <w:sz w:val="21"/>
                <w:szCs w:val="21"/>
                <w:highlight w:val="none"/>
              </w:rPr>
              <w:t>电子邮箱</w:t>
            </w:r>
          </w:p>
        </w:tc>
        <w:tc>
          <w:tcPr>
            <w:tcW w:w="1445" w:type="pct"/>
            <w:tcBorders>
              <w:top w:val="single" w:color="auto" w:sz="2" w:space="0"/>
              <w:left w:val="single" w:color="auto" w:sz="2" w:space="0"/>
              <w:bottom w:val="single" w:color="auto" w:sz="2" w:space="0"/>
              <w:right w:val="single" w:color="auto" w:sz="2" w:space="0"/>
            </w:tcBorders>
            <w:noWrap w:val="0"/>
            <w:vAlign w:val="center"/>
          </w:tcPr>
          <w:p w14:paraId="0334F63B">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4EFF42E">
            <w:pPr>
              <w:adjustRightInd w:val="0"/>
              <w:snapToGrid w:val="0"/>
              <w:spacing w:line="300" w:lineRule="exact"/>
              <w:jc w:val="center"/>
              <w:rPr>
                <w:color w:val="auto"/>
                <w:sz w:val="21"/>
                <w:szCs w:val="21"/>
                <w:highlight w:val="none"/>
              </w:rPr>
            </w:pPr>
            <w:r>
              <w:rPr>
                <w:rFonts w:hint="eastAsia"/>
                <w:color w:val="auto"/>
                <w:sz w:val="21"/>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4FBEF07F">
            <w:pPr>
              <w:adjustRightInd w:val="0"/>
              <w:snapToGrid w:val="0"/>
              <w:spacing w:line="300" w:lineRule="exact"/>
              <w:jc w:val="center"/>
              <w:rPr>
                <w:color w:val="auto"/>
                <w:spacing w:val="20"/>
                <w:sz w:val="21"/>
                <w:szCs w:val="21"/>
                <w:highlight w:val="none"/>
              </w:rPr>
            </w:pPr>
          </w:p>
        </w:tc>
      </w:tr>
      <w:tr w14:paraId="42A63E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522C883F">
            <w:pPr>
              <w:adjustRightInd w:val="0"/>
              <w:snapToGrid w:val="0"/>
              <w:spacing w:line="300" w:lineRule="exact"/>
              <w:jc w:val="center"/>
              <w:rPr>
                <w:color w:val="auto"/>
                <w:sz w:val="21"/>
                <w:szCs w:val="21"/>
                <w:highlight w:val="none"/>
              </w:rPr>
            </w:pPr>
            <w:r>
              <w:rPr>
                <w:rFonts w:hint="eastAsia"/>
                <w:color w:val="auto"/>
                <w:sz w:val="21"/>
                <w:szCs w:val="21"/>
                <w:highlight w:val="none"/>
              </w:rPr>
              <w:t>统一社会信用代码</w:t>
            </w:r>
          </w:p>
        </w:tc>
        <w:tc>
          <w:tcPr>
            <w:tcW w:w="1445" w:type="pct"/>
            <w:tcBorders>
              <w:top w:val="single" w:color="auto" w:sz="2" w:space="0"/>
              <w:left w:val="single" w:color="auto" w:sz="2" w:space="0"/>
              <w:bottom w:val="single" w:color="auto" w:sz="2" w:space="0"/>
              <w:right w:val="single" w:color="auto" w:sz="2" w:space="0"/>
            </w:tcBorders>
            <w:noWrap w:val="0"/>
            <w:vAlign w:val="center"/>
          </w:tcPr>
          <w:p w14:paraId="33175853">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125C310">
            <w:pPr>
              <w:adjustRightInd w:val="0"/>
              <w:snapToGrid w:val="0"/>
              <w:spacing w:line="300" w:lineRule="exact"/>
              <w:jc w:val="center"/>
              <w:rPr>
                <w:color w:val="auto"/>
                <w:sz w:val="21"/>
                <w:szCs w:val="21"/>
                <w:highlight w:val="none"/>
              </w:rPr>
            </w:pPr>
            <w:r>
              <w:rPr>
                <w:rFonts w:hint="eastAsia"/>
                <w:color w:val="auto"/>
                <w:sz w:val="21"/>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6898550B">
            <w:pPr>
              <w:adjustRightInd w:val="0"/>
              <w:snapToGrid w:val="0"/>
              <w:spacing w:line="300" w:lineRule="exact"/>
              <w:jc w:val="center"/>
              <w:rPr>
                <w:color w:val="auto"/>
                <w:spacing w:val="20"/>
                <w:sz w:val="21"/>
                <w:szCs w:val="21"/>
                <w:highlight w:val="none"/>
              </w:rPr>
            </w:pPr>
          </w:p>
        </w:tc>
      </w:tr>
      <w:tr w14:paraId="3F04F9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2C48DA26">
            <w:pPr>
              <w:adjustRightInd w:val="0"/>
              <w:snapToGrid w:val="0"/>
              <w:spacing w:line="300" w:lineRule="exact"/>
              <w:jc w:val="center"/>
              <w:rPr>
                <w:color w:val="auto"/>
                <w:sz w:val="21"/>
                <w:szCs w:val="21"/>
                <w:highlight w:val="none"/>
              </w:rPr>
            </w:pPr>
          </w:p>
        </w:tc>
        <w:tc>
          <w:tcPr>
            <w:tcW w:w="1445" w:type="pct"/>
            <w:tcBorders>
              <w:top w:val="single" w:color="auto" w:sz="2" w:space="0"/>
              <w:left w:val="single" w:color="auto" w:sz="2" w:space="0"/>
              <w:bottom w:val="single" w:color="auto" w:sz="2" w:space="0"/>
              <w:right w:val="single" w:color="auto" w:sz="2" w:space="0"/>
            </w:tcBorders>
            <w:noWrap w:val="0"/>
            <w:vAlign w:val="center"/>
          </w:tcPr>
          <w:p w14:paraId="45D2396F">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1B02194">
            <w:pPr>
              <w:adjustRightInd w:val="0"/>
              <w:snapToGrid w:val="0"/>
              <w:spacing w:line="300" w:lineRule="exact"/>
              <w:jc w:val="center"/>
              <w:rPr>
                <w:color w:val="auto"/>
                <w:sz w:val="21"/>
                <w:szCs w:val="21"/>
                <w:highlight w:val="none"/>
              </w:rPr>
            </w:pPr>
            <w:r>
              <w:rPr>
                <w:color w:val="auto"/>
                <w:sz w:val="21"/>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4B8CCD83">
            <w:pPr>
              <w:adjustRightInd w:val="0"/>
              <w:snapToGrid w:val="0"/>
              <w:spacing w:line="300" w:lineRule="exact"/>
              <w:jc w:val="center"/>
              <w:rPr>
                <w:color w:val="auto"/>
                <w:spacing w:val="20"/>
                <w:sz w:val="21"/>
                <w:szCs w:val="21"/>
                <w:highlight w:val="none"/>
              </w:rPr>
            </w:pPr>
          </w:p>
        </w:tc>
      </w:tr>
      <w:tr w14:paraId="6E83EE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4780916D">
            <w:pPr>
              <w:adjustRightInd w:val="0"/>
              <w:snapToGrid w:val="0"/>
              <w:spacing w:line="300" w:lineRule="exact"/>
              <w:jc w:val="center"/>
              <w:rPr>
                <w:color w:val="auto"/>
                <w:sz w:val="21"/>
                <w:szCs w:val="21"/>
                <w:highlight w:val="none"/>
              </w:rPr>
            </w:pPr>
          </w:p>
        </w:tc>
        <w:tc>
          <w:tcPr>
            <w:tcW w:w="1445" w:type="pct"/>
            <w:tcBorders>
              <w:top w:val="single" w:color="auto" w:sz="2" w:space="0"/>
              <w:left w:val="single" w:color="auto" w:sz="2" w:space="0"/>
              <w:bottom w:val="single" w:color="auto" w:sz="2" w:space="0"/>
              <w:right w:val="single" w:color="auto" w:sz="2" w:space="0"/>
            </w:tcBorders>
            <w:noWrap w:val="0"/>
            <w:vAlign w:val="center"/>
          </w:tcPr>
          <w:p w14:paraId="1DC88D06">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DA27D6A">
            <w:pPr>
              <w:adjustRightInd w:val="0"/>
              <w:snapToGrid w:val="0"/>
              <w:spacing w:line="300" w:lineRule="exact"/>
              <w:jc w:val="center"/>
              <w:rPr>
                <w:color w:val="auto"/>
                <w:sz w:val="21"/>
                <w:szCs w:val="21"/>
                <w:highlight w:val="none"/>
              </w:rPr>
            </w:pPr>
            <w:r>
              <w:rPr>
                <w:color w:val="auto"/>
                <w:sz w:val="21"/>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1B049848">
            <w:pPr>
              <w:adjustRightInd w:val="0"/>
              <w:snapToGrid w:val="0"/>
              <w:spacing w:line="300" w:lineRule="exact"/>
              <w:jc w:val="center"/>
              <w:rPr>
                <w:color w:val="auto"/>
                <w:spacing w:val="20"/>
                <w:sz w:val="21"/>
                <w:szCs w:val="21"/>
                <w:highlight w:val="none"/>
              </w:rPr>
            </w:pPr>
          </w:p>
        </w:tc>
      </w:tr>
      <w:tr w14:paraId="661C7B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15" w:type="pct"/>
            <w:tcBorders>
              <w:top w:val="single" w:color="auto" w:sz="2" w:space="0"/>
              <w:bottom w:val="single" w:color="auto" w:sz="2" w:space="0"/>
              <w:right w:val="single" w:color="auto" w:sz="2" w:space="0"/>
            </w:tcBorders>
            <w:noWrap w:val="0"/>
            <w:vAlign w:val="center"/>
          </w:tcPr>
          <w:p w14:paraId="770FA02A">
            <w:pPr>
              <w:adjustRightInd w:val="0"/>
              <w:snapToGrid w:val="0"/>
              <w:spacing w:line="300" w:lineRule="exact"/>
              <w:jc w:val="center"/>
              <w:rPr>
                <w:color w:val="auto"/>
                <w:sz w:val="21"/>
                <w:szCs w:val="21"/>
                <w:highlight w:val="none"/>
              </w:rPr>
            </w:pPr>
          </w:p>
        </w:tc>
        <w:tc>
          <w:tcPr>
            <w:tcW w:w="1445" w:type="pct"/>
            <w:tcBorders>
              <w:top w:val="single" w:color="auto" w:sz="2" w:space="0"/>
              <w:left w:val="single" w:color="auto" w:sz="2" w:space="0"/>
              <w:bottom w:val="single" w:color="auto" w:sz="2" w:space="0"/>
              <w:right w:val="single" w:color="auto" w:sz="2" w:space="0"/>
            </w:tcBorders>
            <w:noWrap w:val="0"/>
            <w:vAlign w:val="center"/>
          </w:tcPr>
          <w:p w14:paraId="34FA5B85">
            <w:pPr>
              <w:adjustRightInd w:val="0"/>
              <w:snapToGrid w:val="0"/>
              <w:spacing w:line="300" w:lineRule="exact"/>
              <w:jc w:val="center"/>
              <w:rPr>
                <w:color w:val="auto"/>
                <w:sz w:val="21"/>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CBF313B">
            <w:pPr>
              <w:adjustRightInd w:val="0"/>
              <w:snapToGrid w:val="0"/>
              <w:spacing w:line="300" w:lineRule="exact"/>
              <w:jc w:val="center"/>
              <w:rPr>
                <w:color w:val="auto"/>
                <w:sz w:val="21"/>
                <w:szCs w:val="21"/>
                <w:highlight w:val="none"/>
              </w:rPr>
            </w:pPr>
            <w:r>
              <w:rPr>
                <w:color w:val="auto"/>
                <w:sz w:val="21"/>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70F5316E">
            <w:pPr>
              <w:adjustRightInd w:val="0"/>
              <w:snapToGrid w:val="0"/>
              <w:spacing w:line="300" w:lineRule="exact"/>
              <w:jc w:val="center"/>
              <w:rPr>
                <w:color w:val="auto"/>
                <w:spacing w:val="20"/>
                <w:sz w:val="21"/>
                <w:szCs w:val="21"/>
                <w:highlight w:val="none"/>
              </w:rPr>
            </w:pPr>
          </w:p>
        </w:tc>
      </w:tr>
      <w:tr w14:paraId="3E47FA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71A8046">
            <w:pPr>
              <w:pStyle w:val="17"/>
              <w:adjustRightInd w:val="0"/>
              <w:snapToGrid w:val="0"/>
              <w:spacing w:before="156" w:beforeLines="50" w:after="0" w:line="360" w:lineRule="auto"/>
              <w:ind w:left="0" w:leftChars="0"/>
              <w:jc w:val="left"/>
              <w:rPr>
                <w:color w:val="auto"/>
                <w:spacing w:val="20"/>
                <w:sz w:val="21"/>
                <w:szCs w:val="21"/>
                <w:highlight w:val="none"/>
              </w:rPr>
            </w:pPr>
            <w:r>
              <w:rPr>
                <w:rFonts w:hint="eastAsia" w:ascii="宋体" w:hAnsi="宋体"/>
                <w:color w:val="auto"/>
                <w:sz w:val="21"/>
                <w:szCs w:val="21"/>
                <w:highlight w:val="none"/>
              </w:rPr>
              <w:t>注：涉及联合体或其他合同主体的信息应按上表格式加列。</w:t>
            </w:r>
          </w:p>
        </w:tc>
      </w:tr>
    </w:tbl>
    <w:p w14:paraId="5DA8EC34">
      <w:pPr>
        <w:pStyle w:val="3"/>
        <w:tabs>
          <w:tab w:val="left" w:pos="576"/>
        </w:tabs>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212" w:name="_Toc13592"/>
      <w:bookmarkStart w:id="213" w:name="_Toc10044"/>
      <w:bookmarkStart w:id="214" w:name="_Toc4835"/>
      <w:r>
        <w:rPr>
          <w:rFonts w:hint="eastAsia" w:ascii="黑体" w:hAnsi="黑体" w:eastAsia="黑体"/>
          <w:b w:val="0"/>
          <w:bCs w:val="0"/>
          <w:color w:val="auto"/>
          <w:sz w:val="28"/>
          <w:szCs w:val="28"/>
          <w:highlight w:val="none"/>
        </w:rPr>
        <w:t>第二节 政府采购合同通用条款</w:t>
      </w:r>
      <w:bookmarkEnd w:id="212"/>
      <w:bookmarkEnd w:id="213"/>
      <w:bookmarkEnd w:id="214"/>
    </w:p>
    <w:p w14:paraId="37F00AB7">
      <w:pPr>
        <w:tabs>
          <w:tab w:val="left" w:pos="8820"/>
          <w:tab w:val="left" w:pos="9345"/>
          <w:tab w:val="left" w:pos="9765"/>
        </w:tabs>
        <w:adjustRightInd w:val="0"/>
        <w:snapToGrid w:val="0"/>
        <w:spacing w:before="0" w:line="400" w:lineRule="exact"/>
        <w:jc w:val="left"/>
        <w:rPr>
          <w:rFonts w:ascii="宋体" w:hAnsi="宋体"/>
          <w:b/>
          <w:bCs/>
          <w:color w:val="auto"/>
          <w:sz w:val="21"/>
          <w:szCs w:val="21"/>
          <w:highlight w:val="none"/>
        </w:rPr>
      </w:pPr>
      <w:r>
        <w:rPr>
          <w:rFonts w:hint="eastAsia" w:ascii="宋体" w:hAnsi="宋体"/>
          <w:b/>
          <w:color w:val="auto"/>
          <w:sz w:val="21"/>
          <w:szCs w:val="21"/>
          <w:highlight w:val="none"/>
        </w:rPr>
        <w:t>1.</w:t>
      </w:r>
      <w:r>
        <w:rPr>
          <w:rFonts w:hint="eastAsia" w:ascii="宋体" w:hAnsi="宋体"/>
          <w:b/>
          <w:color w:val="auto"/>
          <w:sz w:val="21"/>
          <w:szCs w:val="21"/>
          <w:highlight w:val="none"/>
          <w:lang w:val="en-US" w:eastAsia="zh-CN"/>
        </w:rPr>
        <w:t xml:space="preserve"> </w:t>
      </w:r>
      <w:r>
        <w:rPr>
          <w:rFonts w:hint="eastAsia" w:ascii="宋体" w:hAnsi="宋体"/>
          <w:b/>
          <w:bCs/>
          <w:color w:val="auto"/>
          <w:sz w:val="21"/>
          <w:szCs w:val="21"/>
          <w:highlight w:val="none"/>
        </w:rPr>
        <w:t>定义</w:t>
      </w:r>
    </w:p>
    <w:p w14:paraId="37E61946">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1.1合同当事人</w:t>
      </w:r>
    </w:p>
    <w:p w14:paraId="1FF088CE">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（1）采购人（以下称甲方）是指使用财政性资金，通过政府采购方式向供应商购买货物</w:t>
      </w:r>
      <w:r>
        <w:rPr>
          <w:rFonts w:hint="eastAsia" w:ascii="宋体" w:hAnsi="宋体"/>
          <w:color w:val="auto"/>
          <w:sz w:val="21"/>
          <w:szCs w:val="21"/>
          <w:highlight w:val="none"/>
          <w:lang w:val="en-US" w:eastAsia="zh-CN"/>
        </w:rPr>
        <w:t>及其相关服务的</w:t>
      </w:r>
      <w:r>
        <w:rPr>
          <w:rFonts w:hint="eastAsia" w:ascii="宋体" w:hAnsi="宋体"/>
          <w:color w:val="auto"/>
          <w:sz w:val="21"/>
          <w:szCs w:val="21"/>
          <w:highlight w:val="none"/>
        </w:rPr>
        <w:t>国家机关、事业单位、团体组织。</w:t>
      </w:r>
    </w:p>
    <w:p w14:paraId="0754F28D">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（2）供应商（以下称</w:t>
      </w:r>
      <w:r>
        <w:rPr>
          <w:rFonts w:hint="eastAsia" w:ascii="宋体" w:hAnsi="宋体"/>
          <w:color w:val="auto"/>
          <w:sz w:val="21"/>
          <w:szCs w:val="21"/>
          <w:highlight w:val="none"/>
          <w:lang w:eastAsia="zh-CN"/>
        </w:rPr>
        <w:t>乙</w:t>
      </w:r>
      <w:r>
        <w:rPr>
          <w:rFonts w:hint="eastAsia" w:ascii="宋体" w:hAnsi="宋体"/>
          <w:color w:val="auto"/>
          <w:sz w:val="21"/>
          <w:szCs w:val="21"/>
          <w:highlight w:val="none"/>
        </w:rPr>
        <w:t>方）是指参加政府采购活动并且中标（成交），向采购人提供</w:t>
      </w:r>
      <w:r>
        <w:rPr>
          <w:rFonts w:hint="eastAsia" w:ascii="宋体" w:hAnsi="宋体"/>
          <w:color w:val="auto"/>
          <w:sz w:val="21"/>
          <w:szCs w:val="21"/>
          <w:highlight w:val="none"/>
          <w:lang w:val="en-US" w:eastAsia="zh-CN"/>
        </w:rPr>
        <w:t>合同约定的货物及其相关服务的法人、非法人组织或者自然人</w:t>
      </w:r>
      <w:r>
        <w:rPr>
          <w:rFonts w:hint="eastAsia" w:ascii="宋体" w:hAnsi="宋体"/>
          <w:color w:val="auto"/>
          <w:sz w:val="21"/>
          <w:szCs w:val="21"/>
          <w:highlight w:val="none"/>
        </w:rPr>
        <w:t>。</w:t>
      </w:r>
    </w:p>
    <w:p w14:paraId="4FC3C5C1">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（3）其他合同主体是指除采购人和供应商以外，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color w:val="auto"/>
          <w:sz w:val="21"/>
          <w:szCs w:val="21"/>
          <w:highlight w:val="none"/>
        </w:rPr>
        <w:t>。</w:t>
      </w:r>
    </w:p>
    <w:p w14:paraId="1B1754B6">
      <w:pPr>
        <w:tabs>
          <w:tab w:val="left" w:pos="570"/>
          <w:tab w:val="left" w:pos="9240"/>
          <w:tab w:val="left" w:pos="9555"/>
        </w:tabs>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1.2本合同下列术语应解释为：</w:t>
      </w:r>
    </w:p>
    <w:p w14:paraId="4D8610DC">
      <w:pPr>
        <w:adjustRightInd w:val="0"/>
        <w:snapToGrid w:val="0"/>
        <w:spacing w:before="0" w:beforeLines="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color w:val="auto"/>
          <w:sz w:val="21"/>
          <w:szCs w:val="21"/>
          <w:highlight w:val="none"/>
          <w:lang w:eastAsia="zh-CN"/>
        </w:rPr>
        <w:t>政府采购</w:t>
      </w:r>
      <w:r>
        <w:rPr>
          <w:rFonts w:hint="eastAsia" w:ascii="宋体" w:hAnsi="宋体"/>
          <w:color w:val="auto"/>
          <w:sz w:val="21"/>
          <w:szCs w:val="21"/>
          <w:highlight w:val="none"/>
        </w:rPr>
        <w:t>合同协议书及其变更、补充</w:t>
      </w:r>
      <w:r>
        <w:rPr>
          <w:rFonts w:hint="eastAsia" w:ascii="宋体" w:hAnsi="宋体"/>
          <w:color w:val="auto"/>
          <w:sz w:val="21"/>
          <w:szCs w:val="21"/>
          <w:highlight w:val="none"/>
          <w:lang w:eastAsia="zh-CN"/>
        </w:rPr>
        <w:t>协议，</w:t>
      </w:r>
      <w:r>
        <w:rPr>
          <w:rFonts w:hint="eastAsia" w:ascii="宋体" w:hAnsi="宋体"/>
          <w:color w:val="auto"/>
          <w:sz w:val="21"/>
          <w:szCs w:val="21"/>
          <w:highlight w:val="none"/>
        </w:rPr>
        <w:t>政府采购合同专用条款</w:t>
      </w:r>
      <w:r>
        <w:rPr>
          <w:rFonts w:hint="eastAsia" w:ascii="宋体" w:hAnsi="宋体"/>
          <w:color w:val="auto"/>
          <w:sz w:val="21"/>
          <w:szCs w:val="21"/>
          <w:highlight w:val="none"/>
          <w:lang w:eastAsia="zh-CN"/>
        </w:rPr>
        <w:t>，</w:t>
      </w:r>
      <w:r>
        <w:rPr>
          <w:rFonts w:hint="eastAsia" w:ascii="宋体" w:hAnsi="宋体"/>
          <w:color w:val="auto"/>
          <w:sz w:val="21"/>
          <w:szCs w:val="21"/>
          <w:highlight w:val="none"/>
        </w:rPr>
        <w:t>政府采购合同通用条款</w:t>
      </w:r>
      <w:r>
        <w:rPr>
          <w:rFonts w:hint="eastAsia" w:ascii="宋体" w:hAnsi="宋体"/>
          <w:color w:val="auto"/>
          <w:sz w:val="21"/>
          <w:szCs w:val="21"/>
          <w:highlight w:val="none"/>
          <w:lang w:eastAsia="zh-CN"/>
        </w:rPr>
        <w:t>，</w:t>
      </w:r>
      <w:r>
        <w:rPr>
          <w:rFonts w:hint="eastAsia" w:ascii="宋体" w:hAnsi="宋体"/>
          <w:color w:val="auto"/>
          <w:sz w:val="21"/>
          <w:szCs w:val="21"/>
          <w:highlight w:val="none"/>
        </w:rPr>
        <w:t>中标</w:t>
      </w:r>
      <w:r>
        <w:rPr>
          <w:rFonts w:hint="eastAsia" w:ascii="宋体" w:hAnsi="宋体"/>
          <w:color w:val="auto"/>
          <w:sz w:val="21"/>
          <w:szCs w:val="21"/>
          <w:highlight w:val="none"/>
          <w:lang w:eastAsia="zh-CN"/>
        </w:rPr>
        <w:t>（成交）</w:t>
      </w:r>
      <w:r>
        <w:rPr>
          <w:rFonts w:hint="eastAsia" w:ascii="宋体" w:hAnsi="宋体"/>
          <w:color w:val="auto"/>
          <w:sz w:val="21"/>
          <w:szCs w:val="21"/>
          <w:highlight w:val="none"/>
        </w:rPr>
        <w:t>通知书</w:t>
      </w:r>
      <w:r>
        <w:rPr>
          <w:rFonts w:hint="eastAsia" w:ascii="宋体" w:hAnsi="宋体"/>
          <w:color w:val="auto"/>
          <w:sz w:val="21"/>
          <w:szCs w:val="21"/>
          <w:highlight w:val="none"/>
          <w:lang w:eastAsia="zh-CN"/>
        </w:rPr>
        <w:t>，</w:t>
      </w:r>
      <w:r>
        <w:rPr>
          <w:rFonts w:hint="eastAsia" w:ascii="宋体" w:hAnsi="宋体"/>
          <w:color w:val="auto"/>
          <w:sz w:val="21"/>
          <w:szCs w:val="21"/>
          <w:highlight w:val="none"/>
        </w:rPr>
        <w:t>投标（响应）文件</w:t>
      </w:r>
      <w:r>
        <w:rPr>
          <w:rFonts w:hint="eastAsia" w:ascii="宋体" w:hAnsi="宋体"/>
          <w:color w:val="auto"/>
          <w:sz w:val="21"/>
          <w:szCs w:val="21"/>
          <w:highlight w:val="none"/>
          <w:lang w:eastAsia="zh-CN"/>
        </w:rPr>
        <w:t>，</w:t>
      </w:r>
      <w:r>
        <w:rPr>
          <w:rFonts w:hint="eastAsia" w:ascii="宋体" w:hAnsi="宋体"/>
          <w:color w:val="auto"/>
          <w:sz w:val="21"/>
          <w:szCs w:val="21"/>
          <w:highlight w:val="none"/>
        </w:rPr>
        <w:t>采购文件</w:t>
      </w:r>
      <w:r>
        <w:rPr>
          <w:rFonts w:hint="eastAsia" w:ascii="宋体" w:hAnsi="宋体"/>
          <w:color w:val="auto"/>
          <w:sz w:val="21"/>
          <w:szCs w:val="21"/>
          <w:highlight w:val="none"/>
          <w:lang w:eastAsia="zh-CN"/>
        </w:rPr>
        <w:t>，</w:t>
      </w:r>
      <w:r>
        <w:rPr>
          <w:rFonts w:hint="eastAsia" w:ascii="宋体" w:hAnsi="宋体"/>
          <w:color w:val="auto"/>
          <w:sz w:val="21"/>
          <w:szCs w:val="21"/>
          <w:highlight w:val="none"/>
        </w:rPr>
        <w:t>有关技术文件</w:t>
      </w:r>
      <w:r>
        <w:rPr>
          <w:rFonts w:hint="eastAsia" w:ascii="宋体" w:hAnsi="宋体"/>
          <w:color w:val="auto"/>
          <w:sz w:val="21"/>
          <w:szCs w:val="21"/>
          <w:highlight w:val="none"/>
          <w:lang w:eastAsia="zh-CN"/>
        </w:rPr>
        <w:t>和</w:t>
      </w:r>
      <w:r>
        <w:rPr>
          <w:rFonts w:hint="eastAsia" w:ascii="宋体" w:hAnsi="宋体"/>
          <w:color w:val="auto"/>
          <w:sz w:val="21"/>
          <w:szCs w:val="21"/>
          <w:highlight w:val="none"/>
        </w:rPr>
        <w:t>图纸</w:t>
      </w:r>
      <w:r>
        <w:rPr>
          <w:rFonts w:hint="eastAsia" w:ascii="宋体" w:hAnsi="宋体"/>
          <w:color w:val="auto"/>
          <w:sz w:val="21"/>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 w:val="21"/>
          <w:szCs w:val="21"/>
          <w:highlight w:val="none"/>
        </w:rPr>
        <w:t>。</w:t>
      </w:r>
    </w:p>
    <w:p w14:paraId="7B9EE203">
      <w:pPr>
        <w:tabs>
          <w:tab w:val="left" w:pos="570"/>
          <w:tab w:val="left" w:pos="9240"/>
          <w:tab w:val="left" w:pos="9555"/>
        </w:tabs>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）“合同价</w:t>
      </w:r>
      <w:r>
        <w:rPr>
          <w:rFonts w:hint="eastAsia" w:ascii="宋体" w:hAnsi="宋体"/>
          <w:color w:val="auto"/>
          <w:sz w:val="21"/>
          <w:szCs w:val="21"/>
          <w:highlight w:val="none"/>
          <w:lang w:val="en-US" w:eastAsia="zh-CN"/>
        </w:rPr>
        <w:t>款</w:t>
      </w:r>
      <w:r>
        <w:rPr>
          <w:rFonts w:hint="eastAsia" w:ascii="宋体" w:hAnsi="宋体"/>
          <w:color w:val="auto"/>
          <w:sz w:val="21"/>
          <w:szCs w:val="21"/>
          <w:highlight w:val="none"/>
        </w:rPr>
        <w:t>”系指根据本合同规定乙方在全面履行合同义务后甲方应支付给乙方的价款。</w:t>
      </w:r>
    </w:p>
    <w:p w14:paraId="0402FAA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 w:val="21"/>
          <w:szCs w:val="21"/>
          <w:highlight w:val="none"/>
          <w:lang w:val="en"/>
        </w:rPr>
        <w:t>其他</w:t>
      </w:r>
      <w:r>
        <w:rPr>
          <w:rFonts w:hint="eastAsia" w:ascii="宋体" w:hAnsi="宋体"/>
          <w:color w:val="auto"/>
          <w:sz w:val="21"/>
          <w:szCs w:val="21"/>
          <w:highlight w:val="none"/>
        </w:rPr>
        <w:t>技术资料和材料</w:t>
      </w:r>
      <w:r>
        <w:rPr>
          <w:rFonts w:hint="eastAsia" w:ascii="宋体" w:hAnsi="宋体"/>
          <w:color w:val="auto"/>
          <w:sz w:val="21"/>
          <w:szCs w:val="21"/>
          <w:highlight w:val="none"/>
          <w:lang w:eastAsia="zh-CN"/>
        </w:rPr>
        <w:t>等</w:t>
      </w:r>
      <w:r>
        <w:rPr>
          <w:rFonts w:hint="eastAsia" w:ascii="宋体" w:hAnsi="宋体"/>
          <w:color w:val="auto"/>
          <w:sz w:val="21"/>
          <w:szCs w:val="21"/>
          <w:highlight w:val="none"/>
        </w:rPr>
        <w:t>。</w:t>
      </w:r>
    </w:p>
    <w:p w14:paraId="0E767376">
      <w:pPr>
        <w:adjustRightInd w:val="0"/>
        <w:snapToGrid w:val="0"/>
        <w:spacing w:before="0" w:line="400" w:lineRule="exact"/>
        <w:ind w:firstLine="420" w:firstLineChars="200"/>
        <w:jc w:val="lef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相关</w:t>
      </w:r>
      <w:r>
        <w:rPr>
          <w:rFonts w:hint="eastAsia" w:ascii="宋体" w:hAnsi="宋体"/>
          <w:color w:val="auto"/>
          <w:sz w:val="21"/>
          <w:szCs w:val="21"/>
          <w:highlight w:val="none"/>
        </w:rPr>
        <w:t>服务”系指根据合同规定，乙方应提供的</w:t>
      </w:r>
      <w:r>
        <w:rPr>
          <w:rFonts w:hint="eastAsia" w:ascii="宋体" w:hAnsi="宋体"/>
          <w:color w:val="auto"/>
          <w:sz w:val="21"/>
          <w:szCs w:val="21"/>
          <w:highlight w:val="none"/>
          <w:lang w:val="en-US" w:eastAsia="zh-CN"/>
        </w:rPr>
        <w:t>与货物有关的</w:t>
      </w:r>
      <w:r>
        <w:rPr>
          <w:rFonts w:hint="eastAsia" w:ascii="宋体" w:hAnsi="宋体"/>
          <w:color w:val="auto"/>
          <w:sz w:val="21"/>
          <w:szCs w:val="21"/>
          <w:highlight w:val="none"/>
        </w:rPr>
        <w:t>技术、管理和</w:t>
      </w:r>
      <w:r>
        <w:rPr>
          <w:rFonts w:hint="default" w:ascii="宋体" w:hAnsi="宋体"/>
          <w:color w:val="auto"/>
          <w:sz w:val="21"/>
          <w:szCs w:val="21"/>
          <w:highlight w:val="none"/>
          <w:lang w:val="en"/>
        </w:rPr>
        <w:t>其他</w:t>
      </w:r>
      <w:r>
        <w:rPr>
          <w:rFonts w:hint="eastAsia" w:ascii="宋体" w:hAnsi="宋体"/>
          <w:color w:val="auto"/>
          <w:sz w:val="21"/>
          <w:szCs w:val="21"/>
          <w:highlight w:val="none"/>
        </w:rPr>
        <w:t>服务，包括但不限于：管理和质量保证、运输、保险、检验、现场准备、安装、集成、调试、培训、维修、</w:t>
      </w:r>
      <w:r>
        <w:rPr>
          <w:rFonts w:hint="eastAsia" w:ascii="宋体" w:hAnsi="宋体"/>
          <w:color w:val="auto"/>
          <w:sz w:val="21"/>
          <w:szCs w:val="21"/>
          <w:highlight w:val="none"/>
          <w:lang w:eastAsia="zh-CN"/>
        </w:rPr>
        <w:t>废弃处置、</w:t>
      </w:r>
      <w:r>
        <w:rPr>
          <w:rFonts w:hint="eastAsia" w:ascii="宋体" w:hAnsi="宋体"/>
          <w:color w:val="auto"/>
          <w:sz w:val="21"/>
          <w:szCs w:val="21"/>
          <w:highlight w:val="none"/>
        </w:rPr>
        <w:t>技术支持等以及合同中规定乙方应承担的</w:t>
      </w:r>
      <w:r>
        <w:rPr>
          <w:rFonts w:hint="default" w:ascii="宋体" w:hAnsi="宋体"/>
          <w:color w:val="auto"/>
          <w:sz w:val="21"/>
          <w:szCs w:val="21"/>
          <w:highlight w:val="none"/>
          <w:lang w:val="en"/>
        </w:rPr>
        <w:t>其他</w:t>
      </w:r>
      <w:r>
        <w:rPr>
          <w:rFonts w:hint="eastAsia" w:ascii="宋体" w:hAnsi="宋体"/>
          <w:color w:val="auto"/>
          <w:sz w:val="21"/>
          <w:szCs w:val="21"/>
          <w:highlight w:val="none"/>
        </w:rPr>
        <w:t>义务。</w:t>
      </w:r>
    </w:p>
    <w:p w14:paraId="1203DC46">
      <w:pPr>
        <w:adjustRightInd w:val="0"/>
        <w:snapToGrid w:val="0"/>
        <w:spacing w:before="0" w:line="400" w:lineRule="exact"/>
        <w:ind w:firstLine="420" w:firstLineChars="200"/>
        <w:jc w:val="lef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）“分包”系指中标</w:t>
      </w:r>
      <w:r>
        <w:rPr>
          <w:rFonts w:hint="eastAsia" w:ascii="宋体" w:hAnsi="宋体"/>
          <w:color w:val="auto"/>
          <w:sz w:val="21"/>
          <w:szCs w:val="21"/>
          <w:highlight w:val="none"/>
          <w:lang w:eastAsia="zh-CN"/>
        </w:rPr>
        <w:t>（</w:t>
      </w:r>
      <w:r>
        <w:rPr>
          <w:rFonts w:hint="eastAsia" w:ascii="宋体" w:hAnsi="宋体"/>
          <w:color w:val="auto"/>
          <w:sz w:val="21"/>
          <w:szCs w:val="21"/>
          <w:highlight w:val="none"/>
        </w:rPr>
        <w:t>成交</w:t>
      </w:r>
      <w:r>
        <w:rPr>
          <w:rFonts w:hint="eastAsia" w:ascii="宋体" w:hAnsi="宋体"/>
          <w:color w:val="auto"/>
          <w:sz w:val="21"/>
          <w:szCs w:val="21"/>
          <w:highlight w:val="none"/>
          <w:lang w:eastAsia="zh-CN"/>
        </w:rPr>
        <w:t>）</w:t>
      </w:r>
      <w:r>
        <w:rPr>
          <w:rFonts w:hint="eastAsia" w:ascii="宋体" w:hAnsi="宋体"/>
          <w:color w:val="auto"/>
          <w:sz w:val="21"/>
          <w:szCs w:val="21"/>
          <w:highlight w:val="none"/>
        </w:rPr>
        <w:t>供应商按采购文件、投标（响应）文件的规定，根据分包意向协议，将中标</w:t>
      </w:r>
      <w:r>
        <w:rPr>
          <w:rFonts w:hint="eastAsia" w:ascii="宋体" w:hAnsi="宋体"/>
          <w:color w:val="auto"/>
          <w:sz w:val="21"/>
          <w:szCs w:val="21"/>
          <w:highlight w:val="none"/>
          <w:lang w:eastAsia="zh-CN"/>
        </w:rPr>
        <w:t>（</w:t>
      </w:r>
      <w:r>
        <w:rPr>
          <w:rFonts w:hint="eastAsia" w:ascii="宋体" w:hAnsi="宋体"/>
          <w:color w:val="auto"/>
          <w:sz w:val="21"/>
          <w:szCs w:val="21"/>
          <w:highlight w:val="none"/>
        </w:rPr>
        <w:t>成交</w:t>
      </w:r>
      <w:r>
        <w:rPr>
          <w:rFonts w:hint="eastAsia" w:ascii="宋体" w:hAnsi="宋体"/>
          <w:color w:val="auto"/>
          <w:sz w:val="21"/>
          <w:szCs w:val="21"/>
          <w:highlight w:val="none"/>
          <w:lang w:eastAsia="zh-CN"/>
        </w:rPr>
        <w:t>）</w:t>
      </w:r>
      <w:r>
        <w:rPr>
          <w:rFonts w:hint="eastAsia" w:ascii="宋体" w:hAnsi="宋体"/>
          <w:color w:val="auto"/>
          <w:sz w:val="21"/>
          <w:szCs w:val="21"/>
          <w:highlight w:val="none"/>
        </w:rPr>
        <w:t>项目中的部分履约内容，分给具有相应资质条件的供应商履行合同的行为。</w:t>
      </w:r>
    </w:p>
    <w:p w14:paraId="2032D9C8">
      <w:pPr>
        <w:tabs>
          <w:tab w:val="left" w:pos="570"/>
          <w:tab w:val="left" w:pos="9240"/>
          <w:tab w:val="left" w:pos="9555"/>
        </w:tabs>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）“联合体”系指</w:t>
      </w:r>
      <w:r>
        <w:rPr>
          <w:rFonts w:hint="eastAsia" w:ascii="宋体" w:hAnsi="宋体"/>
          <w:color w:val="auto"/>
          <w:sz w:val="21"/>
          <w:szCs w:val="21"/>
          <w:highlight w:val="none"/>
          <w:lang w:eastAsia="zh-CN"/>
        </w:rPr>
        <w:t>由</w:t>
      </w:r>
      <w:r>
        <w:rPr>
          <w:rFonts w:hint="eastAsia" w:ascii="宋体" w:hAnsi="宋体"/>
          <w:color w:val="auto"/>
          <w:sz w:val="21"/>
          <w:szCs w:val="21"/>
          <w:highlight w:val="none"/>
        </w:rPr>
        <w:t>两个以上的自然人、法人或者</w:t>
      </w:r>
      <w:r>
        <w:rPr>
          <w:rFonts w:hint="eastAsia" w:ascii="宋体" w:hAnsi="宋体"/>
          <w:color w:val="auto"/>
          <w:sz w:val="21"/>
          <w:szCs w:val="21"/>
          <w:highlight w:val="none"/>
          <w:lang w:val="en-US" w:eastAsia="zh-CN"/>
        </w:rPr>
        <w:t>非法人</w:t>
      </w:r>
      <w:r>
        <w:rPr>
          <w:rFonts w:hint="eastAsia" w:ascii="宋体" w:hAnsi="宋体"/>
          <w:color w:val="auto"/>
          <w:sz w:val="21"/>
          <w:szCs w:val="21"/>
          <w:highlight w:val="none"/>
        </w:rPr>
        <w:t>组织组成，</w:t>
      </w:r>
      <w:r>
        <w:rPr>
          <w:rFonts w:hint="eastAsia" w:ascii="宋体" w:hAnsi="宋体"/>
          <w:color w:val="auto"/>
          <w:sz w:val="21"/>
          <w:szCs w:val="21"/>
          <w:highlight w:val="none"/>
          <w:lang w:eastAsia="zh-CN"/>
        </w:rPr>
        <w:t>以一个供应商的身份共同参加政府采购的主体。</w:t>
      </w:r>
      <w:r>
        <w:rPr>
          <w:rFonts w:hint="eastAsia" w:ascii="宋体" w:hAnsi="宋体"/>
          <w:color w:val="auto"/>
          <w:sz w:val="21"/>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承担连带责任。联合体具体要求见【</w:t>
      </w:r>
      <w:r>
        <w:rPr>
          <w:rFonts w:hint="eastAsia" w:ascii="宋体" w:hAnsi="宋体"/>
          <w:b/>
          <w:bCs/>
          <w:color w:val="auto"/>
          <w:sz w:val="21"/>
          <w:szCs w:val="21"/>
          <w:highlight w:val="none"/>
        </w:rPr>
        <w:t>政府采购合同专用条款</w:t>
      </w:r>
      <w:r>
        <w:rPr>
          <w:rFonts w:hint="eastAsia" w:ascii="宋体" w:hAnsi="宋体"/>
          <w:color w:val="auto"/>
          <w:sz w:val="21"/>
          <w:szCs w:val="21"/>
          <w:highlight w:val="none"/>
        </w:rPr>
        <w:t>】。</w:t>
      </w:r>
    </w:p>
    <w:p w14:paraId="4CC4193A">
      <w:pPr>
        <w:tabs>
          <w:tab w:val="left" w:pos="570"/>
          <w:tab w:val="left" w:pos="9240"/>
          <w:tab w:val="left" w:pos="9555"/>
        </w:tabs>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）其他术语解释，见【</w:t>
      </w:r>
      <w:r>
        <w:rPr>
          <w:rFonts w:hint="eastAsia" w:ascii="宋体" w:hAnsi="宋体"/>
          <w:b/>
          <w:bCs/>
          <w:color w:val="auto"/>
          <w:sz w:val="21"/>
          <w:szCs w:val="21"/>
          <w:highlight w:val="none"/>
        </w:rPr>
        <w:t>政府采购合同专用条款</w:t>
      </w:r>
      <w:r>
        <w:rPr>
          <w:rFonts w:hint="eastAsia" w:ascii="宋体" w:hAnsi="宋体"/>
          <w:color w:val="auto"/>
          <w:sz w:val="21"/>
          <w:szCs w:val="21"/>
          <w:highlight w:val="none"/>
        </w:rPr>
        <w:t>】。</w:t>
      </w:r>
    </w:p>
    <w:p w14:paraId="7BE6F6FB">
      <w:pPr>
        <w:numPr>
          <w:ilvl w:val="0"/>
          <w:numId w:val="5"/>
        </w:numPr>
        <w:autoSpaceDE w:val="0"/>
        <w:autoSpaceDN w:val="0"/>
        <w:adjustRightInd w:val="0"/>
        <w:snapToGrid w:val="0"/>
        <w:spacing w:before="0" w:line="400" w:lineRule="exact"/>
        <w:jc w:val="left"/>
        <w:rPr>
          <w:rFonts w:ascii="宋体" w:hAnsi="宋体"/>
          <w:b/>
          <w:bCs/>
          <w:color w:val="auto"/>
          <w:sz w:val="21"/>
          <w:szCs w:val="21"/>
          <w:highlight w:val="none"/>
        </w:rPr>
      </w:pPr>
      <w:r>
        <w:rPr>
          <w:rFonts w:hint="eastAsia" w:ascii="宋体" w:hAnsi="宋体"/>
          <w:b/>
          <w:color w:val="auto"/>
          <w:sz w:val="21"/>
          <w:szCs w:val="21"/>
          <w:highlight w:val="none"/>
        </w:rPr>
        <w:t>合同标的及金额</w:t>
      </w:r>
    </w:p>
    <w:p w14:paraId="6EB4D767">
      <w:pPr>
        <w:autoSpaceDE w:val="0"/>
        <w:autoSpaceDN w:val="0"/>
        <w:adjustRightInd w:val="0"/>
        <w:snapToGrid w:val="0"/>
        <w:spacing w:before="0" w:line="400" w:lineRule="exact"/>
        <w:ind w:firstLine="420" w:firstLineChars="200"/>
        <w:jc w:val="left"/>
        <w:rPr>
          <w:rFonts w:ascii="宋体" w:hAnsi="宋体"/>
          <w:b/>
          <w:bCs/>
          <w:i/>
          <w:iCs/>
          <w:color w:val="auto"/>
          <w:sz w:val="21"/>
          <w:szCs w:val="21"/>
          <w:highlight w:val="none"/>
        </w:rPr>
      </w:pPr>
      <w:r>
        <w:rPr>
          <w:rFonts w:hint="eastAsia" w:ascii="宋体" w:hAnsi="宋体"/>
          <w:color w:val="auto"/>
          <w:sz w:val="21"/>
          <w:szCs w:val="21"/>
          <w:highlight w:val="none"/>
          <w:lang w:eastAsia="zh-CN"/>
        </w:rPr>
        <w:t>2</w:t>
      </w:r>
      <w:r>
        <w:rPr>
          <w:rFonts w:hint="eastAsia" w:ascii="宋体" w:hAnsi="宋体"/>
          <w:color w:val="auto"/>
          <w:sz w:val="21"/>
          <w:szCs w:val="21"/>
          <w:highlight w:val="none"/>
        </w:rPr>
        <w:t>.1 合同标的及金额应与中标（成交）结果一致。乙方为履行本合同而发生的所有费用均应包含在合同</w:t>
      </w:r>
      <w:r>
        <w:rPr>
          <w:rFonts w:hint="eastAsia" w:ascii="宋体" w:hAnsi="宋体"/>
          <w:color w:val="auto"/>
          <w:sz w:val="21"/>
          <w:szCs w:val="21"/>
          <w:highlight w:val="none"/>
          <w:lang w:eastAsia="zh-CN"/>
        </w:rPr>
        <w:t>价款</w:t>
      </w:r>
      <w:r>
        <w:rPr>
          <w:rFonts w:hint="eastAsia" w:ascii="宋体" w:hAnsi="宋体"/>
          <w:color w:val="auto"/>
          <w:sz w:val="21"/>
          <w:szCs w:val="21"/>
          <w:highlight w:val="none"/>
        </w:rPr>
        <w:t>中，甲方不再另行支付</w:t>
      </w:r>
      <w:r>
        <w:rPr>
          <w:rFonts w:hint="default" w:ascii="宋体" w:hAnsi="宋体"/>
          <w:color w:val="auto"/>
          <w:sz w:val="21"/>
          <w:szCs w:val="21"/>
          <w:highlight w:val="none"/>
          <w:lang w:val="en"/>
        </w:rPr>
        <w:t>其他</w:t>
      </w:r>
      <w:r>
        <w:rPr>
          <w:rFonts w:hint="eastAsia" w:ascii="宋体" w:hAnsi="宋体"/>
          <w:color w:val="auto"/>
          <w:sz w:val="21"/>
          <w:szCs w:val="21"/>
          <w:highlight w:val="none"/>
        </w:rPr>
        <w:t>任何费用。</w:t>
      </w:r>
    </w:p>
    <w:p w14:paraId="56EE9195">
      <w:pPr>
        <w:adjustRightInd w:val="0"/>
        <w:snapToGrid w:val="0"/>
        <w:spacing w:before="0" w:line="400" w:lineRule="exact"/>
        <w:jc w:val="left"/>
        <w:rPr>
          <w:rFonts w:ascii="宋体" w:hAnsi="宋体"/>
          <w:b/>
          <w:color w:val="auto"/>
          <w:sz w:val="21"/>
          <w:szCs w:val="21"/>
          <w:highlight w:val="none"/>
        </w:rPr>
      </w:pPr>
      <w:r>
        <w:rPr>
          <w:rFonts w:hint="eastAsia" w:ascii="宋体" w:hAnsi="宋体"/>
          <w:b/>
          <w:color w:val="auto"/>
          <w:sz w:val="21"/>
          <w:szCs w:val="21"/>
          <w:highlight w:val="none"/>
          <w:lang w:eastAsia="zh-CN"/>
        </w:rPr>
        <w:t>3</w:t>
      </w:r>
      <w:r>
        <w:rPr>
          <w:rFonts w:hint="eastAsia" w:ascii="宋体" w:hAnsi="宋体"/>
          <w:b/>
          <w:color w:val="auto"/>
          <w:sz w:val="21"/>
          <w:szCs w:val="21"/>
          <w:highlight w:val="none"/>
          <w:lang w:val="en-US" w:eastAsia="zh-CN"/>
        </w:rPr>
        <w:t xml:space="preserve">. </w:t>
      </w:r>
      <w:r>
        <w:rPr>
          <w:rFonts w:hint="eastAsia" w:ascii="宋体" w:hAnsi="宋体"/>
          <w:b/>
          <w:color w:val="auto"/>
          <w:sz w:val="21"/>
          <w:szCs w:val="21"/>
          <w:highlight w:val="none"/>
        </w:rPr>
        <w:t>履行合同的时间、地点和方式</w:t>
      </w:r>
    </w:p>
    <w:p w14:paraId="1F34DFA2">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3</w:t>
      </w:r>
      <w:r>
        <w:rPr>
          <w:rFonts w:hint="eastAsia" w:ascii="宋体" w:hAnsi="宋体"/>
          <w:color w:val="auto"/>
          <w:sz w:val="21"/>
          <w:szCs w:val="21"/>
          <w:highlight w:val="none"/>
        </w:rPr>
        <w:t xml:space="preserve">.1 </w:t>
      </w:r>
      <w:r>
        <w:rPr>
          <w:rFonts w:hint="eastAsia" w:ascii="宋体" w:hAnsi="宋体" w:eastAsia="宋体" w:cs="宋体"/>
          <w:color w:val="auto"/>
          <w:sz w:val="21"/>
          <w:szCs w:val="21"/>
          <w:highlight w:val="none"/>
        </w:rPr>
        <w:t>乙方应当在约定的时间、地点</w:t>
      </w:r>
      <w:r>
        <w:rPr>
          <w:rFonts w:hint="eastAsia" w:ascii="宋体" w:hAnsi="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14:paraId="22F742D3">
      <w:pPr>
        <w:autoSpaceDE w:val="0"/>
        <w:autoSpaceDN w:val="0"/>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lang w:eastAsia="zh-CN"/>
        </w:rPr>
        <w:t>4</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甲方的权利和义务</w:t>
      </w:r>
    </w:p>
    <w:p w14:paraId="7E6D6F9E">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4</w:t>
      </w:r>
      <w:r>
        <w:rPr>
          <w:rFonts w:hint="eastAsia" w:ascii="宋体" w:hAnsi="宋体"/>
          <w:color w:val="auto"/>
          <w:sz w:val="21"/>
          <w:szCs w:val="21"/>
          <w:highlight w:val="none"/>
        </w:rPr>
        <w:t>.1</w:t>
      </w:r>
      <w:r>
        <w:rPr>
          <w:rFonts w:ascii="宋体" w:hAnsi="宋体"/>
          <w:color w:val="auto"/>
          <w:sz w:val="21"/>
          <w:szCs w:val="21"/>
          <w:highlight w:val="none"/>
        </w:rPr>
        <w:t xml:space="preserve"> 签署合同后，甲方</w:t>
      </w:r>
      <w:r>
        <w:rPr>
          <w:rFonts w:hint="eastAsia" w:ascii="宋体" w:hAnsi="宋体"/>
          <w:color w:val="auto"/>
          <w:sz w:val="21"/>
          <w:szCs w:val="21"/>
          <w:highlight w:val="none"/>
          <w:lang w:eastAsia="zh-CN"/>
        </w:rPr>
        <w:t>应</w:t>
      </w:r>
      <w:r>
        <w:rPr>
          <w:rFonts w:ascii="宋体" w:hAnsi="宋体"/>
          <w:color w:val="auto"/>
          <w:sz w:val="21"/>
          <w:szCs w:val="21"/>
          <w:highlight w:val="none"/>
        </w:rPr>
        <w:t>确定</w:t>
      </w:r>
      <w:r>
        <w:rPr>
          <w:rFonts w:hint="eastAsia" w:ascii="宋体" w:hAnsi="宋体"/>
          <w:color w:val="auto"/>
          <w:sz w:val="21"/>
          <w:szCs w:val="21"/>
          <w:highlight w:val="none"/>
          <w:lang w:val="en-US" w:eastAsia="zh-CN"/>
        </w:rPr>
        <w:t>项目负责人（或项目联系人）</w:t>
      </w:r>
      <w:r>
        <w:rPr>
          <w:rFonts w:ascii="宋体" w:hAnsi="宋体"/>
          <w:color w:val="auto"/>
          <w:sz w:val="21"/>
          <w:szCs w:val="21"/>
          <w:highlight w:val="none"/>
        </w:rPr>
        <w:t>，负责与本合同有关的事务。</w:t>
      </w:r>
      <w:r>
        <w:rPr>
          <w:rFonts w:hint="eastAsia" w:ascii="宋体" w:hAnsi="宋体"/>
          <w:color w:val="auto"/>
          <w:sz w:val="21"/>
          <w:szCs w:val="21"/>
          <w:highlight w:val="none"/>
        </w:rPr>
        <w:t>甲方有权对乙方的履约行为进行检查，并</w:t>
      </w:r>
      <w:r>
        <w:rPr>
          <w:rFonts w:ascii="宋体" w:hAnsi="宋体"/>
          <w:color w:val="auto"/>
          <w:sz w:val="21"/>
          <w:szCs w:val="21"/>
          <w:highlight w:val="none"/>
        </w:rPr>
        <w:t>及时确认乙方提交的事项</w:t>
      </w:r>
      <w:r>
        <w:rPr>
          <w:rFonts w:hint="eastAsia" w:ascii="宋体" w:hAnsi="宋体"/>
          <w:color w:val="auto"/>
          <w:sz w:val="21"/>
          <w:szCs w:val="21"/>
          <w:highlight w:val="none"/>
        </w:rPr>
        <w:t>。甲方应当</w:t>
      </w:r>
      <w:r>
        <w:rPr>
          <w:rFonts w:ascii="宋体" w:hAnsi="宋体"/>
          <w:color w:val="auto"/>
          <w:sz w:val="21"/>
          <w:szCs w:val="21"/>
          <w:highlight w:val="none"/>
        </w:rPr>
        <w:t>配合乙方完成</w:t>
      </w:r>
      <w:r>
        <w:rPr>
          <w:rFonts w:hint="eastAsia" w:ascii="宋体" w:hAnsi="宋体"/>
          <w:color w:val="auto"/>
          <w:sz w:val="21"/>
          <w:szCs w:val="21"/>
          <w:highlight w:val="none"/>
        </w:rPr>
        <w:t>相关项目</w:t>
      </w:r>
      <w:r>
        <w:rPr>
          <w:rFonts w:ascii="宋体" w:hAnsi="宋体"/>
          <w:color w:val="auto"/>
          <w:sz w:val="21"/>
          <w:szCs w:val="21"/>
          <w:highlight w:val="none"/>
        </w:rPr>
        <w:t>实施工作。</w:t>
      </w:r>
    </w:p>
    <w:p w14:paraId="084B2A9B">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4</w:t>
      </w:r>
      <w:r>
        <w:rPr>
          <w:rFonts w:hint="eastAsia" w:ascii="宋体" w:hAnsi="宋体"/>
          <w:color w:val="auto"/>
          <w:sz w:val="21"/>
          <w:szCs w:val="21"/>
          <w:highlight w:val="none"/>
        </w:rPr>
        <w:t xml:space="preserve">.2 </w:t>
      </w:r>
      <w:r>
        <w:rPr>
          <w:rFonts w:ascii="宋体" w:hAnsi="宋体"/>
          <w:color w:val="auto"/>
          <w:sz w:val="21"/>
          <w:szCs w:val="21"/>
          <w:highlight w:val="none"/>
        </w:rPr>
        <w:t>甲方有权要求乙方按时提交各阶段有关</w:t>
      </w:r>
      <w:r>
        <w:rPr>
          <w:rFonts w:hint="eastAsia" w:ascii="宋体" w:hAnsi="宋体"/>
          <w:color w:val="auto"/>
          <w:sz w:val="21"/>
          <w:szCs w:val="21"/>
          <w:highlight w:val="none"/>
        </w:rPr>
        <w:t>安排计划</w:t>
      </w:r>
      <w:r>
        <w:rPr>
          <w:rFonts w:ascii="宋体" w:hAnsi="宋体"/>
          <w:color w:val="auto"/>
          <w:sz w:val="21"/>
          <w:szCs w:val="21"/>
          <w:highlight w:val="none"/>
        </w:rPr>
        <w:t>，并有权</w:t>
      </w:r>
      <w:r>
        <w:rPr>
          <w:rFonts w:hint="eastAsia" w:ascii="宋体" w:hAnsi="宋体"/>
          <w:color w:val="auto"/>
          <w:sz w:val="21"/>
          <w:szCs w:val="21"/>
          <w:highlight w:val="none"/>
        </w:rPr>
        <w:t>定期核对乙方提供货物数量、规格、质量等内容。甲方</w:t>
      </w:r>
      <w:r>
        <w:rPr>
          <w:rFonts w:ascii="宋体" w:hAnsi="宋体"/>
          <w:color w:val="auto"/>
          <w:sz w:val="21"/>
          <w:szCs w:val="21"/>
          <w:highlight w:val="none"/>
        </w:rPr>
        <w:t>有权督促乙方工作并要求乙方</w:t>
      </w:r>
      <w:r>
        <w:rPr>
          <w:rFonts w:hint="eastAsia" w:ascii="宋体" w:hAnsi="宋体"/>
          <w:color w:val="auto"/>
          <w:sz w:val="21"/>
          <w:szCs w:val="21"/>
          <w:highlight w:val="none"/>
        </w:rPr>
        <w:t>更</w:t>
      </w:r>
      <w:r>
        <w:rPr>
          <w:rFonts w:ascii="宋体" w:hAnsi="宋体"/>
          <w:color w:val="auto"/>
          <w:sz w:val="21"/>
          <w:szCs w:val="21"/>
          <w:highlight w:val="none"/>
        </w:rPr>
        <w:t>换不符合要求的</w:t>
      </w:r>
      <w:r>
        <w:rPr>
          <w:rFonts w:hint="eastAsia" w:ascii="宋体" w:hAnsi="宋体"/>
          <w:color w:val="auto"/>
          <w:sz w:val="21"/>
          <w:szCs w:val="21"/>
          <w:highlight w:val="none"/>
        </w:rPr>
        <w:t>货物</w:t>
      </w:r>
      <w:r>
        <w:rPr>
          <w:rFonts w:ascii="宋体" w:hAnsi="宋体"/>
          <w:color w:val="auto"/>
          <w:sz w:val="21"/>
          <w:szCs w:val="21"/>
          <w:highlight w:val="none"/>
        </w:rPr>
        <w:t>。</w:t>
      </w:r>
    </w:p>
    <w:p w14:paraId="27F56C64">
      <w:pPr>
        <w:autoSpaceDE w:val="0"/>
        <w:autoSpaceDN w:val="0"/>
        <w:adjustRightInd w:val="0"/>
        <w:snapToGrid w:val="0"/>
        <w:spacing w:before="0"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lang w:eastAsia="zh-CN"/>
        </w:rPr>
        <w:t>4</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 xml:space="preserve"> </w:t>
      </w:r>
      <w:r>
        <w:rPr>
          <w:rFonts w:ascii="宋体" w:hAnsi="宋体"/>
          <w:color w:val="auto"/>
          <w:sz w:val="21"/>
          <w:szCs w:val="21"/>
          <w:highlight w:val="none"/>
        </w:rPr>
        <w:t>甲方</w:t>
      </w:r>
      <w:r>
        <w:rPr>
          <w:rFonts w:hint="eastAsia" w:ascii="宋体" w:hAnsi="宋体"/>
          <w:color w:val="auto"/>
          <w:sz w:val="21"/>
          <w:szCs w:val="21"/>
          <w:highlight w:val="none"/>
        </w:rPr>
        <w:t>有权要求乙方对缺陷部分予以修复，并按合同约定享有货物保修及其他合同约定的权利。</w:t>
      </w:r>
    </w:p>
    <w:p w14:paraId="0B479225">
      <w:pPr>
        <w:snapToGrid w:val="0"/>
        <w:spacing w:line="400" w:lineRule="exact"/>
        <w:ind w:firstLine="420" w:firstLineChars="200"/>
        <w:rPr>
          <w:rFonts w:hint="eastAsia" w:eastAsia="华文楷体"/>
          <w:color w:val="auto"/>
          <w:sz w:val="21"/>
          <w:szCs w:val="21"/>
          <w:highlight w:val="none"/>
          <w:lang w:val="en-US" w:eastAsia="zh-CN"/>
        </w:rPr>
      </w:pPr>
      <w:r>
        <w:rPr>
          <w:rFonts w:hint="default" w:ascii="宋体" w:hAnsi="宋体"/>
          <w:color w:val="auto"/>
          <w:sz w:val="21"/>
          <w:szCs w:val="21"/>
          <w:highlight w:val="none"/>
          <w:lang w:val="en-US" w:eastAsia="zh-CN"/>
        </w:rPr>
        <w:t>4.4 甲方应当按照合同约定及时对交付的货物进行验收</w:t>
      </w:r>
      <w:r>
        <w:rPr>
          <w:rFonts w:hint="eastAsia" w:ascii="宋体" w:hAnsi="宋体"/>
          <w:color w:val="auto"/>
          <w:sz w:val="21"/>
          <w:szCs w:val="21"/>
          <w:highlight w:val="none"/>
          <w:lang w:val="en-US" w:eastAsia="zh-CN"/>
        </w:rPr>
        <w:t>，</w:t>
      </w:r>
      <w:r>
        <w:rPr>
          <w:rFonts w:hint="eastAsia" w:ascii="宋体" w:hAnsi="宋体" w:cs="宋体"/>
          <w:b w:val="0"/>
          <w:bCs w:val="0"/>
          <w:color w:val="auto"/>
          <w:sz w:val="21"/>
          <w:szCs w:val="21"/>
          <w:highlight w:val="none"/>
          <w:lang w:eastAsia="zh-CN"/>
        </w:rPr>
        <w:t>未</w:t>
      </w:r>
      <w:r>
        <w:rPr>
          <w:rFonts w:hint="eastAsia" w:ascii="宋体" w:hAnsi="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约定的期限内对乙方履约提出任何异议或者向乙方作出任何说明的，</w:t>
      </w:r>
      <w:r>
        <w:rPr>
          <w:rFonts w:hint="eastAsia" w:ascii="宋体" w:hAnsi="宋体"/>
          <w:color w:val="auto"/>
          <w:sz w:val="21"/>
          <w:szCs w:val="21"/>
          <w:highlight w:val="none"/>
          <w:lang w:val="en-US" w:eastAsia="zh-CN"/>
        </w:rPr>
        <w:t>视为验收通过。</w:t>
      </w:r>
    </w:p>
    <w:p w14:paraId="5275272E">
      <w:pPr>
        <w:autoSpaceDE w:val="0"/>
        <w:autoSpaceDN w:val="0"/>
        <w:adjustRightInd w:val="0"/>
        <w:snapToGrid w:val="0"/>
        <w:spacing w:line="400" w:lineRule="exact"/>
        <w:ind w:firstLine="420" w:firstLineChars="200"/>
        <w:jc w:val="left"/>
        <w:rPr>
          <w:rFonts w:hint="eastAsia" w:ascii="宋体" w:hAnsi="宋体"/>
          <w:color w:val="auto"/>
          <w:sz w:val="21"/>
          <w:szCs w:val="21"/>
          <w:highlight w:val="none"/>
        </w:rPr>
      </w:pPr>
      <w:r>
        <w:rPr>
          <w:rFonts w:hint="default" w:ascii="宋体" w:hAnsi="宋体"/>
          <w:color w:val="auto"/>
          <w:sz w:val="21"/>
          <w:szCs w:val="21"/>
          <w:highlight w:val="none"/>
          <w:lang w:eastAsia="zh-CN"/>
        </w:rPr>
        <w:t>4</w:t>
      </w:r>
      <w:r>
        <w:rPr>
          <w:rFonts w:hint="eastAsia" w:ascii="宋体" w:hAnsi="宋体"/>
          <w:color w:val="auto"/>
          <w:sz w:val="21"/>
          <w:szCs w:val="21"/>
          <w:highlight w:val="none"/>
        </w:rPr>
        <w:t>.</w:t>
      </w:r>
      <w:r>
        <w:rPr>
          <w:rFonts w:hint="default" w:ascii="宋体" w:hAnsi="宋体"/>
          <w:color w:val="auto"/>
          <w:sz w:val="21"/>
          <w:szCs w:val="21"/>
          <w:highlight w:val="none"/>
          <w:lang w:val="en-US" w:eastAsia="zh-CN"/>
        </w:rPr>
        <w:t>5</w:t>
      </w:r>
      <w:r>
        <w:rPr>
          <w:rFonts w:ascii="宋体" w:hAnsi="宋体"/>
          <w:color w:val="auto"/>
          <w:sz w:val="21"/>
          <w:szCs w:val="21"/>
          <w:highlight w:val="none"/>
        </w:rPr>
        <w:t xml:space="preserve"> </w:t>
      </w:r>
      <w:r>
        <w:rPr>
          <w:rFonts w:hint="eastAsia" w:ascii="宋体" w:hAnsi="宋体"/>
          <w:color w:val="auto"/>
          <w:sz w:val="21"/>
          <w:szCs w:val="21"/>
          <w:highlight w:val="none"/>
        </w:rPr>
        <w:t>甲方应当根据合同约定</w:t>
      </w:r>
      <w:r>
        <w:rPr>
          <w:rFonts w:hint="eastAsia" w:ascii="宋体" w:hAnsi="宋体"/>
          <w:color w:val="auto"/>
          <w:sz w:val="21"/>
          <w:szCs w:val="21"/>
          <w:highlight w:val="none"/>
          <w:lang w:eastAsia="zh-CN"/>
        </w:rPr>
        <w:t>及</w:t>
      </w:r>
      <w:r>
        <w:rPr>
          <w:rFonts w:hint="eastAsia" w:ascii="宋体" w:hAnsi="宋体"/>
          <w:color w:val="auto"/>
          <w:sz w:val="21"/>
          <w:szCs w:val="21"/>
          <w:highlight w:val="none"/>
        </w:rPr>
        <w:t>时向乙方支付</w:t>
      </w:r>
      <w:r>
        <w:rPr>
          <w:rFonts w:hint="eastAsia" w:ascii="宋体" w:hAnsi="宋体"/>
          <w:color w:val="auto"/>
          <w:sz w:val="21"/>
          <w:szCs w:val="21"/>
          <w:highlight w:val="none"/>
          <w:lang w:eastAsia="zh-CN"/>
        </w:rPr>
        <w:t>合同价款</w:t>
      </w:r>
      <w:r>
        <w:rPr>
          <w:rFonts w:hint="default" w:ascii="宋体" w:hAnsi="宋体"/>
          <w:color w:val="auto"/>
          <w:sz w:val="21"/>
          <w:szCs w:val="21"/>
          <w:highlight w:val="none"/>
          <w:lang w:eastAsia="zh-CN"/>
        </w:rPr>
        <w:t>，不得以内部人员变更、履行内部付款流程等为由，拒绝或迟延支付。</w:t>
      </w:r>
    </w:p>
    <w:p w14:paraId="49D05978">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4</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6</w:t>
      </w:r>
      <w:r>
        <w:rPr>
          <w:rFonts w:ascii="宋体" w:hAnsi="宋体"/>
          <w:color w:val="auto"/>
          <w:sz w:val="21"/>
          <w:szCs w:val="21"/>
          <w:highlight w:val="none"/>
        </w:rPr>
        <w:t xml:space="preserve"> </w:t>
      </w:r>
      <w:r>
        <w:rPr>
          <w:rFonts w:hint="eastAsia" w:ascii="宋体" w:hAnsi="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olor w:val="auto"/>
          <w:sz w:val="21"/>
          <w:szCs w:val="21"/>
          <w:highlight w:val="none"/>
          <w:lang w:eastAsia="zh-CN"/>
        </w:rPr>
        <w:t>约定应</w:t>
      </w:r>
      <w:r>
        <w:rPr>
          <w:rFonts w:hint="eastAsia" w:ascii="宋体" w:hAnsi="宋体"/>
          <w:color w:val="auto"/>
          <w:sz w:val="21"/>
          <w:szCs w:val="21"/>
          <w:highlight w:val="none"/>
        </w:rPr>
        <w:t>由甲方承担的其他义务和责任。</w:t>
      </w:r>
    </w:p>
    <w:p w14:paraId="07873B94">
      <w:pPr>
        <w:autoSpaceDE w:val="0"/>
        <w:autoSpaceDN w:val="0"/>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lang w:eastAsia="zh-CN"/>
        </w:rPr>
        <w:t>5</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乙方的权利和义务</w:t>
      </w:r>
    </w:p>
    <w:p w14:paraId="343F9422">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 xml:space="preserve">.1 </w:t>
      </w:r>
      <w:r>
        <w:rPr>
          <w:rFonts w:ascii="宋体" w:hAnsi="宋体"/>
          <w:color w:val="auto"/>
          <w:sz w:val="21"/>
          <w:szCs w:val="21"/>
          <w:highlight w:val="none"/>
        </w:rPr>
        <w:t>签署合同后，乙方</w:t>
      </w:r>
      <w:r>
        <w:rPr>
          <w:rFonts w:hint="eastAsia" w:ascii="宋体" w:hAnsi="宋体"/>
          <w:color w:val="auto"/>
          <w:sz w:val="21"/>
          <w:szCs w:val="21"/>
          <w:highlight w:val="none"/>
          <w:lang w:eastAsia="zh-CN"/>
        </w:rPr>
        <w:t>应</w:t>
      </w:r>
      <w:r>
        <w:rPr>
          <w:rFonts w:ascii="宋体" w:hAnsi="宋体"/>
          <w:color w:val="auto"/>
          <w:sz w:val="21"/>
          <w:szCs w:val="21"/>
          <w:highlight w:val="none"/>
        </w:rPr>
        <w:t>确定</w:t>
      </w:r>
      <w:r>
        <w:rPr>
          <w:rFonts w:hint="eastAsia" w:ascii="宋体" w:hAnsi="宋体"/>
          <w:color w:val="auto"/>
          <w:sz w:val="21"/>
          <w:szCs w:val="21"/>
          <w:highlight w:val="none"/>
          <w:lang w:val="en-US" w:eastAsia="zh-CN"/>
        </w:rPr>
        <w:t>项目负责人（或项目联系人）</w:t>
      </w:r>
      <w:r>
        <w:rPr>
          <w:rFonts w:ascii="宋体" w:hAnsi="宋体"/>
          <w:color w:val="auto"/>
          <w:sz w:val="21"/>
          <w:szCs w:val="21"/>
          <w:highlight w:val="none"/>
        </w:rPr>
        <w:t>，负责与本合同有关的事务。</w:t>
      </w:r>
    </w:p>
    <w:p w14:paraId="46440F24">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2 乙方应按照合同要求</w:t>
      </w:r>
      <w:r>
        <w:rPr>
          <w:rFonts w:hint="eastAsia" w:ascii="宋体" w:hAnsi="宋体"/>
          <w:color w:val="auto"/>
          <w:sz w:val="21"/>
          <w:szCs w:val="21"/>
          <w:highlight w:val="none"/>
        </w:rPr>
        <w:t>履约</w:t>
      </w:r>
      <w:r>
        <w:rPr>
          <w:rFonts w:ascii="宋体" w:hAnsi="宋体"/>
          <w:color w:val="auto"/>
          <w:sz w:val="21"/>
          <w:szCs w:val="21"/>
          <w:highlight w:val="none"/>
        </w:rPr>
        <w:t>，充分合理安排，确保</w:t>
      </w:r>
      <w:r>
        <w:rPr>
          <w:rFonts w:hint="eastAsia" w:ascii="宋体" w:hAnsi="宋体"/>
          <w:color w:val="auto"/>
          <w:sz w:val="21"/>
          <w:szCs w:val="21"/>
          <w:highlight w:val="none"/>
        </w:rPr>
        <w:t>提供的货物</w:t>
      </w:r>
      <w:r>
        <w:rPr>
          <w:rFonts w:hint="eastAsia" w:ascii="宋体" w:hAnsi="宋体"/>
          <w:color w:val="auto"/>
          <w:sz w:val="21"/>
          <w:szCs w:val="21"/>
          <w:highlight w:val="none"/>
          <w:lang w:eastAsia="zh-CN"/>
        </w:rPr>
        <w:t>及相关</w:t>
      </w:r>
      <w:r>
        <w:rPr>
          <w:rFonts w:hint="eastAsia" w:ascii="宋体" w:hAnsi="宋体"/>
          <w:color w:val="auto"/>
          <w:sz w:val="21"/>
          <w:szCs w:val="21"/>
          <w:highlight w:val="none"/>
        </w:rPr>
        <w:t>服务符合合同</w:t>
      </w:r>
      <w:r>
        <w:rPr>
          <w:rFonts w:hint="eastAsia" w:ascii="宋体" w:hAnsi="宋体"/>
          <w:color w:val="auto"/>
          <w:sz w:val="21"/>
          <w:szCs w:val="21"/>
          <w:highlight w:val="none"/>
          <w:lang w:eastAsia="zh-CN"/>
        </w:rPr>
        <w:t>有关</w:t>
      </w:r>
      <w:r>
        <w:rPr>
          <w:rFonts w:ascii="宋体" w:hAnsi="宋体"/>
          <w:color w:val="auto"/>
          <w:sz w:val="21"/>
          <w:szCs w:val="21"/>
          <w:highlight w:val="none"/>
        </w:rPr>
        <w:t>要求</w:t>
      </w:r>
      <w:r>
        <w:rPr>
          <w:rFonts w:hint="eastAsia" w:ascii="宋体" w:hAnsi="宋体"/>
          <w:color w:val="auto"/>
          <w:sz w:val="21"/>
          <w:szCs w:val="21"/>
          <w:highlight w:val="none"/>
        </w:rPr>
        <w:t>。接受项目行业管理部门及政府有关部门的指导，配合甲方的履约检查</w:t>
      </w:r>
      <w:r>
        <w:rPr>
          <w:rFonts w:hint="eastAsia" w:ascii="宋体" w:hAnsi="宋体"/>
          <w:color w:val="auto"/>
          <w:sz w:val="21"/>
          <w:szCs w:val="21"/>
          <w:highlight w:val="none"/>
          <w:lang w:eastAsia="zh-CN"/>
        </w:rPr>
        <w:t>及验收</w:t>
      </w:r>
      <w:r>
        <w:rPr>
          <w:rFonts w:hint="eastAsia" w:ascii="宋体" w:hAnsi="宋体"/>
          <w:color w:val="auto"/>
          <w:sz w:val="21"/>
          <w:szCs w:val="21"/>
          <w:highlight w:val="none"/>
        </w:rPr>
        <w:t>，并</w:t>
      </w:r>
      <w:r>
        <w:rPr>
          <w:rFonts w:ascii="宋体" w:hAnsi="宋体"/>
          <w:color w:val="auto"/>
          <w:sz w:val="21"/>
          <w:szCs w:val="21"/>
          <w:highlight w:val="none"/>
        </w:rPr>
        <w:t>负责项目实施过程中的所有协调工作。</w:t>
      </w:r>
    </w:p>
    <w:p w14:paraId="35BD0E2D">
      <w:pPr>
        <w:pStyle w:val="16"/>
        <w:tabs>
          <w:tab w:val="left" w:pos="567"/>
        </w:tabs>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2E827C12">
      <w:pPr>
        <w:pStyle w:val="16"/>
        <w:tabs>
          <w:tab w:val="left" w:pos="567"/>
        </w:tabs>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00273012">
      <w:pPr>
        <w:numPr>
          <w:ilvl w:val="0"/>
          <w:numId w:val="6"/>
        </w:numPr>
        <w:autoSpaceDE w:val="0"/>
        <w:autoSpaceDN w:val="0"/>
        <w:adjustRightInd w:val="0"/>
        <w:snapToGrid w:val="0"/>
        <w:spacing w:before="0" w:line="400" w:lineRule="exact"/>
        <w:jc w:val="left"/>
        <w:rPr>
          <w:rFonts w:hint="eastAsia" w:ascii="宋体" w:hAnsi="宋体"/>
          <w:b/>
          <w:bCs/>
          <w:color w:val="auto"/>
          <w:sz w:val="21"/>
          <w:szCs w:val="21"/>
          <w:highlight w:val="none"/>
        </w:rPr>
      </w:pPr>
      <w:r>
        <w:rPr>
          <w:rFonts w:hint="eastAsia" w:ascii="宋体" w:hAnsi="宋体"/>
          <w:b/>
          <w:bCs/>
          <w:color w:val="auto"/>
          <w:sz w:val="21"/>
          <w:szCs w:val="21"/>
          <w:highlight w:val="none"/>
        </w:rPr>
        <w:t>合同履</w:t>
      </w:r>
      <w:r>
        <w:rPr>
          <w:rFonts w:hint="eastAsia" w:ascii="宋体" w:hAnsi="宋体"/>
          <w:b/>
          <w:bCs/>
          <w:color w:val="auto"/>
          <w:sz w:val="21"/>
          <w:szCs w:val="21"/>
          <w:highlight w:val="none"/>
          <w:lang w:val="en-US" w:eastAsia="zh-CN"/>
        </w:rPr>
        <w:t>行</w:t>
      </w:r>
    </w:p>
    <w:p w14:paraId="4FB22F1C">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6</w:t>
      </w:r>
      <w:r>
        <w:rPr>
          <w:rFonts w:hint="eastAsia" w:ascii="宋体" w:hAnsi="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color w:val="auto"/>
          <w:sz w:val="21"/>
          <w:szCs w:val="21"/>
          <w:highlight w:val="none"/>
        </w:rPr>
        <w:t>约定顺序履行合同义务；如果没有先后顺序的，应当同时履行。</w:t>
      </w:r>
    </w:p>
    <w:p w14:paraId="024733AE">
      <w:pPr>
        <w:autoSpaceDE w:val="0"/>
        <w:autoSpaceDN w:val="0"/>
        <w:adjustRightInd w:val="0"/>
        <w:snapToGrid w:val="0"/>
        <w:spacing w:before="0" w:line="400" w:lineRule="exact"/>
        <w:ind w:firstLine="420" w:firstLineChars="200"/>
        <w:jc w:val="left"/>
        <w:rPr>
          <w:color w:val="auto"/>
          <w:sz w:val="21"/>
          <w:szCs w:val="21"/>
          <w:highlight w:val="none"/>
        </w:rPr>
      </w:pPr>
      <w:r>
        <w:rPr>
          <w:rFonts w:hint="eastAsia" w:ascii="宋体" w:hAnsi="宋体"/>
          <w:color w:val="auto"/>
          <w:sz w:val="21"/>
          <w:szCs w:val="21"/>
          <w:highlight w:val="none"/>
          <w:lang w:eastAsia="zh-CN"/>
        </w:rPr>
        <w:t>6</w:t>
      </w:r>
      <w:r>
        <w:rPr>
          <w:rFonts w:hint="eastAsia" w:ascii="宋体" w:hAnsi="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0B1B1E47">
      <w:pPr>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lang w:eastAsia="zh-CN"/>
        </w:rPr>
        <w:t>7</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货物包装、运输</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rPr>
        <w:t>保险</w:t>
      </w:r>
      <w:r>
        <w:rPr>
          <w:rFonts w:hint="eastAsia" w:ascii="宋体" w:hAnsi="宋体"/>
          <w:b/>
          <w:bCs/>
          <w:color w:val="auto"/>
          <w:sz w:val="21"/>
          <w:szCs w:val="21"/>
          <w:highlight w:val="none"/>
          <w:lang w:eastAsia="zh-CN"/>
        </w:rPr>
        <w:t>和交付</w:t>
      </w:r>
      <w:r>
        <w:rPr>
          <w:rFonts w:hint="eastAsia" w:ascii="宋体" w:hAnsi="宋体"/>
          <w:b/>
          <w:bCs/>
          <w:color w:val="auto"/>
          <w:sz w:val="21"/>
          <w:szCs w:val="21"/>
          <w:highlight w:val="none"/>
        </w:rPr>
        <w:t>要求</w:t>
      </w:r>
    </w:p>
    <w:p w14:paraId="3366F87E">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7</w:t>
      </w:r>
      <w:r>
        <w:rPr>
          <w:rFonts w:hint="eastAsia" w:ascii="宋体" w:hAnsi="宋体"/>
          <w:color w:val="auto"/>
          <w:sz w:val="21"/>
          <w:szCs w:val="21"/>
          <w:highlight w:val="none"/>
        </w:rPr>
        <w:t>.1 本合同</w:t>
      </w:r>
      <w:r>
        <w:rPr>
          <w:rFonts w:hint="eastAsia" w:ascii="宋体" w:hAnsi="宋体"/>
          <w:bCs/>
          <w:color w:val="auto"/>
          <w:sz w:val="21"/>
          <w:szCs w:val="21"/>
          <w:highlight w:val="none"/>
        </w:rPr>
        <w:t>涉及商品包装</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快递包装的，</w:t>
      </w:r>
      <w:r>
        <w:rPr>
          <w:rFonts w:hint="eastAsia" w:ascii="宋体" w:hAnsi="宋体"/>
          <w:color w:val="auto"/>
          <w:sz w:val="21"/>
          <w:szCs w:val="21"/>
          <w:highlight w:val="none"/>
        </w:rPr>
        <w:t>除</w:t>
      </w:r>
      <w:r>
        <w:rPr>
          <w:rFonts w:hint="eastAsia" w:ascii="宋体" w:hAnsi="宋体"/>
          <w:b/>
          <w:color w:val="auto"/>
          <w:sz w:val="21"/>
          <w:szCs w:val="21"/>
          <w:highlight w:val="none"/>
        </w:rPr>
        <w:t>【政府采购合同专用条款】</w:t>
      </w:r>
      <w:r>
        <w:rPr>
          <w:rFonts w:hint="eastAsia" w:ascii="宋体" w:hAnsi="宋体"/>
          <w:bCs/>
          <w:color w:val="auto"/>
          <w:sz w:val="21"/>
          <w:szCs w:val="21"/>
          <w:highlight w:val="none"/>
        </w:rPr>
        <w:t>另有</w:t>
      </w:r>
      <w:r>
        <w:rPr>
          <w:rFonts w:hint="eastAsia" w:ascii="宋体" w:hAnsi="宋体"/>
          <w:bCs/>
          <w:color w:val="auto"/>
          <w:sz w:val="21"/>
          <w:szCs w:val="21"/>
          <w:highlight w:val="none"/>
          <w:lang w:eastAsia="zh-CN"/>
        </w:rPr>
        <w:t>约</w:t>
      </w:r>
      <w:r>
        <w:rPr>
          <w:rFonts w:hint="eastAsia" w:ascii="宋体" w:hAnsi="宋体"/>
          <w:bCs/>
          <w:color w:val="auto"/>
          <w:sz w:val="21"/>
          <w:szCs w:val="21"/>
          <w:highlight w:val="none"/>
        </w:rPr>
        <w:t>定</w:t>
      </w:r>
      <w:r>
        <w:rPr>
          <w:rFonts w:hint="eastAsia" w:ascii="宋体" w:hAnsi="宋体"/>
          <w:bCs/>
          <w:color w:val="auto"/>
          <w:sz w:val="21"/>
          <w:szCs w:val="21"/>
          <w:highlight w:val="none"/>
          <w:lang w:eastAsia="zh-CN"/>
        </w:rPr>
        <w:t>外</w:t>
      </w:r>
      <w:r>
        <w:rPr>
          <w:rFonts w:hint="eastAsia" w:ascii="宋体" w:hAnsi="宋体"/>
          <w:bCs/>
          <w:color w:val="auto"/>
          <w:sz w:val="21"/>
          <w:szCs w:val="21"/>
          <w:highlight w:val="none"/>
        </w:rPr>
        <w:t>，</w:t>
      </w:r>
      <w:r>
        <w:rPr>
          <w:rFonts w:hint="eastAsia" w:ascii="宋体" w:hAnsi="宋体"/>
          <w:color w:val="auto"/>
          <w:sz w:val="21"/>
          <w:szCs w:val="21"/>
          <w:highlight w:val="none"/>
        </w:rPr>
        <w:t>包装应适应远距离运输、防潮、防震、防锈和防野蛮装卸等要求，确保货物安全无损地运抵</w:t>
      </w:r>
      <w:r>
        <w:rPr>
          <w:rFonts w:hint="eastAsia" w:ascii="宋体" w:hAnsi="宋体"/>
          <w:b/>
          <w:color w:val="auto"/>
          <w:sz w:val="21"/>
          <w:szCs w:val="21"/>
          <w:highlight w:val="none"/>
        </w:rPr>
        <w:t>【政府采购合同专用条款】</w:t>
      </w:r>
      <w:r>
        <w:rPr>
          <w:rFonts w:hint="eastAsia" w:ascii="宋体" w:hAnsi="宋体"/>
          <w:b w:val="0"/>
          <w:bCs/>
          <w:color w:val="auto"/>
          <w:sz w:val="21"/>
          <w:szCs w:val="21"/>
          <w:highlight w:val="none"/>
          <w:lang w:eastAsia="zh-CN"/>
        </w:rPr>
        <w:t>约定的</w:t>
      </w:r>
      <w:r>
        <w:rPr>
          <w:rFonts w:hint="eastAsia" w:ascii="宋体" w:hAnsi="宋体"/>
          <w:color w:val="auto"/>
          <w:sz w:val="21"/>
          <w:szCs w:val="21"/>
          <w:highlight w:val="none"/>
        </w:rPr>
        <w:t>指定现场。</w:t>
      </w:r>
    </w:p>
    <w:p w14:paraId="4DD9FECD">
      <w:pPr>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7</w:t>
      </w:r>
      <w:r>
        <w:rPr>
          <w:rFonts w:hint="eastAsia" w:ascii="宋体" w:hAnsi="宋体"/>
          <w:color w:val="auto"/>
          <w:sz w:val="21"/>
          <w:szCs w:val="21"/>
          <w:highlight w:val="none"/>
        </w:rPr>
        <w:t>.2 除</w:t>
      </w:r>
      <w:r>
        <w:rPr>
          <w:rFonts w:hint="eastAsia" w:ascii="宋体" w:hAnsi="宋体"/>
          <w:b/>
          <w:color w:val="auto"/>
          <w:sz w:val="21"/>
          <w:szCs w:val="21"/>
          <w:highlight w:val="none"/>
        </w:rPr>
        <w:t>【政府采购合同专用条款】</w:t>
      </w:r>
      <w:r>
        <w:rPr>
          <w:rFonts w:hint="eastAsia" w:ascii="宋体" w:hAnsi="宋体"/>
          <w:bCs/>
          <w:color w:val="auto"/>
          <w:sz w:val="21"/>
          <w:szCs w:val="21"/>
          <w:highlight w:val="none"/>
        </w:rPr>
        <w:t>另有</w:t>
      </w:r>
      <w:r>
        <w:rPr>
          <w:rFonts w:hint="eastAsia" w:ascii="宋体" w:hAnsi="宋体"/>
          <w:bCs/>
          <w:color w:val="auto"/>
          <w:sz w:val="21"/>
          <w:szCs w:val="21"/>
          <w:highlight w:val="none"/>
          <w:lang w:eastAsia="zh-CN"/>
        </w:rPr>
        <w:t>约</w:t>
      </w:r>
      <w:r>
        <w:rPr>
          <w:rFonts w:hint="eastAsia" w:ascii="宋体" w:hAnsi="宋体"/>
          <w:bCs/>
          <w:color w:val="auto"/>
          <w:sz w:val="21"/>
          <w:szCs w:val="21"/>
          <w:highlight w:val="none"/>
        </w:rPr>
        <w:t>定</w:t>
      </w:r>
      <w:r>
        <w:rPr>
          <w:rFonts w:hint="eastAsia" w:ascii="宋体" w:hAnsi="宋体"/>
          <w:bCs/>
          <w:color w:val="auto"/>
          <w:sz w:val="21"/>
          <w:szCs w:val="21"/>
          <w:highlight w:val="none"/>
          <w:lang w:eastAsia="zh-CN"/>
        </w:rPr>
        <w:t>外</w:t>
      </w:r>
      <w:r>
        <w:rPr>
          <w:rFonts w:hint="eastAsia" w:ascii="宋体" w:hAnsi="宋体"/>
          <w:bCs/>
          <w:color w:val="auto"/>
          <w:sz w:val="21"/>
          <w:szCs w:val="21"/>
          <w:highlight w:val="none"/>
        </w:rPr>
        <w:t>，</w:t>
      </w:r>
      <w:r>
        <w:rPr>
          <w:rFonts w:hint="eastAsia" w:ascii="宋体" w:hAnsi="宋体"/>
          <w:color w:val="auto"/>
          <w:sz w:val="21"/>
          <w:szCs w:val="21"/>
          <w:highlight w:val="none"/>
        </w:rPr>
        <w:t>乙方负责办理将货物运抵本合同规定的交货地点</w:t>
      </w:r>
      <w:r>
        <w:rPr>
          <w:rFonts w:hint="eastAsia" w:ascii="宋体" w:hAnsi="宋体"/>
          <w:color w:val="auto"/>
          <w:sz w:val="21"/>
          <w:szCs w:val="21"/>
          <w:highlight w:val="none"/>
          <w:lang w:eastAsia="zh-CN"/>
        </w:rPr>
        <w:t>，并装卸、交付至甲方</w:t>
      </w:r>
      <w:r>
        <w:rPr>
          <w:rFonts w:hint="eastAsia" w:ascii="宋体" w:hAnsi="宋体"/>
          <w:color w:val="auto"/>
          <w:sz w:val="21"/>
          <w:szCs w:val="21"/>
          <w:highlight w:val="none"/>
        </w:rPr>
        <w:t>的一切运输事项，相关费用应</w:t>
      </w:r>
      <w:r>
        <w:rPr>
          <w:rFonts w:hint="eastAsia" w:ascii="宋体" w:hAnsi="宋体"/>
          <w:color w:val="auto"/>
          <w:sz w:val="21"/>
          <w:szCs w:val="21"/>
          <w:highlight w:val="none"/>
          <w:lang w:eastAsia="zh-CN"/>
        </w:rPr>
        <w:t>包含</w:t>
      </w:r>
      <w:r>
        <w:rPr>
          <w:rFonts w:hint="eastAsia" w:ascii="宋体" w:hAnsi="宋体"/>
          <w:color w:val="auto"/>
          <w:sz w:val="21"/>
          <w:szCs w:val="21"/>
          <w:highlight w:val="none"/>
        </w:rPr>
        <w:t>在合同</w:t>
      </w:r>
      <w:r>
        <w:rPr>
          <w:rFonts w:hint="eastAsia" w:ascii="宋体" w:hAnsi="宋体"/>
          <w:color w:val="auto"/>
          <w:sz w:val="21"/>
          <w:szCs w:val="21"/>
          <w:highlight w:val="none"/>
          <w:lang w:eastAsia="zh-CN"/>
        </w:rPr>
        <w:t>价款</w:t>
      </w:r>
      <w:r>
        <w:rPr>
          <w:rFonts w:hint="eastAsia" w:ascii="宋体" w:hAnsi="宋体"/>
          <w:color w:val="auto"/>
          <w:sz w:val="21"/>
          <w:szCs w:val="21"/>
          <w:highlight w:val="none"/>
        </w:rPr>
        <w:t>中。</w:t>
      </w:r>
    </w:p>
    <w:p w14:paraId="0C61C791">
      <w:pPr>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7</w:t>
      </w:r>
      <w:r>
        <w:rPr>
          <w:rFonts w:hint="eastAsia" w:ascii="宋体" w:hAnsi="宋体"/>
          <w:color w:val="auto"/>
          <w:sz w:val="21"/>
          <w:szCs w:val="21"/>
          <w:highlight w:val="none"/>
        </w:rPr>
        <w:t>.3 货物保险要求按</w:t>
      </w:r>
      <w:r>
        <w:rPr>
          <w:rFonts w:hint="eastAsia" w:ascii="宋体" w:hAnsi="宋体"/>
          <w:b/>
          <w:color w:val="auto"/>
          <w:sz w:val="21"/>
          <w:szCs w:val="21"/>
          <w:highlight w:val="none"/>
        </w:rPr>
        <w:t>【政府采购合同专用条款】</w:t>
      </w:r>
      <w:r>
        <w:rPr>
          <w:rFonts w:hint="eastAsia" w:ascii="宋体" w:hAnsi="宋体"/>
          <w:bCs/>
          <w:color w:val="auto"/>
          <w:sz w:val="21"/>
          <w:szCs w:val="21"/>
          <w:highlight w:val="none"/>
        </w:rPr>
        <w:t>规定执行</w:t>
      </w:r>
      <w:r>
        <w:rPr>
          <w:rFonts w:hint="eastAsia" w:ascii="宋体" w:hAnsi="宋体"/>
          <w:color w:val="auto"/>
          <w:sz w:val="21"/>
          <w:szCs w:val="21"/>
          <w:highlight w:val="none"/>
        </w:rPr>
        <w:t>。</w:t>
      </w:r>
    </w:p>
    <w:p w14:paraId="5D128C4A">
      <w:pPr>
        <w:autoSpaceDE w:val="0"/>
        <w:autoSpaceDN w:val="0"/>
        <w:adjustRightInd w:val="0"/>
        <w:snapToGrid w:val="0"/>
        <w:spacing w:before="0"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lang w:eastAsia="zh-CN"/>
        </w:rPr>
        <w:t>7</w:t>
      </w:r>
      <w:r>
        <w:rPr>
          <w:rFonts w:hint="eastAsia" w:ascii="宋体" w:hAnsi="宋体"/>
          <w:color w:val="auto"/>
          <w:sz w:val="21"/>
          <w:szCs w:val="21"/>
          <w:highlight w:val="none"/>
        </w:rPr>
        <w:t xml:space="preserve">.4 </w:t>
      </w:r>
      <w:r>
        <w:rPr>
          <w:rFonts w:hint="eastAsia" w:ascii="宋体" w:hAnsi="宋体"/>
          <w:color w:val="auto"/>
          <w:sz w:val="21"/>
          <w:szCs w:val="21"/>
          <w:highlight w:val="none"/>
          <w:lang w:val="en-US" w:eastAsia="zh-CN"/>
        </w:rPr>
        <w:t>除采购活动</w:t>
      </w:r>
      <w:r>
        <w:rPr>
          <w:rFonts w:hint="eastAsia" w:ascii="宋体" w:hAnsi="宋体"/>
          <w:color w:val="auto"/>
          <w:sz w:val="21"/>
          <w:szCs w:val="21"/>
          <w:highlight w:val="none"/>
        </w:rPr>
        <w:t>对商品包装</w:t>
      </w:r>
      <w:r>
        <w:rPr>
          <w:rFonts w:hint="eastAsia" w:ascii="宋体" w:hAnsi="宋体"/>
          <w:color w:val="auto"/>
          <w:sz w:val="21"/>
          <w:szCs w:val="21"/>
          <w:highlight w:val="none"/>
          <w:lang w:eastAsia="zh-CN"/>
        </w:rPr>
        <w:t>、</w:t>
      </w:r>
      <w:r>
        <w:rPr>
          <w:rFonts w:hint="eastAsia" w:ascii="宋体" w:hAnsi="宋体"/>
          <w:color w:val="auto"/>
          <w:sz w:val="21"/>
          <w:szCs w:val="21"/>
          <w:highlight w:val="none"/>
        </w:rPr>
        <w:t>快递包装</w:t>
      </w:r>
      <w:r>
        <w:rPr>
          <w:rFonts w:hint="eastAsia" w:ascii="宋体" w:hAnsi="宋体"/>
          <w:color w:val="auto"/>
          <w:sz w:val="21"/>
          <w:szCs w:val="21"/>
          <w:highlight w:val="none"/>
          <w:lang w:val="en-US" w:eastAsia="zh-CN"/>
        </w:rPr>
        <w:t>达成具体约定外</w:t>
      </w:r>
      <w:r>
        <w:rPr>
          <w:rFonts w:hint="eastAsia" w:ascii="宋体" w:hAnsi="宋体"/>
          <w:color w:val="auto"/>
          <w:sz w:val="21"/>
          <w:szCs w:val="21"/>
          <w:highlight w:val="none"/>
        </w:rPr>
        <w:t>，乙方提供产品及相关快递服务</w:t>
      </w:r>
      <w:r>
        <w:rPr>
          <w:rFonts w:hint="eastAsia" w:ascii="宋体" w:hAnsi="宋体"/>
          <w:color w:val="auto"/>
          <w:sz w:val="21"/>
          <w:szCs w:val="21"/>
          <w:highlight w:val="none"/>
          <w:lang w:val="en-US" w:eastAsia="zh-CN"/>
        </w:rPr>
        <w:t>涉及到</w:t>
      </w:r>
      <w:r>
        <w:rPr>
          <w:rFonts w:hint="eastAsia" w:ascii="宋体" w:hAnsi="宋体"/>
          <w:color w:val="auto"/>
          <w:sz w:val="21"/>
          <w:szCs w:val="21"/>
          <w:highlight w:val="none"/>
        </w:rPr>
        <w:t>具体包装要求</w:t>
      </w:r>
      <w:r>
        <w:rPr>
          <w:rFonts w:hint="eastAsia" w:ascii="宋体" w:hAnsi="宋体"/>
          <w:color w:val="auto"/>
          <w:sz w:val="21"/>
          <w:szCs w:val="21"/>
          <w:highlight w:val="none"/>
          <w:lang w:val="en-US" w:eastAsia="zh-CN"/>
        </w:rPr>
        <w:t>的，</w:t>
      </w:r>
      <w:r>
        <w:rPr>
          <w:rFonts w:hint="eastAsia" w:ascii="宋体" w:hAnsi="宋体"/>
          <w:color w:val="auto"/>
          <w:sz w:val="21"/>
          <w:szCs w:val="21"/>
          <w:highlight w:val="none"/>
        </w:rPr>
        <w:t>应</w:t>
      </w:r>
      <w:r>
        <w:rPr>
          <w:rFonts w:hint="eastAsia" w:ascii="宋体" w:hAnsi="宋体"/>
          <w:color w:val="auto"/>
          <w:sz w:val="21"/>
          <w:szCs w:val="21"/>
          <w:highlight w:val="none"/>
          <w:lang w:val="en-US" w:eastAsia="zh-CN"/>
        </w:rPr>
        <w:t>不低于</w:t>
      </w:r>
      <w:r>
        <w:rPr>
          <w:rFonts w:hint="eastAsia" w:ascii="宋体" w:hAnsi="宋体"/>
          <w:color w:val="auto"/>
          <w:sz w:val="21"/>
          <w:szCs w:val="21"/>
          <w:highlight w:val="none"/>
        </w:rPr>
        <w:t>《商品包装政府采购需求标准（试行）</w:t>
      </w:r>
      <w:r>
        <w:rPr>
          <w:rFonts w:hint="eastAsia" w:ascii="宋体" w:hAnsi="宋体"/>
          <w:color w:val="auto"/>
          <w:sz w:val="21"/>
          <w:szCs w:val="21"/>
          <w:highlight w:val="none"/>
          <w:lang w:eastAsia="zh-CN"/>
        </w:rPr>
        <w:t>》《</w:t>
      </w:r>
      <w:r>
        <w:rPr>
          <w:rFonts w:hint="eastAsia" w:ascii="宋体" w:hAnsi="宋体"/>
          <w:color w:val="auto"/>
          <w:sz w:val="21"/>
          <w:szCs w:val="21"/>
          <w:highlight w:val="none"/>
        </w:rPr>
        <w:t>快递包装政府采购需求标准（试行）》</w:t>
      </w:r>
      <w:r>
        <w:rPr>
          <w:rFonts w:hint="eastAsia" w:ascii="宋体" w:hAnsi="宋体"/>
          <w:color w:val="auto"/>
          <w:sz w:val="21"/>
          <w:szCs w:val="21"/>
          <w:highlight w:val="none"/>
          <w:lang w:val="en-US" w:eastAsia="zh-CN"/>
        </w:rPr>
        <w:t>标准</w:t>
      </w:r>
      <w:r>
        <w:rPr>
          <w:rFonts w:hint="eastAsia" w:ascii="宋体" w:hAnsi="宋体"/>
          <w:color w:val="auto"/>
          <w:sz w:val="21"/>
          <w:szCs w:val="21"/>
          <w:highlight w:val="none"/>
        </w:rPr>
        <w:t>，并作为履约验收的内容，必要时甲方可以要求乙方在履约验收环节出具检测报告。</w:t>
      </w:r>
    </w:p>
    <w:p w14:paraId="1034580A">
      <w:pPr>
        <w:autoSpaceDE w:val="0"/>
        <w:autoSpaceDN w:val="0"/>
        <w:adjustRightInd w:val="0"/>
        <w:snapToGrid w:val="0"/>
        <w:spacing w:before="0"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cs="宋体"/>
          <w:color w:val="auto"/>
          <w:sz w:val="21"/>
          <w:szCs w:val="21"/>
          <w:highlight w:val="none"/>
          <w:lang w:eastAsia="zh-CN"/>
        </w:rPr>
        <w:t>，甲方配合乙方做好货物的接收工作。</w:t>
      </w:r>
    </w:p>
    <w:p w14:paraId="74036B27">
      <w:pPr>
        <w:pStyle w:val="233"/>
        <w:rPr>
          <w:rFonts w:hint="default" w:eastAsia="华文楷体"/>
          <w:color w:val="auto"/>
          <w:sz w:val="21"/>
          <w:szCs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01A718AB">
      <w:pPr>
        <w:adjustRightInd w:val="0"/>
        <w:snapToGrid w:val="0"/>
        <w:spacing w:before="0" w:line="400" w:lineRule="exact"/>
        <w:jc w:val="left"/>
        <w:rPr>
          <w:rFonts w:ascii="宋体" w:hAnsi="宋体"/>
          <w:b/>
          <w:color w:val="auto"/>
          <w:sz w:val="21"/>
          <w:szCs w:val="21"/>
          <w:highlight w:val="none"/>
        </w:rPr>
      </w:pPr>
      <w:r>
        <w:rPr>
          <w:rFonts w:hint="eastAsia" w:ascii="宋体" w:hAnsi="宋体"/>
          <w:b/>
          <w:color w:val="auto"/>
          <w:sz w:val="21"/>
          <w:szCs w:val="21"/>
          <w:highlight w:val="none"/>
          <w:lang w:eastAsia="zh-CN"/>
        </w:rPr>
        <w:t>8</w:t>
      </w:r>
      <w:r>
        <w:rPr>
          <w:rFonts w:hint="eastAsia" w:ascii="宋体" w:hAnsi="宋体"/>
          <w:b/>
          <w:color w:val="auto"/>
          <w:sz w:val="21"/>
          <w:szCs w:val="21"/>
          <w:highlight w:val="none"/>
          <w:lang w:val="en-US" w:eastAsia="zh-CN"/>
        </w:rPr>
        <w:t xml:space="preserve">. </w:t>
      </w:r>
      <w:r>
        <w:rPr>
          <w:rFonts w:hint="eastAsia" w:ascii="宋体" w:hAnsi="宋体"/>
          <w:b/>
          <w:color w:val="auto"/>
          <w:sz w:val="21"/>
          <w:szCs w:val="21"/>
          <w:highlight w:val="none"/>
        </w:rPr>
        <w:t>质量标准和保证</w:t>
      </w:r>
    </w:p>
    <w:p w14:paraId="6DDE71E6">
      <w:pPr>
        <w:pStyle w:val="19"/>
        <w:adjustRightInd w:val="0"/>
        <w:snapToGrid w:val="0"/>
        <w:spacing w:before="0" w:line="400" w:lineRule="exact"/>
        <w:ind w:firstLine="420" w:firstLineChars="200"/>
        <w:jc w:val="left"/>
        <w:rPr>
          <w:rFonts w:hAnsi="宋体"/>
          <w:b/>
          <w:color w:val="auto"/>
          <w:sz w:val="21"/>
          <w:szCs w:val="21"/>
          <w:highlight w:val="none"/>
        </w:rPr>
      </w:pPr>
      <w:r>
        <w:rPr>
          <w:rFonts w:hint="eastAsia" w:hAnsi="宋体"/>
          <w:color w:val="auto"/>
          <w:sz w:val="21"/>
          <w:szCs w:val="21"/>
          <w:highlight w:val="none"/>
          <w:lang w:eastAsia="zh-CN"/>
        </w:rPr>
        <w:t>8</w:t>
      </w:r>
      <w:r>
        <w:rPr>
          <w:rFonts w:hint="eastAsia" w:hAnsi="宋体"/>
          <w:color w:val="auto"/>
          <w:sz w:val="21"/>
          <w:szCs w:val="21"/>
          <w:highlight w:val="none"/>
        </w:rPr>
        <w:t>.1 质量标准</w:t>
      </w:r>
    </w:p>
    <w:p w14:paraId="3DE43427">
      <w:pPr>
        <w:autoSpaceDE w:val="0"/>
        <w:autoSpaceDN w:val="0"/>
        <w:adjustRightInd w:val="0"/>
        <w:snapToGrid w:val="0"/>
        <w:spacing w:before="0"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（1）本合同下</w:t>
      </w:r>
      <w:r>
        <w:rPr>
          <w:rFonts w:hint="eastAsia" w:ascii="宋体" w:hAnsi="宋体"/>
          <w:color w:val="auto"/>
          <w:sz w:val="21"/>
          <w:szCs w:val="21"/>
          <w:highlight w:val="none"/>
          <w:lang w:eastAsia="zh-CN"/>
        </w:rPr>
        <w:t>提供</w:t>
      </w:r>
      <w:r>
        <w:rPr>
          <w:rFonts w:hint="eastAsia" w:ascii="宋体" w:hAnsi="宋体"/>
          <w:color w:val="auto"/>
          <w:sz w:val="21"/>
          <w:szCs w:val="21"/>
          <w:highlight w:val="none"/>
        </w:rPr>
        <w:t>的货物应符合</w:t>
      </w:r>
      <w:r>
        <w:rPr>
          <w:rFonts w:hint="eastAsia" w:ascii="宋体" w:hAnsi="宋体"/>
          <w:color w:val="auto"/>
          <w:sz w:val="21"/>
          <w:szCs w:val="21"/>
          <w:highlight w:val="none"/>
          <w:lang w:eastAsia="zh-CN"/>
        </w:rPr>
        <w:t>合同</w:t>
      </w:r>
      <w:r>
        <w:rPr>
          <w:rFonts w:hint="eastAsia" w:ascii="宋体" w:hAnsi="宋体" w:cs="宋体"/>
          <w:color w:val="auto"/>
          <w:sz w:val="21"/>
          <w:szCs w:val="21"/>
          <w:highlight w:val="none"/>
          <w:lang w:eastAsia="zh-CN"/>
        </w:rPr>
        <w:t>约</w:t>
      </w:r>
      <w:r>
        <w:rPr>
          <w:rFonts w:hint="eastAsia" w:ascii="宋体" w:hAnsi="宋体" w:eastAsia="宋体" w:cs="宋体"/>
          <w:color w:val="auto"/>
          <w:sz w:val="21"/>
          <w:szCs w:val="21"/>
          <w:highlight w:val="none"/>
        </w:rPr>
        <w:t>定的品牌、规格型号、技术性能、配置、质量、数量等要求。</w:t>
      </w:r>
      <w:r>
        <w:rPr>
          <w:rFonts w:hint="eastAsia" w:ascii="宋体" w:hAnsi="宋体"/>
          <w:color w:val="auto"/>
          <w:sz w:val="21"/>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 w:val="21"/>
          <w:szCs w:val="21"/>
          <w:highlight w:val="none"/>
          <w:lang w:eastAsia="zh-CN"/>
        </w:rPr>
        <w:t>。</w:t>
      </w:r>
    </w:p>
    <w:p w14:paraId="14DC5B75">
      <w:pPr>
        <w:pStyle w:val="19"/>
        <w:adjustRightInd w:val="0"/>
        <w:snapToGrid w:val="0"/>
        <w:spacing w:before="0" w:line="400" w:lineRule="exact"/>
        <w:ind w:firstLine="420" w:firstLineChars="200"/>
        <w:jc w:val="left"/>
        <w:rPr>
          <w:rFonts w:hAnsi="宋体"/>
          <w:color w:val="auto"/>
          <w:sz w:val="21"/>
          <w:szCs w:val="21"/>
          <w:highlight w:val="none"/>
        </w:rPr>
      </w:pPr>
      <w:r>
        <w:rPr>
          <w:rFonts w:hint="eastAsia" w:hAnsi="宋体"/>
          <w:color w:val="auto"/>
          <w:sz w:val="21"/>
          <w:szCs w:val="21"/>
          <w:highlight w:val="none"/>
        </w:rPr>
        <w:t>（2）采用中华人民共和国法定计量单位。</w:t>
      </w:r>
    </w:p>
    <w:p w14:paraId="3C33F7B7">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（3）乙方所</w:t>
      </w:r>
      <w:r>
        <w:rPr>
          <w:rFonts w:hint="eastAsia" w:ascii="宋体" w:hAnsi="宋体"/>
          <w:color w:val="auto"/>
          <w:sz w:val="21"/>
          <w:szCs w:val="21"/>
          <w:highlight w:val="none"/>
          <w:lang w:eastAsia="zh-CN"/>
        </w:rPr>
        <w:t>提供</w:t>
      </w:r>
      <w:r>
        <w:rPr>
          <w:rFonts w:hint="eastAsia" w:ascii="宋体" w:hAnsi="宋体"/>
          <w:color w:val="auto"/>
          <w:sz w:val="21"/>
          <w:szCs w:val="21"/>
          <w:highlight w:val="none"/>
        </w:rPr>
        <w:t>的货物应符合国家有关安全、环保、卫生</w:t>
      </w:r>
      <w:r>
        <w:rPr>
          <w:rFonts w:hint="eastAsia" w:ascii="宋体" w:hAnsi="宋体"/>
          <w:color w:val="auto"/>
          <w:sz w:val="21"/>
          <w:szCs w:val="21"/>
          <w:highlight w:val="none"/>
          <w:lang w:eastAsia="zh-CN"/>
        </w:rPr>
        <w:t>的</w:t>
      </w:r>
      <w:r>
        <w:rPr>
          <w:rFonts w:hint="eastAsia" w:ascii="宋体" w:hAnsi="宋体"/>
          <w:color w:val="auto"/>
          <w:sz w:val="21"/>
          <w:szCs w:val="21"/>
          <w:highlight w:val="none"/>
        </w:rPr>
        <w:t>规定。</w:t>
      </w:r>
    </w:p>
    <w:p w14:paraId="4FC86703">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（4）乙方应向甲方提交所</w:t>
      </w:r>
      <w:r>
        <w:rPr>
          <w:rFonts w:hint="eastAsia" w:ascii="宋体" w:hAnsi="宋体"/>
          <w:color w:val="auto"/>
          <w:sz w:val="21"/>
          <w:szCs w:val="21"/>
          <w:highlight w:val="none"/>
          <w:lang w:eastAsia="zh-CN"/>
        </w:rPr>
        <w:t>提供</w:t>
      </w:r>
      <w:r>
        <w:rPr>
          <w:rFonts w:hint="eastAsia" w:ascii="宋体" w:hAnsi="宋体"/>
          <w:color w:val="auto"/>
          <w:sz w:val="21"/>
          <w:szCs w:val="21"/>
          <w:highlight w:val="none"/>
        </w:rPr>
        <w:t>货物的技术文件，包括相应的中文技术文件，如：产品目录、图纸、操作手册、使用说明、维护手册或服务指南</w:t>
      </w:r>
      <w:r>
        <w:rPr>
          <w:rFonts w:hint="eastAsia" w:ascii="宋体" w:hAnsi="宋体"/>
          <w:color w:val="auto"/>
          <w:sz w:val="21"/>
          <w:szCs w:val="21"/>
          <w:highlight w:val="none"/>
          <w:lang w:eastAsia="zh-CN"/>
        </w:rPr>
        <w:t>等</w:t>
      </w:r>
      <w:r>
        <w:rPr>
          <w:rFonts w:hint="eastAsia" w:ascii="宋体" w:hAnsi="宋体"/>
          <w:color w:val="auto"/>
          <w:sz w:val="21"/>
          <w:szCs w:val="21"/>
          <w:highlight w:val="none"/>
        </w:rPr>
        <w:t>。</w:t>
      </w:r>
      <w:r>
        <w:rPr>
          <w:rFonts w:hint="eastAsia" w:ascii="宋体" w:hAnsi="宋体"/>
          <w:color w:val="auto"/>
          <w:sz w:val="21"/>
          <w:szCs w:val="21"/>
          <w:highlight w:val="none"/>
          <w:lang w:eastAsia="zh-CN"/>
        </w:rPr>
        <w:t>上述</w:t>
      </w:r>
      <w:r>
        <w:rPr>
          <w:rFonts w:hint="eastAsia" w:ascii="宋体" w:hAnsi="宋体"/>
          <w:color w:val="auto"/>
          <w:sz w:val="21"/>
          <w:szCs w:val="21"/>
          <w:highlight w:val="none"/>
        </w:rPr>
        <w:t>文件应包装好随货物一同发运。</w:t>
      </w:r>
    </w:p>
    <w:p w14:paraId="5AE2C4B3">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8</w:t>
      </w:r>
      <w:r>
        <w:rPr>
          <w:rFonts w:hint="eastAsia" w:ascii="宋体" w:hAnsi="宋体"/>
          <w:color w:val="auto"/>
          <w:sz w:val="21"/>
          <w:szCs w:val="21"/>
          <w:highlight w:val="none"/>
        </w:rPr>
        <w:t>.2 保证</w:t>
      </w:r>
    </w:p>
    <w:p w14:paraId="5E749884">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（1）乙方应保证</w:t>
      </w:r>
      <w:r>
        <w:rPr>
          <w:rFonts w:hint="eastAsia" w:ascii="宋体" w:hAnsi="宋体"/>
          <w:color w:val="auto"/>
          <w:sz w:val="21"/>
          <w:szCs w:val="21"/>
          <w:highlight w:val="none"/>
          <w:lang w:eastAsia="zh-CN"/>
        </w:rPr>
        <w:t>提供的货物</w:t>
      </w:r>
      <w:r>
        <w:rPr>
          <w:rFonts w:hint="eastAsia" w:ascii="宋体" w:hAnsi="宋体"/>
          <w:color w:val="auto"/>
          <w:sz w:val="21"/>
          <w:szCs w:val="21"/>
          <w:highlight w:val="none"/>
        </w:rPr>
        <w:t>完全符合合同规定的质量、规格和性能要求。乙方应保证货物在正确安装、正常使用和保养条件下，</w:t>
      </w:r>
      <w:r>
        <w:rPr>
          <w:rFonts w:hint="eastAsia" w:ascii="宋体" w:hAnsi="宋体" w:eastAsia="宋体" w:cs="宋体"/>
          <w:color w:val="auto"/>
          <w:sz w:val="21"/>
          <w:szCs w:val="21"/>
          <w:highlight w:val="none"/>
        </w:rPr>
        <w:t>在其使用寿命期内具</w:t>
      </w:r>
      <w:r>
        <w:rPr>
          <w:rFonts w:hint="eastAsia" w:ascii="宋体" w:hAnsi="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color w:val="auto"/>
          <w:sz w:val="21"/>
          <w:szCs w:val="21"/>
          <w:highlight w:val="none"/>
        </w:rPr>
        <w:t>。</w:t>
      </w:r>
      <w:r>
        <w:rPr>
          <w:rFonts w:hint="eastAsia" w:ascii="宋体" w:hAnsi="宋体"/>
          <w:color w:val="auto"/>
          <w:sz w:val="21"/>
          <w:szCs w:val="21"/>
          <w:highlight w:val="none"/>
          <w:lang w:eastAsia="zh-CN"/>
        </w:rPr>
        <w:t>存在</w:t>
      </w:r>
      <w:r>
        <w:rPr>
          <w:rFonts w:hint="eastAsia" w:ascii="宋体" w:hAnsi="宋体"/>
          <w:color w:val="auto"/>
          <w:sz w:val="21"/>
          <w:szCs w:val="21"/>
          <w:highlight w:val="none"/>
        </w:rPr>
        <w:t>质量保证期的，货物最终交付验收</w:t>
      </w:r>
      <w:r>
        <w:rPr>
          <w:rFonts w:hint="eastAsia" w:ascii="宋体" w:hAnsi="宋体"/>
          <w:color w:val="auto"/>
          <w:sz w:val="21"/>
          <w:szCs w:val="21"/>
          <w:highlight w:val="none"/>
          <w:lang w:eastAsia="zh-CN"/>
        </w:rPr>
        <w:t>合格</w:t>
      </w:r>
      <w:r>
        <w:rPr>
          <w:rFonts w:hint="eastAsia" w:ascii="宋体" w:hAnsi="宋体"/>
          <w:color w:val="auto"/>
          <w:sz w:val="21"/>
          <w:szCs w:val="21"/>
          <w:highlight w:val="none"/>
        </w:rPr>
        <w:t>后</w:t>
      </w:r>
      <w:r>
        <w:rPr>
          <w:rFonts w:hint="eastAsia" w:ascii="宋体" w:hAnsi="宋体"/>
          <w:color w:val="auto"/>
          <w:sz w:val="21"/>
          <w:szCs w:val="21"/>
          <w:highlight w:val="none"/>
          <w:lang w:eastAsia="zh-CN"/>
        </w:rPr>
        <w:t>在</w:t>
      </w:r>
      <w:r>
        <w:rPr>
          <w:rFonts w:hint="eastAsia" w:ascii="宋体" w:hAnsi="宋体"/>
          <w:b/>
          <w:color w:val="auto"/>
          <w:sz w:val="21"/>
          <w:szCs w:val="21"/>
          <w:highlight w:val="none"/>
        </w:rPr>
        <w:t>【政府采购合同专用条款】</w:t>
      </w:r>
      <w:r>
        <w:rPr>
          <w:rFonts w:hint="eastAsia" w:ascii="宋体" w:hAnsi="宋体"/>
          <w:color w:val="auto"/>
          <w:sz w:val="21"/>
          <w:szCs w:val="21"/>
          <w:highlight w:val="none"/>
        </w:rPr>
        <w:t>规定或乙方</w:t>
      </w:r>
      <w:r>
        <w:rPr>
          <w:rFonts w:hint="eastAsia" w:ascii="宋体" w:hAnsi="宋体"/>
          <w:color w:val="auto"/>
          <w:sz w:val="21"/>
          <w:szCs w:val="21"/>
          <w:highlight w:val="none"/>
          <w:lang w:eastAsia="zh-CN"/>
        </w:rPr>
        <w:t>书面</w:t>
      </w:r>
      <w:r>
        <w:rPr>
          <w:rFonts w:hint="eastAsia" w:ascii="宋体" w:hAnsi="宋体"/>
          <w:color w:val="auto"/>
          <w:sz w:val="21"/>
          <w:szCs w:val="21"/>
          <w:highlight w:val="none"/>
        </w:rPr>
        <w:t>承诺（两者以较长的为准）的质量保证期内，本保证保持有效。</w:t>
      </w:r>
    </w:p>
    <w:p w14:paraId="54207E61">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（2）在质量保证期内所发现的缺陷，甲方应尽快以书面形式通知乙方。</w:t>
      </w:r>
    </w:p>
    <w:p w14:paraId="6BEC6BDC">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（3）乙方收到通知后</w:t>
      </w:r>
      <w:r>
        <w:rPr>
          <w:rFonts w:hint="eastAsia" w:ascii="宋体" w:hAnsi="宋体"/>
          <w:color w:val="auto"/>
          <w:sz w:val="21"/>
          <w:szCs w:val="21"/>
          <w:highlight w:val="none"/>
          <w:lang w:eastAsia="zh-CN"/>
        </w:rPr>
        <w:t>，</w:t>
      </w:r>
      <w:r>
        <w:rPr>
          <w:rFonts w:hint="eastAsia" w:ascii="宋体" w:hAnsi="宋体"/>
          <w:color w:val="auto"/>
          <w:sz w:val="21"/>
          <w:szCs w:val="21"/>
          <w:highlight w:val="none"/>
        </w:rPr>
        <w:t>应在</w:t>
      </w:r>
      <w:r>
        <w:rPr>
          <w:rFonts w:hint="eastAsia" w:ascii="宋体" w:hAnsi="宋体"/>
          <w:b/>
          <w:color w:val="auto"/>
          <w:sz w:val="21"/>
          <w:szCs w:val="21"/>
          <w:highlight w:val="none"/>
        </w:rPr>
        <w:t>【政府采购合同专用条款】</w:t>
      </w:r>
      <w:r>
        <w:rPr>
          <w:rFonts w:hint="eastAsia" w:ascii="宋体" w:hAnsi="宋体"/>
          <w:color w:val="auto"/>
          <w:sz w:val="21"/>
          <w:szCs w:val="21"/>
          <w:highlight w:val="none"/>
        </w:rPr>
        <w:t>规定的响应时间内以合理的速度免费维修或更换有缺陷的货物或部件。</w:t>
      </w:r>
    </w:p>
    <w:p w14:paraId="72638DAA">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.1条规定以书面形式</w:t>
      </w:r>
      <w:r>
        <w:rPr>
          <w:rFonts w:hint="eastAsia" w:ascii="宋体" w:hAnsi="宋体"/>
          <w:color w:val="auto"/>
          <w:sz w:val="21"/>
          <w:szCs w:val="21"/>
          <w:highlight w:val="none"/>
          <w:lang w:eastAsia="zh-CN"/>
        </w:rPr>
        <w:t>追究</w:t>
      </w:r>
      <w:r>
        <w:rPr>
          <w:rFonts w:hint="eastAsia" w:ascii="宋体" w:hAnsi="宋体"/>
          <w:color w:val="auto"/>
          <w:sz w:val="21"/>
          <w:szCs w:val="21"/>
          <w:highlight w:val="none"/>
        </w:rPr>
        <w:t>乙方</w:t>
      </w:r>
      <w:r>
        <w:rPr>
          <w:rFonts w:hint="eastAsia" w:ascii="宋体" w:hAnsi="宋体"/>
          <w:color w:val="auto"/>
          <w:sz w:val="21"/>
          <w:szCs w:val="21"/>
          <w:highlight w:val="none"/>
          <w:lang w:eastAsia="zh-CN"/>
        </w:rPr>
        <w:t>的违约责任</w:t>
      </w:r>
      <w:r>
        <w:rPr>
          <w:rFonts w:hint="eastAsia" w:ascii="宋体" w:hAnsi="宋体"/>
          <w:color w:val="auto"/>
          <w:sz w:val="21"/>
          <w:szCs w:val="21"/>
          <w:highlight w:val="none"/>
        </w:rPr>
        <w:t>。</w:t>
      </w:r>
    </w:p>
    <w:p w14:paraId="52D4AF7D">
      <w:pPr>
        <w:adjustRightInd w:val="0"/>
        <w:snapToGrid w:val="0"/>
        <w:spacing w:before="0" w:line="400" w:lineRule="exact"/>
        <w:ind w:firstLine="420" w:firstLineChars="200"/>
        <w:jc w:val="left"/>
        <w:rPr>
          <w:color w:val="auto"/>
          <w:sz w:val="21"/>
          <w:szCs w:val="21"/>
          <w:highlight w:val="none"/>
        </w:rPr>
      </w:pPr>
      <w:r>
        <w:rPr>
          <w:rFonts w:hint="eastAsia" w:ascii="宋体" w:hAnsi="宋体"/>
          <w:color w:val="auto"/>
          <w:sz w:val="21"/>
          <w:szCs w:val="21"/>
          <w:highlight w:val="none"/>
        </w:rPr>
        <w:t>（5）乙方在约定的时间内未能弥补缺陷，甲方可采取必要的补救措施，但其风险和费用将由乙方承担，甲方根据合同</w:t>
      </w:r>
      <w:r>
        <w:rPr>
          <w:rFonts w:hint="eastAsia" w:ascii="宋体" w:hAnsi="宋体"/>
          <w:color w:val="auto"/>
          <w:sz w:val="21"/>
          <w:szCs w:val="21"/>
          <w:highlight w:val="none"/>
          <w:lang w:eastAsia="zh-CN"/>
        </w:rPr>
        <w:t>约定</w:t>
      </w:r>
      <w:r>
        <w:rPr>
          <w:rFonts w:hint="eastAsia" w:ascii="宋体" w:hAnsi="宋体"/>
          <w:color w:val="auto"/>
          <w:sz w:val="21"/>
          <w:szCs w:val="21"/>
          <w:highlight w:val="none"/>
        </w:rPr>
        <w:t>对乙方行使的其他权利不受影响。</w:t>
      </w:r>
    </w:p>
    <w:p w14:paraId="3A56E93F">
      <w:pPr>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lang w:eastAsia="zh-CN"/>
        </w:rPr>
        <w:t>9</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权利瑕疵担保</w:t>
      </w:r>
    </w:p>
    <w:p w14:paraId="111858E3">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9</w:t>
      </w:r>
      <w:r>
        <w:rPr>
          <w:rFonts w:hint="eastAsia" w:ascii="宋体" w:hAnsi="宋体"/>
          <w:color w:val="auto"/>
          <w:sz w:val="21"/>
          <w:szCs w:val="21"/>
          <w:highlight w:val="none"/>
        </w:rPr>
        <w:t>.1 乙方保证对其出售的货物享有合法的权利。</w:t>
      </w:r>
    </w:p>
    <w:p w14:paraId="4494C45C">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9</w:t>
      </w:r>
      <w:r>
        <w:rPr>
          <w:rFonts w:hint="eastAsia" w:ascii="宋体" w:hAnsi="宋体"/>
          <w:color w:val="auto"/>
          <w:sz w:val="21"/>
          <w:szCs w:val="21"/>
          <w:highlight w:val="none"/>
        </w:rPr>
        <w:t xml:space="preserve">.2 </w:t>
      </w:r>
      <w:r>
        <w:rPr>
          <w:rFonts w:hint="eastAsia" w:ascii="宋体" w:hAnsi="宋体" w:eastAsia="宋体" w:cs="宋体"/>
          <w:color w:val="auto"/>
          <w:sz w:val="21"/>
          <w:szCs w:val="21"/>
          <w:highlight w:val="none"/>
        </w:rPr>
        <w:t>乙方保证在交付的货物上不存在抵押权等担保物权。</w:t>
      </w:r>
    </w:p>
    <w:p w14:paraId="62CC0EAA">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9</w:t>
      </w:r>
      <w:r>
        <w:rPr>
          <w:rFonts w:hint="eastAsia" w:ascii="宋体" w:hAnsi="宋体"/>
          <w:color w:val="auto"/>
          <w:sz w:val="21"/>
          <w:szCs w:val="21"/>
          <w:highlight w:val="none"/>
        </w:rPr>
        <w:t>.3 如甲方使用</w:t>
      </w:r>
      <w:r>
        <w:rPr>
          <w:rFonts w:hint="eastAsia" w:ascii="宋体" w:hAnsi="宋体"/>
          <w:color w:val="auto"/>
          <w:sz w:val="21"/>
          <w:szCs w:val="21"/>
          <w:highlight w:val="none"/>
          <w:lang w:val="en-US" w:eastAsia="zh-CN"/>
        </w:rPr>
        <w:t>上述</w:t>
      </w:r>
      <w:r>
        <w:rPr>
          <w:rFonts w:hint="eastAsia" w:ascii="宋体" w:hAnsi="宋体"/>
          <w:color w:val="auto"/>
          <w:sz w:val="21"/>
          <w:szCs w:val="21"/>
          <w:highlight w:val="none"/>
        </w:rPr>
        <w:t>货物构成</w:t>
      </w:r>
      <w:r>
        <w:rPr>
          <w:rFonts w:hint="eastAsia" w:ascii="宋体" w:hAnsi="宋体"/>
          <w:color w:val="auto"/>
          <w:sz w:val="21"/>
          <w:szCs w:val="21"/>
          <w:highlight w:val="none"/>
          <w:lang w:val="en-US" w:eastAsia="zh-CN"/>
        </w:rPr>
        <w:t>对第三人</w:t>
      </w:r>
      <w:r>
        <w:rPr>
          <w:rFonts w:hint="eastAsia" w:ascii="宋体" w:hAnsi="宋体"/>
          <w:color w:val="auto"/>
          <w:sz w:val="21"/>
          <w:szCs w:val="21"/>
          <w:highlight w:val="none"/>
        </w:rPr>
        <w:t>侵权的，则由乙方承担全部责任。</w:t>
      </w:r>
    </w:p>
    <w:p w14:paraId="60B3EFB0">
      <w:pPr>
        <w:autoSpaceDE w:val="0"/>
        <w:autoSpaceDN w:val="0"/>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rPr>
        <w:t>1</w:t>
      </w:r>
      <w:r>
        <w:rPr>
          <w:rFonts w:hint="eastAsia" w:ascii="宋体" w:hAnsi="宋体"/>
          <w:b/>
          <w:bCs/>
          <w:color w:val="auto"/>
          <w:sz w:val="21"/>
          <w:szCs w:val="21"/>
          <w:highlight w:val="none"/>
          <w:lang w:eastAsia="zh-CN"/>
        </w:rPr>
        <w:t>0</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知识产权保护</w:t>
      </w:r>
    </w:p>
    <w:p w14:paraId="4638015D">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0</w:t>
      </w:r>
      <w:r>
        <w:rPr>
          <w:rFonts w:hint="eastAsia" w:ascii="宋体" w:hAnsi="宋体"/>
          <w:color w:val="auto"/>
          <w:sz w:val="21"/>
          <w:szCs w:val="21"/>
          <w:highlight w:val="none"/>
        </w:rPr>
        <w:t>.1 乙方对其所销售的货物应当享有知识产权或经权利人合法授权，保证没有侵犯任何第三人的知识产权等权利。</w:t>
      </w:r>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 w:val="21"/>
          <w:szCs w:val="21"/>
          <w:highlight w:val="none"/>
        </w:rPr>
        <w:t>。</w:t>
      </w:r>
    </w:p>
    <w:p w14:paraId="07EBD88F">
      <w:pPr>
        <w:autoSpaceDE w:val="0"/>
        <w:autoSpaceDN w:val="0"/>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rPr>
        <w:t>1</w:t>
      </w:r>
      <w:r>
        <w:rPr>
          <w:rFonts w:hint="eastAsia" w:ascii="宋体" w:hAnsi="宋体"/>
          <w:b/>
          <w:bCs/>
          <w:color w:val="auto"/>
          <w:sz w:val="21"/>
          <w:szCs w:val="21"/>
          <w:highlight w:val="none"/>
          <w:lang w:eastAsia="zh-CN"/>
        </w:rPr>
        <w:t>1</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保密义务</w:t>
      </w:r>
    </w:p>
    <w:p w14:paraId="2D68F4F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14:paraId="27C49861">
      <w:pPr>
        <w:autoSpaceDE w:val="0"/>
        <w:autoSpaceDN w:val="0"/>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rPr>
        <w:t>1</w:t>
      </w:r>
      <w:r>
        <w:rPr>
          <w:rFonts w:hint="eastAsia" w:ascii="宋体" w:hAnsi="宋体"/>
          <w:b/>
          <w:bCs/>
          <w:color w:val="auto"/>
          <w:sz w:val="21"/>
          <w:szCs w:val="21"/>
          <w:highlight w:val="none"/>
          <w:lang w:eastAsia="zh-CN"/>
        </w:rPr>
        <w:t>2</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合同价款支付</w:t>
      </w:r>
    </w:p>
    <w:p w14:paraId="09341DE4">
      <w:pPr>
        <w:autoSpaceDE/>
        <w:autoSpaceDN/>
        <w:adjustRightInd w:val="0"/>
        <w:snapToGrid w:val="0"/>
        <w:spacing w:before="0" w:line="400" w:lineRule="exact"/>
        <w:ind w:firstLine="420" w:firstLineChars="200"/>
        <w:jc w:val="lef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2</w:t>
      </w:r>
      <w:r>
        <w:rPr>
          <w:rFonts w:hint="eastAsia" w:ascii="宋体" w:hAnsi="宋体"/>
          <w:color w:val="auto"/>
          <w:sz w:val="21"/>
          <w:szCs w:val="21"/>
          <w:highlight w:val="none"/>
        </w:rPr>
        <w:t xml:space="preserve">.1 </w:t>
      </w:r>
      <w:r>
        <w:rPr>
          <w:rFonts w:hint="eastAsia" w:ascii="宋体" w:hAnsi="宋体"/>
          <w:color w:val="auto"/>
          <w:sz w:val="21"/>
          <w:szCs w:val="21"/>
          <w:highlight w:val="none"/>
          <w:lang w:eastAsia="zh-CN"/>
        </w:rPr>
        <w:t>合同价款支付</w:t>
      </w:r>
      <w:r>
        <w:rPr>
          <w:rFonts w:hint="eastAsia" w:ascii="宋体" w:hAnsi="宋体"/>
          <w:color w:val="auto"/>
          <w:sz w:val="21"/>
          <w:szCs w:val="21"/>
          <w:highlight w:val="none"/>
        </w:rPr>
        <w:t>按照国库集中支付</w:t>
      </w:r>
      <w:r>
        <w:rPr>
          <w:rFonts w:hint="eastAsia" w:ascii="宋体" w:hAnsi="宋体"/>
          <w:color w:val="auto"/>
          <w:sz w:val="21"/>
          <w:szCs w:val="21"/>
          <w:highlight w:val="none"/>
          <w:lang w:eastAsia="zh-CN"/>
        </w:rPr>
        <w:t>制度及财政管理相关</w:t>
      </w:r>
      <w:r>
        <w:rPr>
          <w:rFonts w:hint="eastAsia" w:ascii="宋体" w:hAnsi="宋体"/>
          <w:color w:val="auto"/>
          <w:sz w:val="21"/>
          <w:szCs w:val="21"/>
          <w:highlight w:val="none"/>
        </w:rPr>
        <w:t>规定执行。</w:t>
      </w:r>
    </w:p>
    <w:p w14:paraId="536A9614">
      <w:pPr>
        <w:adjustRightInd w:val="0"/>
        <w:snapToGrid w:val="0"/>
        <w:spacing w:line="360" w:lineRule="auto"/>
        <w:rPr>
          <w:rFonts w:hint="eastAsia" w:ascii="宋体" w:hAnsi="宋体" w:eastAsia="宋体" w:cs="Times New Roman"/>
          <w:color w:val="auto"/>
          <w:sz w:val="21"/>
          <w:szCs w:val="21"/>
          <w:highlight w:val="none"/>
          <w:lang w:eastAsia="zh-CN"/>
        </w:rPr>
      </w:pPr>
      <w:bookmarkStart w:id="215" w:name="_Toc462"/>
      <w:bookmarkStart w:id="216" w:name="_Toc11428"/>
      <w:bookmarkStart w:id="217" w:name="_Toc9278"/>
      <w:r>
        <w:rPr>
          <w:rFonts w:hint="eastAsia" w:ascii="宋体" w:hAnsi="宋体" w:eastAsia="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eastAsia="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eastAsia="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215"/>
      <w:bookmarkEnd w:id="216"/>
      <w:bookmarkEnd w:id="217"/>
    </w:p>
    <w:p w14:paraId="725D525E">
      <w:pPr>
        <w:pStyle w:val="16"/>
        <w:tabs>
          <w:tab w:val="left" w:pos="567"/>
        </w:tabs>
        <w:spacing w:after="0" w:line="400" w:lineRule="exact"/>
        <w:rPr>
          <w:rFonts w:ascii="宋体" w:hAnsi="宋体"/>
          <w:b/>
          <w:bCs/>
          <w:color w:val="auto"/>
          <w:sz w:val="21"/>
          <w:szCs w:val="21"/>
          <w:highlight w:val="none"/>
        </w:rPr>
      </w:pPr>
      <w:r>
        <w:rPr>
          <w:rFonts w:hint="eastAsia" w:ascii="宋体" w:hAnsi="宋体"/>
          <w:b/>
          <w:bCs/>
          <w:color w:val="auto"/>
          <w:sz w:val="21"/>
          <w:szCs w:val="21"/>
          <w:highlight w:val="none"/>
        </w:rPr>
        <w:t>1</w:t>
      </w:r>
      <w:r>
        <w:rPr>
          <w:rFonts w:hint="eastAsia" w:ascii="宋体" w:hAnsi="宋体"/>
          <w:b/>
          <w:bCs/>
          <w:color w:val="auto"/>
          <w:sz w:val="21"/>
          <w:szCs w:val="21"/>
          <w:highlight w:val="none"/>
          <w:lang w:eastAsia="zh-CN"/>
        </w:rPr>
        <w:t>3</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履约保证金</w:t>
      </w:r>
    </w:p>
    <w:p w14:paraId="43ECA974">
      <w:pPr>
        <w:adjustRightInd w:val="0"/>
        <w:snapToGrid w:val="0"/>
        <w:spacing w:before="0"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3</w:t>
      </w:r>
      <w:r>
        <w:rPr>
          <w:rFonts w:hint="eastAsia" w:ascii="宋体" w:hAnsi="宋体"/>
          <w:color w:val="auto"/>
          <w:sz w:val="21"/>
          <w:szCs w:val="21"/>
          <w:highlight w:val="none"/>
        </w:rPr>
        <w:t xml:space="preserve">.1 </w:t>
      </w:r>
      <w:r>
        <w:rPr>
          <w:rFonts w:hint="eastAsia" w:ascii="宋体" w:hAnsi="宋体" w:eastAsia="宋体" w:cs="宋体"/>
          <w:color w:val="auto"/>
          <w:sz w:val="21"/>
          <w:szCs w:val="21"/>
          <w:highlight w:val="none"/>
        </w:rPr>
        <w:t>乙方应当以转账或银行保函等非现金形式提交。</w:t>
      </w:r>
    </w:p>
    <w:p w14:paraId="78F59622">
      <w:pPr>
        <w:adjustRightInd w:val="0"/>
        <w:snapToGrid w:val="0"/>
        <w:spacing w:before="0"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3</w:t>
      </w:r>
      <w:r>
        <w:rPr>
          <w:rFonts w:hint="eastAsia" w:ascii="宋体" w:hAnsi="宋体"/>
          <w:color w:val="auto"/>
          <w:sz w:val="21"/>
          <w:szCs w:val="21"/>
          <w:highlight w:val="none"/>
        </w:rPr>
        <w:t>.2 如果乙方</w:t>
      </w:r>
      <w:r>
        <w:rPr>
          <w:rFonts w:hint="eastAsia" w:ascii="宋体" w:hAnsi="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约定情形的</w:t>
      </w:r>
      <w:r>
        <w:rPr>
          <w:rFonts w:hint="eastAsia" w:ascii="宋体" w:hAnsi="宋体"/>
          <w:color w:val="auto"/>
          <w:sz w:val="21"/>
          <w:szCs w:val="21"/>
          <w:highlight w:val="none"/>
        </w:rPr>
        <w:t>，履约保证金不予退还；如果乙方未能按合同约定全面履行义务，甲方有权从履约保证金中取得补偿或赔偿，</w:t>
      </w:r>
      <w:r>
        <w:rPr>
          <w:rFonts w:hint="eastAsia" w:ascii="宋体" w:hAnsi="宋体"/>
          <w:color w:val="auto"/>
          <w:sz w:val="21"/>
          <w:szCs w:val="21"/>
          <w:highlight w:val="none"/>
          <w:lang w:eastAsia="zh-CN"/>
        </w:rPr>
        <w:t>且</w:t>
      </w:r>
      <w:r>
        <w:rPr>
          <w:rFonts w:hint="eastAsia" w:ascii="宋体" w:hAnsi="宋体"/>
          <w:color w:val="auto"/>
          <w:sz w:val="21"/>
          <w:szCs w:val="21"/>
          <w:highlight w:val="none"/>
        </w:rPr>
        <w:t>不影响甲方要求乙方承担合同约定的超过履约保证金的违约责任的权利。</w:t>
      </w:r>
    </w:p>
    <w:p w14:paraId="35B761D5">
      <w:pPr>
        <w:spacing w:line="400" w:lineRule="exact"/>
        <w:ind w:firstLine="420"/>
        <w:rPr>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3</w:t>
      </w:r>
      <w:r>
        <w:rPr>
          <w:rFonts w:hint="eastAsia" w:ascii="宋体" w:hAnsi="宋体"/>
          <w:color w:val="auto"/>
          <w:sz w:val="21"/>
          <w:szCs w:val="21"/>
          <w:highlight w:val="none"/>
        </w:rPr>
        <w:t>.3 甲方在项目通过验收后按照</w:t>
      </w:r>
      <w:r>
        <w:rPr>
          <w:rFonts w:hint="eastAsia" w:ascii="宋体" w:hAnsi="宋体"/>
          <w:b/>
          <w:color w:val="auto"/>
          <w:sz w:val="21"/>
          <w:szCs w:val="21"/>
          <w:highlight w:val="none"/>
        </w:rPr>
        <w:t>【政府采购合同专用条款】</w:t>
      </w:r>
      <w:r>
        <w:rPr>
          <w:rFonts w:hint="eastAsia" w:ascii="宋体" w:hAnsi="宋体"/>
          <w:color w:val="auto"/>
          <w:sz w:val="21"/>
          <w:szCs w:val="21"/>
          <w:highlight w:val="none"/>
        </w:rPr>
        <w:t>规定的时间内将履约保证金退还乙方；逾期退还的，乙方可要求甲方支付违约金，违约金按照</w:t>
      </w:r>
      <w:r>
        <w:rPr>
          <w:rFonts w:hint="eastAsia" w:ascii="宋体" w:hAnsi="宋体"/>
          <w:b/>
          <w:color w:val="auto"/>
          <w:sz w:val="21"/>
          <w:szCs w:val="21"/>
          <w:highlight w:val="none"/>
        </w:rPr>
        <w:t>【政府采购合同专用条款】</w:t>
      </w:r>
      <w:r>
        <w:rPr>
          <w:rFonts w:hint="eastAsia" w:ascii="宋体" w:hAnsi="宋体"/>
          <w:color w:val="auto"/>
          <w:sz w:val="21"/>
          <w:szCs w:val="21"/>
          <w:highlight w:val="none"/>
        </w:rPr>
        <w:t>规定支付。</w:t>
      </w:r>
    </w:p>
    <w:p w14:paraId="64CFB31A">
      <w:pPr>
        <w:autoSpaceDE w:val="0"/>
        <w:autoSpaceDN w:val="0"/>
        <w:adjustRightInd w:val="0"/>
        <w:snapToGrid w:val="0"/>
        <w:spacing w:before="0" w:line="400" w:lineRule="exact"/>
        <w:jc w:val="left"/>
        <w:rPr>
          <w:rFonts w:ascii="宋体" w:hAnsi="宋体"/>
          <w:b/>
          <w:color w:val="auto"/>
          <w:sz w:val="21"/>
          <w:szCs w:val="21"/>
          <w:highlight w:val="none"/>
        </w:rPr>
      </w:pPr>
      <w:r>
        <w:rPr>
          <w:rFonts w:hint="eastAsia" w:ascii="宋体" w:hAnsi="宋体"/>
          <w:b/>
          <w:bCs/>
          <w:color w:val="auto"/>
          <w:sz w:val="21"/>
          <w:szCs w:val="21"/>
          <w:highlight w:val="none"/>
        </w:rPr>
        <w:t>1</w:t>
      </w:r>
      <w:r>
        <w:rPr>
          <w:rFonts w:hint="eastAsia" w:ascii="宋体" w:hAnsi="宋体"/>
          <w:b/>
          <w:bCs/>
          <w:color w:val="auto"/>
          <w:sz w:val="21"/>
          <w:szCs w:val="21"/>
          <w:highlight w:val="none"/>
          <w:lang w:eastAsia="zh-CN"/>
        </w:rPr>
        <w:t>4</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b/>
          <w:color w:val="auto"/>
          <w:sz w:val="21"/>
          <w:szCs w:val="21"/>
          <w:highlight w:val="none"/>
        </w:rPr>
        <w:t>售后</w:t>
      </w:r>
      <w:r>
        <w:rPr>
          <w:rFonts w:hint="eastAsia" w:ascii="宋体" w:hAnsi="宋体"/>
          <w:b/>
          <w:color w:val="auto"/>
          <w:sz w:val="21"/>
          <w:szCs w:val="21"/>
          <w:highlight w:val="none"/>
        </w:rPr>
        <w:t>服务</w:t>
      </w:r>
    </w:p>
    <w:p w14:paraId="2955E9C0">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4</w:t>
      </w:r>
      <w:r>
        <w:rPr>
          <w:rFonts w:hint="eastAsia" w:ascii="宋体" w:hAnsi="宋体"/>
          <w:color w:val="auto"/>
          <w:sz w:val="21"/>
          <w:szCs w:val="21"/>
          <w:highlight w:val="none"/>
        </w:rPr>
        <w:t>.1 除项目不涉及或采购活动中明确约定无须承担外，乙方还应提供下列服务：</w:t>
      </w:r>
    </w:p>
    <w:p w14:paraId="7AC3D6BB">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（1）货物的现场移动、安装、调试、启动监督及技术支持；</w:t>
      </w:r>
    </w:p>
    <w:p w14:paraId="36643EFD">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（2）提供货物组装和维修所需的专用工具和辅助材料；</w:t>
      </w:r>
    </w:p>
    <w:p w14:paraId="00FFD253">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color w:val="auto"/>
          <w:sz w:val="21"/>
          <w:szCs w:val="21"/>
          <w:highlight w:val="none"/>
          <w:lang w:eastAsia="zh-CN"/>
        </w:rPr>
        <w:t>约定</w:t>
      </w:r>
      <w:r>
        <w:rPr>
          <w:rFonts w:hint="eastAsia" w:ascii="宋体" w:hAnsi="宋体"/>
          <w:color w:val="auto"/>
          <w:sz w:val="21"/>
          <w:szCs w:val="21"/>
          <w:highlight w:val="none"/>
        </w:rPr>
        <w:t>的期限内对所有的货物实施运行监督、维修，但前提条件是该服务并不能免除乙方在质量保证期内所承担的义务；</w:t>
      </w:r>
    </w:p>
    <w:p w14:paraId="03239832">
      <w:pPr>
        <w:autoSpaceDE w:val="0"/>
        <w:autoSpaceDN w:val="0"/>
        <w:adjustRightInd w:val="0"/>
        <w:snapToGrid w:val="0"/>
        <w:spacing w:before="0"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（4）在制造商</w:t>
      </w:r>
      <w:r>
        <w:rPr>
          <w:rFonts w:hint="eastAsia" w:ascii="宋体" w:hAnsi="宋体"/>
          <w:color w:val="auto"/>
          <w:sz w:val="21"/>
          <w:szCs w:val="21"/>
          <w:highlight w:val="none"/>
          <w:lang w:eastAsia="zh-CN"/>
        </w:rPr>
        <w:t>所在地</w:t>
      </w:r>
      <w:r>
        <w:rPr>
          <w:rFonts w:hint="eastAsia" w:ascii="宋体" w:hAnsi="宋体"/>
          <w:color w:val="auto"/>
          <w:sz w:val="21"/>
          <w:szCs w:val="21"/>
          <w:highlight w:val="none"/>
        </w:rPr>
        <w:t>或</w:t>
      </w:r>
      <w:r>
        <w:rPr>
          <w:rFonts w:hint="eastAsia" w:ascii="宋体" w:hAnsi="宋体"/>
          <w:color w:val="auto"/>
          <w:sz w:val="21"/>
          <w:szCs w:val="21"/>
          <w:highlight w:val="none"/>
          <w:lang w:eastAsia="zh-CN"/>
        </w:rPr>
        <w:t>指定</w:t>
      </w:r>
      <w:r>
        <w:rPr>
          <w:rFonts w:hint="eastAsia" w:ascii="宋体" w:hAnsi="宋体"/>
          <w:color w:val="auto"/>
          <w:sz w:val="21"/>
          <w:szCs w:val="21"/>
          <w:highlight w:val="none"/>
        </w:rPr>
        <w:t>现场就货物的安装、启动、运营、维护</w:t>
      </w:r>
      <w:r>
        <w:rPr>
          <w:rFonts w:hint="eastAsia" w:ascii="宋体" w:hAnsi="宋体"/>
          <w:color w:val="auto"/>
          <w:sz w:val="21"/>
          <w:szCs w:val="21"/>
          <w:highlight w:val="none"/>
          <w:lang w:eastAsia="zh-CN"/>
        </w:rPr>
        <w:t>、废弃处置等</w:t>
      </w:r>
      <w:r>
        <w:rPr>
          <w:rFonts w:hint="eastAsia" w:ascii="宋体" w:hAnsi="宋体"/>
          <w:color w:val="auto"/>
          <w:sz w:val="21"/>
          <w:szCs w:val="21"/>
          <w:highlight w:val="none"/>
        </w:rPr>
        <w:t>对甲方操作人员进行培训</w:t>
      </w:r>
      <w:r>
        <w:rPr>
          <w:rFonts w:hint="eastAsia" w:ascii="宋体" w:hAnsi="宋体" w:cs="宋体"/>
          <w:color w:val="auto"/>
          <w:sz w:val="21"/>
          <w:szCs w:val="21"/>
          <w:highlight w:val="none"/>
          <w:lang w:eastAsia="zh-CN"/>
        </w:rPr>
        <w:t>；</w:t>
      </w:r>
    </w:p>
    <w:p w14:paraId="5DB68F1C">
      <w:pPr>
        <w:pStyle w:val="2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04DF89CF">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w:t>
      </w:r>
      <w:r>
        <w:rPr>
          <w:rFonts w:hint="eastAsia" w:ascii="宋体" w:hAnsi="宋体"/>
          <w:b/>
          <w:color w:val="auto"/>
          <w:sz w:val="21"/>
          <w:szCs w:val="21"/>
          <w:highlight w:val="none"/>
        </w:rPr>
        <w:t>【政府采购合同专用条款】</w:t>
      </w:r>
      <w:r>
        <w:rPr>
          <w:rFonts w:hint="eastAsia" w:ascii="宋体" w:hAnsi="宋体"/>
          <w:color w:val="auto"/>
          <w:sz w:val="21"/>
          <w:szCs w:val="21"/>
          <w:highlight w:val="none"/>
        </w:rPr>
        <w:t>规定由乙方提供的其他服务。</w:t>
      </w:r>
    </w:p>
    <w:p w14:paraId="3BA8B9E8">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.2 乙方提供的</w:t>
      </w:r>
      <w:r>
        <w:rPr>
          <w:rFonts w:hint="eastAsia" w:ascii="宋体" w:hAnsi="宋体"/>
          <w:color w:val="auto"/>
          <w:sz w:val="21"/>
          <w:szCs w:val="21"/>
          <w:highlight w:val="none"/>
          <w:lang w:eastAsia="zh-CN"/>
        </w:rPr>
        <w:t>售后</w:t>
      </w:r>
      <w:r>
        <w:rPr>
          <w:rFonts w:hint="eastAsia" w:ascii="宋体" w:hAnsi="宋体"/>
          <w:color w:val="auto"/>
          <w:sz w:val="21"/>
          <w:szCs w:val="21"/>
          <w:highlight w:val="none"/>
        </w:rPr>
        <w:t>服务的费用</w:t>
      </w:r>
      <w:r>
        <w:rPr>
          <w:rFonts w:hint="eastAsia" w:ascii="宋体" w:hAnsi="宋体"/>
          <w:color w:val="auto"/>
          <w:sz w:val="21"/>
          <w:szCs w:val="21"/>
          <w:highlight w:val="none"/>
          <w:lang w:val="en-US" w:eastAsia="zh-CN"/>
        </w:rPr>
        <w:t>已</w:t>
      </w:r>
      <w:r>
        <w:rPr>
          <w:rFonts w:hint="eastAsia" w:ascii="宋体" w:hAnsi="宋体"/>
          <w:color w:val="auto"/>
          <w:sz w:val="21"/>
          <w:szCs w:val="21"/>
          <w:highlight w:val="none"/>
        </w:rPr>
        <w:t>包含在合同价款中，甲方不再另行支付。</w:t>
      </w:r>
    </w:p>
    <w:p w14:paraId="1C3715F2">
      <w:pPr>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rPr>
        <w:t>1</w:t>
      </w:r>
      <w:r>
        <w:rPr>
          <w:rFonts w:hint="eastAsia" w:ascii="宋体" w:hAnsi="宋体"/>
          <w:b/>
          <w:bCs/>
          <w:color w:val="auto"/>
          <w:sz w:val="21"/>
          <w:szCs w:val="21"/>
          <w:highlight w:val="none"/>
          <w:lang w:eastAsia="zh-CN"/>
        </w:rPr>
        <w:t>5</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违约责任</w:t>
      </w:r>
    </w:p>
    <w:p w14:paraId="3C891CFA">
      <w:pPr>
        <w:adjustRightInd w:val="0"/>
        <w:snapToGrid w:val="0"/>
        <w:spacing w:before="0" w:line="400" w:lineRule="exact"/>
        <w:ind w:firstLine="420" w:firstLineChars="200"/>
        <w:jc w:val="left"/>
        <w:rPr>
          <w:rFonts w:hint="eastAsia" w:ascii="宋体" w:hAnsi="宋体"/>
          <w:bCs/>
          <w:color w:val="auto"/>
          <w:sz w:val="21"/>
          <w:szCs w:val="21"/>
          <w:highlight w:val="none"/>
        </w:rPr>
      </w:pPr>
      <w:r>
        <w:rPr>
          <w:rFonts w:hint="eastAsia" w:ascii="宋体" w:hAnsi="宋体"/>
          <w:bCs/>
          <w:color w:val="auto"/>
          <w:sz w:val="21"/>
          <w:szCs w:val="21"/>
          <w:highlight w:val="none"/>
        </w:rPr>
        <w:t>1</w:t>
      </w:r>
      <w:r>
        <w:rPr>
          <w:rFonts w:hint="eastAsia" w:ascii="宋体" w:hAnsi="宋体"/>
          <w:bCs/>
          <w:color w:val="auto"/>
          <w:sz w:val="21"/>
          <w:szCs w:val="21"/>
          <w:highlight w:val="none"/>
          <w:lang w:eastAsia="zh-CN"/>
        </w:rPr>
        <w:t>5</w:t>
      </w:r>
      <w:r>
        <w:rPr>
          <w:rFonts w:hint="eastAsia" w:ascii="宋体" w:hAnsi="宋体"/>
          <w:bCs/>
          <w:color w:val="auto"/>
          <w:sz w:val="21"/>
          <w:szCs w:val="21"/>
          <w:highlight w:val="none"/>
        </w:rPr>
        <w:t>.1质量瑕疵的</w:t>
      </w:r>
      <w:r>
        <w:rPr>
          <w:rFonts w:hint="eastAsia" w:ascii="宋体" w:hAnsi="宋体"/>
          <w:bCs/>
          <w:color w:val="auto"/>
          <w:sz w:val="21"/>
          <w:szCs w:val="21"/>
          <w:highlight w:val="none"/>
          <w:lang w:eastAsia="zh-CN"/>
        </w:rPr>
        <w:t>违约责任</w:t>
      </w:r>
    </w:p>
    <w:p w14:paraId="5560FC3C">
      <w:pPr>
        <w:autoSpaceDE w:val="0"/>
        <w:autoSpaceDN w:val="0"/>
        <w:adjustRightInd w:val="0"/>
        <w:snapToGrid w:val="0"/>
        <w:spacing w:before="0"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乙方</w:t>
      </w:r>
      <w:r>
        <w:rPr>
          <w:rFonts w:hint="eastAsia" w:ascii="宋体" w:hAnsi="宋体"/>
          <w:color w:val="auto"/>
          <w:sz w:val="21"/>
          <w:szCs w:val="21"/>
          <w:highlight w:val="none"/>
          <w:lang w:eastAsia="zh-CN"/>
        </w:rPr>
        <w:t>提供</w:t>
      </w:r>
      <w:r>
        <w:rPr>
          <w:rFonts w:hint="eastAsia" w:ascii="宋体" w:hAnsi="宋体"/>
          <w:color w:val="auto"/>
          <w:sz w:val="21"/>
          <w:szCs w:val="21"/>
          <w:highlight w:val="none"/>
        </w:rPr>
        <w:t>的产品不符合</w:t>
      </w:r>
      <w:r>
        <w:rPr>
          <w:rFonts w:hint="eastAsia" w:ascii="宋体" w:hAnsi="宋体"/>
          <w:color w:val="auto"/>
          <w:sz w:val="21"/>
          <w:szCs w:val="21"/>
          <w:highlight w:val="none"/>
          <w:lang w:eastAsia="zh-CN"/>
        </w:rPr>
        <w:t>合同约定的</w:t>
      </w:r>
      <w:r>
        <w:rPr>
          <w:rFonts w:hint="eastAsia" w:ascii="宋体" w:hAnsi="宋体"/>
          <w:color w:val="auto"/>
          <w:sz w:val="21"/>
          <w:szCs w:val="21"/>
          <w:highlight w:val="none"/>
        </w:rPr>
        <w:t>质量标准或存在产品质量缺陷，</w:t>
      </w:r>
      <w:r>
        <w:rPr>
          <w:rFonts w:hint="eastAsia" w:ascii="宋体" w:hAnsi="宋体"/>
          <w:color w:val="auto"/>
          <w:sz w:val="21"/>
          <w:szCs w:val="21"/>
          <w:highlight w:val="none"/>
          <w:lang w:eastAsia="zh-CN"/>
        </w:rPr>
        <w:t>甲方有权要求乙方根据</w:t>
      </w:r>
      <w:r>
        <w:rPr>
          <w:rFonts w:hint="eastAsia" w:ascii="宋体" w:hAnsi="宋体"/>
          <w:b/>
          <w:color w:val="auto"/>
          <w:sz w:val="21"/>
          <w:szCs w:val="21"/>
          <w:highlight w:val="none"/>
        </w:rPr>
        <w:t>【政府采购合同专用条款】</w:t>
      </w:r>
      <w:r>
        <w:rPr>
          <w:rFonts w:hint="eastAsia" w:ascii="宋体" w:hAnsi="宋体"/>
          <w:b w:val="0"/>
          <w:bCs/>
          <w:color w:val="auto"/>
          <w:sz w:val="21"/>
          <w:szCs w:val="21"/>
          <w:highlight w:val="none"/>
          <w:lang w:eastAsia="zh-CN"/>
        </w:rPr>
        <w:t>要求</w:t>
      </w:r>
      <w:r>
        <w:rPr>
          <w:rFonts w:hint="eastAsia" w:ascii="宋体" w:hAnsi="宋体"/>
          <w:color w:val="auto"/>
          <w:sz w:val="21"/>
          <w:szCs w:val="21"/>
          <w:highlight w:val="none"/>
          <w:lang w:eastAsia="zh-CN"/>
        </w:rPr>
        <w:t>及时修理、重作、更换，并承担由此给甲</w:t>
      </w:r>
      <w:r>
        <w:rPr>
          <w:rFonts w:hint="eastAsia" w:ascii="宋体" w:hAnsi="宋体"/>
          <w:color w:val="auto"/>
          <w:sz w:val="21"/>
          <w:szCs w:val="21"/>
          <w:highlight w:val="none"/>
        </w:rPr>
        <w:t>方</w:t>
      </w:r>
      <w:r>
        <w:rPr>
          <w:rFonts w:hint="eastAsia" w:ascii="宋体" w:hAnsi="宋体"/>
          <w:color w:val="auto"/>
          <w:sz w:val="21"/>
          <w:szCs w:val="21"/>
          <w:highlight w:val="none"/>
          <w:lang w:eastAsia="zh-CN"/>
        </w:rPr>
        <w:t>造成的损失</w:t>
      </w:r>
      <w:r>
        <w:rPr>
          <w:rFonts w:hint="eastAsia" w:ascii="宋体" w:hAnsi="宋体"/>
          <w:color w:val="auto"/>
          <w:sz w:val="21"/>
          <w:szCs w:val="21"/>
          <w:highlight w:val="none"/>
        </w:rPr>
        <w:t>。</w:t>
      </w:r>
    </w:p>
    <w:p w14:paraId="10CDDB7E">
      <w:pPr>
        <w:autoSpaceDE w:val="0"/>
        <w:autoSpaceDN w:val="0"/>
        <w:adjustRightInd w:val="0"/>
        <w:snapToGrid w:val="0"/>
        <w:spacing w:before="0" w:line="400" w:lineRule="exact"/>
        <w:ind w:firstLine="420" w:firstLineChars="200"/>
        <w:jc w:val="left"/>
        <w:rPr>
          <w:rFonts w:ascii="宋体" w:hAnsi="宋体"/>
          <w:bCs/>
          <w:color w:val="auto"/>
          <w:sz w:val="21"/>
          <w:szCs w:val="21"/>
          <w:highlight w:val="none"/>
        </w:rPr>
      </w:pPr>
      <w:r>
        <w:rPr>
          <w:rFonts w:hint="eastAsia" w:ascii="宋体" w:hAnsi="宋体"/>
          <w:bCs/>
          <w:color w:val="auto"/>
          <w:sz w:val="21"/>
          <w:szCs w:val="21"/>
          <w:highlight w:val="none"/>
        </w:rPr>
        <w:t>1</w:t>
      </w:r>
      <w:r>
        <w:rPr>
          <w:rFonts w:hint="eastAsia" w:ascii="宋体" w:hAnsi="宋体"/>
          <w:bCs/>
          <w:color w:val="auto"/>
          <w:sz w:val="21"/>
          <w:szCs w:val="21"/>
          <w:highlight w:val="none"/>
          <w:lang w:eastAsia="zh-CN"/>
        </w:rPr>
        <w:t>5</w:t>
      </w:r>
      <w:r>
        <w:rPr>
          <w:rFonts w:hint="eastAsia" w:ascii="宋体" w:hAnsi="宋体"/>
          <w:bCs/>
          <w:color w:val="auto"/>
          <w:sz w:val="21"/>
          <w:szCs w:val="21"/>
          <w:highlight w:val="none"/>
        </w:rPr>
        <w:t>.2 迟延交货的违约责任</w:t>
      </w:r>
    </w:p>
    <w:p w14:paraId="4A6F5920">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（1）乙方应按照本合同规定的时间、地点交货和提供</w:t>
      </w:r>
      <w:r>
        <w:rPr>
          <w:rFonts w:hint="eastAsia" w:ascii="宋体" w:hAnsi="宋体"/>
          <w:color w:val="auto"/>
          <w:sz w:val="21"/>
          <w:szCs w:val="21"/>
          <w:highlight w:val="none"/>
          <w:lang w:eastAsia="zh-CN"/>
        </w:rPr>
        <w:t>相关</w:t>
      </w:r>
      <w:r>
        <w:rPr>
          <w:rFonts w:hint="eastAsia" w:ascii="宋体" w:hAnsi="宋体"/>
          <w:color w:val="auto"/>
          <w:sz w:val="21"/>
          <w:szCs w:val="21"/>
          <w:highlight w:val="none"/>
        </w:rPr>
        <w:t>服务。在履行合同过程中，如果乙方遇到可能</w:t>
      </w:r>
      <w:r>
        <w:rPr>
          <w:rFonts w:hint="eastAsia" w:ascii="宋体" w:hAnsi="宋体"/>
          <w:color w:val="auto"/>
          <w:sz w:val="21"/>
          <w:szCs w:val="21"/>
          <w:highlight w:val="none"/>
          <w:lang w:eastAsia="zh-CN"/>
        </w:rPr>
        <w:t>影响</w:t>
      </w:r>
      <w:r>
        <w:rPr>
          <w:rFonts w:hint="eastAsia" w:ascii="宋体" w:hAnsi="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 w:val="21"/>
          <w:szCs w:val="21"/>
          <w:highlight w:val="none"/>
          <w:lang w:eastAsia="zh-CN"/>
        </w:rPr>
        <w:t>长</w:t>
      </w:r>
      <w:r>
        <w:rPr>
          <w:rFonts w:hint="eastAsia" w:ascii="宋体" w:hAnsi="宋体"/>
          <w:color w:val="auto"/>
          <w:sz w:val="21"/>
          <w:szCs w:val="21"/>
          <w:highlight w:val="none"/>
        </w:rPr>
        <w:t>交货时间或延期提供服务。</w:t>
      </w:r>
    </w:p>
    <w:p w14:paraId="0EB166D0">
      <w:pPr>
        <w:autoSpaceDE w:val="0"/>
        <w:autoSpaceDN w:val="0"/>
        <w:adjustRightInd w:val="0"/>
        <w:snapToGrid w:val="0"/>
        <w:spacing w:before="0" w:line="400" w:lineRule="exact"/>
        <w:ind w:firstLine="420" w:firstLineChars="200"/>
        <w:jc w:val="lef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（2）如果乙方没有按照合同规定的时间交货和提供</w:t>
      </w:r>
      <w:r>
        <w:rPr>
          <w:rFonts w:hint="eastAsia" w:ascii="宋体" w:hAnsi="宋体"/>
          <w:color w:val="auto"/>
          <w:sz w:val="21"/>
          <w:szCs w:val="21"/>
          <w:highlight w:val="none"/>
          <w:lang w:eastAsia="zh-CN"/>
        </w:rPr>
        <w:t>相关</w:t>
      </w:r>
      <w:r>
        <w:rPr>
          <w:rFonts w:hint="eastAsia" w:ascii="宋体" w:hAnsi="宋体"/>
          <w:color w:val="auto"/>
          <w:sz w:val="21"/>
          <w:szCs w:val="21"/>
          <w:highlight w:val="none"/>
        </w:rPr>
        <w:t>服务，甲方有权从货款中扣除误期赔偿费而不影响合同项下的其他补救方法，赔偿费按</w:t>
      </w:r>
      <w:r>
        <w:rPr>
          <w:rFonts w:hint="eastAsia" w:ascii="宋体" w:hAnsi="宋体"/>
          <w:b/>
          <w:color w:val="auto"/>
          <w:sz w:val="21"/>
          <w:szCs w:val="21"/>
          <w:highlight w:val="none"/>
        </w:rPr>
        <w:t>【政府采购合同专用条款】</w:t>
      </w:r>
      <w:r>
        <w:rPr>
          <w:rFonts w:hint="eastAsia" w:ascii="宋体" w:hAnsi="宋体"/>
          <w:color w:val="auto"/>
          <w:sz w:val="21"/>
          <w:szCs w:val="21"/>
          <w:highlight w:val="none"/>
        </w:rPr>
        <w:t>规定执行。如果涉及公共利益，且赔偿金额无法弥补公共利益损失，</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可要求继续履行或者</w:t>
      </w:r>
      <w:r>
        <w:rPr>
          <w:rFonts w:hint="eastAsia" w:ascii="宋体" w:hAnsi="宋体"/>
          <w:color w:val="auto"/>
          <w:sz w:val="21"/>
          <w:szCs w:val="21"/>
          <w:highlight w:val="none"/>
          <w:lang w:eastAsia="zh-CN"/>
        </w:rPr>
        <w:t>采取其他补救措施</w:t>
      </w:r>
      <w:r>
        <w:rPr>
          <w:rFonts w:hint="eastAsia" w:ascii="宋体" w:hAnsi="宋体"/>
          <w:color w:val="auto"/>
          <w:sz w:val="21"/>
          <w:szCs w:val="21"/>
          <w:highlight w:val="none"/>
        </w:rPr>
        <w:t>。</w:t>
      </w:r>
    </w:p>
    <w:p w14:paraId="735E71AC">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5</w:t>
      </w:r>
      <w:r>
        <w:rPr>
          <w:rFonts w:hint="eastAsia" w:ascii="宋体" w:hAnsi="宋体"/>
          <w:color w:val="auto"/>
          <w:sz w:val="21"/>
          <w:szCs w:val="21"/>
          <w:highlight w:val="none"/>
        </w:rPr>
        <w:t>.3 迟延支付的违约责任</w:t>
      </w:r>
    </w:p>
    <w:p w14:paraId="7085912C">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甲方存在迟延支付乙方合同款项的，应当承担</w:t>
      </w:r>
      <w:r>
        <w:rPr>
          <w:rFonts w:hint="eastAsia" w:ascii="宋体" w:hAnsi="宋体"/>
          <w:b/>
          <w:bCs/>
          <w:color w:val="auto"/>
          <w:sz w:val="21"/>
          <w:szCs w:val="21"/>
          <w:highlight w:val="none"/>
        </w:rPr>
        <w:t>【政府采购合同专用条款】</w:t>
      </w:r>
      <w:r>
        <w:rPr>
          <w:rFonts w:hint="eastAsia" w:ascii="宋体" w:hAnsi="宋体"/>
          <w:color w:val="auto"/>
          <w:sz w:val="21"/>
          <w:szCs w:val="21"/>
          <w:highlight w:val="none"/>
        </w:rPr>
        <w:t>规定的逾期付款利息。</w:t>
      </w:r>
    </w:p>
    <w:p w14:paraId="28D58267">
      <w:pPr>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bCs/>
          <w:color w:val="auto"/>
          <w:sz w:val="21"/>
          <w:szCs w:val="21"/>
          <w:highlight w:val="none"/>
        </w:rPr>
        <w:t>1</w:t>
      </w:r>
      <w:r>
        <w:rPr>
          <w:rFonts w:hint="eastAsia" w:ascii="宋体" w:hAnsi="宋体"/>
          <w:bCs/>
          <w:color w:val="auto"/>
          <w:sz w:val="21"/>
          <w:szCs w:val="21"/>
          <w:highlight w:val="none"/>
          <w:lang w:eastAsia="zh-CN"/>
        </w:rPr>
        <w:t>5</w:t>
      </w:r>
      <w:r>
        <w:rPr>
          <w:rFonts w:hint="eastAsia" w:ascii="宋体" w:hAnsi="宋体"/>
          <w:bCs/>
          <w:color w:val="auto"/>
          <w:sz w:val="21"/>
          <w:szCs w:val="21"/>
          <w:highlight w:val="none"/>
        </w:rPr>
        <w:t>.4其他违约责任根据项目实际需要按</w:t>
      </w:r>
      <w:r>
        <w:rPr>
          <w:rFonts w:hint="eastAsia" w:ascii="宋体" w:hAnsi="宋体"/>
          <w:b/>
          <w:bCs/>
          <w:color w:val="auto"/>
          <w:sz w:val="21"/>
          <w:szCs w:val="21"/>
          <w:highlight w:val="none"/>
        </w:rPr>
        <w:t>【政府采购合同专用条款】</w:t>
      </w:r>
      <w:r>
        <w:rPr>
          <w:rFonts w:hint="eastAsia" w:ascii="宋体" w:hAnsi="宋体"/>
          <w:color w:val="auto"/>
          <w:sz w:val="21"/>
          <w:szCs w:val="21"/>
          <w:highlight w:val="none"/>
        </w:rPr>
        <w:t>规定执行。</w:t>
      </w:r>
    </w:p>
    <w:p w14:paraId="56171ABA">
      <w:pPr>
        <w:numPr>
          <w:ilvl w:val="0"/>
          <w:numId w:val="7"/>
        </w:numPr>
        <w:autoSpaceDE w:val="0"/>
        <w:autoSpaceDN w:val="0"/>
        <w:adjustRightInd w:val="0"/>
        <w:snapToGrid w:val="0"/>
        <w:spacing w:before="0" w:line="400" w:lineRule="exact"/>
        <w:jc w:val="left"/>
        <w:rPr>
          <w:rFonts w:ascii="宋体" w:hAnsi="宋体"/>
          <w:b/>
          <w:color w:val="auto"/>
          <w:sz w:val="21"/>
          <w:szCs w:val="21"/>
          <w:highlight w:val="none"/>
        </w:rPr>
      </w:pPr>
      <w:r>
        <w:rPr>
          <w:rFonts w:hint="eastAsia" w:ascii="宋体" w:hAnsi="宋体"/>
          <w:b/>
          <w:color w:val="auto"/>
          <w:sz w:val="21"/>
          <w:szCs w:val="21"/>
          <w:highlight w:val="none"/>
        </w:rPr>
        <w:t>合同变更</w:t>
      </w:r>
      <w:r>
        <w:rPr>
          <w:rFonts w:hint="eastAsia" w:ascii="宋体" w:hAnsi="宋体"/>
          <w:b/>
          <w:color w:val="auto"/>
          <w:sz w:val="21"/>
          <w:szCs w:val="21"/>
          <w:highlight w:val="none"/>
          <w:lang w:eastAsia="zh-CN"/>
        </w:rPr>
        <w:t>、中止与终止</w:t>
      </w:r>
    </w:p>
    <w:p w14:paraId="183CAEB4">
      <w:pPr>
        <w:autoSpaceDE/>
        <w:autoSpaceDN/>
        <w:adjustRightInd w:val="0"/>
        <w:snapToGrid w:val="0"/>
        <w:spacing w:before="0" w:line="400" w:lineRule="exact"/>
        <w:ind w:firstLine="0" w:firstLineChars="0"/>
        <w:jc w:val="left"/>
        <w:rPr>
          <w:rFonts w:hint="eastAsia" w:ascii="宋体" w:hAnsi="宋体"/>
          <w:color w:val="auto"/>
          <w:sz w:val="21"/>
          <w:szCs w:val="21"/>
          <w:highlight w:val="none"/>
        </w:rPr>
      </w:pP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.1合同的</w:t>
      </w:r>
      <w:r>
        <w:rPr>
          <w:rFonts w:hint="eastAsia" w:ascii="宋体" w:hAnsi="宋体"/>
          <w:color w:val="auto"/>
          <w:sz w:val="21"/>
          <w:szCs w:val="21"/>
          <w:highlight w:val="none"/>
          <w:lang w:eastAsia="zh-CN"/>
        </w:rPr>
        <w:t>变更</w:t>
      </w:r>
    </w:p>
    <w:p w14:paraId="50373F20">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政府采购合同履行中，</w:t>
      </w:r>
      <w:r>
        <w:rPr>
          <w:rFonts w:hint="eastAsia" w:ascii="宋体" w:hAnsi="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color w:val="auto"/>
          <w:sz w:val="21"/>
          <w:szCs w:val="21"/>
          <w:highlight w:val="none"/>
          <w:lang w:eastAsia="zh-CN"/>
        </w:rPr>
        <w:t>一致后</w:t>
      </w:r>
      <w:r>
        <w:rPr>
          <w:rFonts w:hint="eastAsia" w:ascii="宋体" w:hAnsi="宋体"/>
          <w:color w:val="auto"/>
          <w:sz w:val="21"/>
          <w:szCs w:val="21"/>
          <w:highlight w:val="none"/>
        </w:rPr>
        <w:t>签订补充协议。</w:t>
      </w:r>
    </w:p>
    <w:p w14:paraId="58683EFB">
      <w:pPr>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合同的中止</w:t>
      </w:r>
    </w:p>
    <w:p w14:paraId="514B0FF9">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（1）合同履行过程中因供应商就采购文件、采购过程或结果提起投诉的，甲方认为有必要的，</w:t>
      </w:r>
      <w:r>
        <w:rPr>
          <w:rFonts w:hint="eastAsia" w:ascii="宋体" w:hAnsi="宋体"/>
          <w:color w:val="auto"/>
          <w:sz w:val="21"/>
          <w:szCs w:val="21"/>
          <w:highlight w:val="none"/>
          <w:lang w:eastAsia="zh-CN"/>
        </w:rPr>
        <w:t>可以</w:t>
      </w:r>
      <w:r>
        <w:rPr>
          <w:rFonts w:hint="eastAsia" w:ascii="宋体" w:hAnsi="宋体"/>
          <w:color w:val="auto"/>
          <w:sz w:val="21"/>
          <w:szCs w:val="21"/>
          <w:highlight w:val="none"/>
        </w:rPr>
        <w:t>中止合同的履行。</w:t>
      </w:r>
    </w:p>
    <w:p w14:paraId="00B77BBE">
      <w:pPr>
        <w:autoSpaceDE w:val="0"/>
        <w:autoSpaceDN w:val="0"/>
        <w:adjustRightInd w:val="0"/>
        <w:snapToGrid w:val="0"/>
        <w:spacing w:before="0" w:line="400" w:lineRule="exact"/>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合同履行过程中，</w:t>
      </w:r>
      <w:r>
        <w:rPr>
          <w:rFonts w:hint="eastAsia" w:ascii="宋体" w:hAnsi="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 w:val="21"/>
          <w:szCs w:val="21"/>
          <w:highlight w:val="none"/>
          <w:lang w:eastAsia="zh-CN"/>
        </w:rPr>
        <w:t>，乙方有义务及时告知甲方</w:t>
      </w:r>
      <w:r>
        <w:rPr>
          <w:rFonts w:hint="eastAsia" w:ascii="宋体" w:hAnsi="宋体"/>
          <w:color w:val="auto"/>
          <w:sz w:val="21"/>
          <w:szCs w:val="21"/>
          <w:highlight w:val="none"/>
        </w:rPr>
        <w:t>。甲方</w:t>
      </w:r>
      <w:r>
        <w:rPr>
          <w:rFonts w:hint="eastAsia" w:ascii="宋体" w:hAnsi="宋体"/>
          <w:color w:val="auto"/>
          <w:sz w:val="21"/>
          <w:szCs w:val="21"/>
          <w:highlight w:val="none"/>
          <w:lang w:eastAsia="zh-CN"/>
        </w:rPr>
        <w:t>有权</w:t>
      </w:r>
      <w:r>
        <w:rPr>
          <w:rFonts w:hint="eastAsia" w:ascii="宋体" w:hAnsi="宋体"/>
          <w:color w:val="auto"/>
          <w:sz w:val="21"/>
          <w:szCs w:val="21"/>
          <w:highlight w:val="none"/>
        </w:rPr>
        <w:t>以书面形式通知乙方中止合同</w:t>
      </w:r>
      <w:r>
        <w:rPr>
          <w:rFonts w:hint="eastAsia" w:ascii="宋体" w:hAnsi="宋体"/>
          <w:color w:val="auto"/>
          <w:sz w:val="21"/>
          <w:szCs w:val="21"/>
          <w:highlight w:val="none"/>
          <w:lang w:eastAsia="zh-CN"/>
        </w:rPr>
        <w:t>并要求乙方在合理期限内消除相关情形或者提供适当担保。</w:t>
      </w:r>
      <w:r>
        <w:rPr>
          <w:rFonts w:hint="eastAsia" w:ascii="宋体" w:hAnsi="宋体"/>
          <w:color w:val="auto"/>
          <w:sz w:val="21"/>
          <w:szCs w:val="21"/>
          <w:highlight w:val="none"/>
        </w:rPr>
        <w:t>乙方提供适当担保的，</w:t>
      </w:r>
      <w:r>
        <w:rPr>
          <w:rFonts w:hint="eastAsia" w:ascii="宋体" w:hAnsi="宋体"/>
          <w:color w:val="auto"/>
          <w:sz w:val="21"/>
          <w:szCs w:val="21"/>
          <w:highlight w:val="none"/>
          <w:lang w:eastAsia="zh-CN"/>
        </w:rPr>
        <w:t>合同继续</w:t>
      </w:r>
      <w:r>
        <w:rPr>
          <w:rFonts w:hint="eastAsia" w:ascii="宋体" w:hAnsi="宋体"/>
          <w:color w:val="auto"/>
          <w:sz w:val="21"/>
          <w:szCs w:val="21"/>
          <w:highlight w:val="none"/>
        </w:rPr>
        <w:t>履行</w:t>
      </w:r>
      <w:r>
        <w:rPr>
          <w:rFonts w:hint="eastAsia" w:ascii="宋体" w:hAnsi="宋体"/>
          <w:color w:val="auto"/>
          <w:sz w:val="21"/>
          <w:szCs w:val="21"/>
          <w:highlight w:val="none"/>
          <w:lang w:eastAsia="zh-CN"/>
        </w:rPr>
        <w:t>；乙</w:t>
      </w:r>
      <w:r>
        <w:rPr>
          <w:rFonts w:hint="eastAsia" w:ascii="宋体" w:hAnsi="宋体"/>
          <w:color w:val="auto"/>
          <w:sz w:val="21"/>
          <w:szCs w:val="21"/>
          <w:highlight w:val="none"/>
        </w:rPr>
        <w:t>方在合理期限内未恢复履约能力且未提供适当担保的，视为拒绝</w:t>
      </w:r>
      <w:r>
        <w:rPr>
          <w:rFonts w:hint="eastAsia" w:ascii="宋体" w:hAnsi="宋体"/>
          <w:color w:val="auto"/>
          <w:sz w:val="21"/>
          <w:szCs w:val="21"/>
          <w:highlight w:val="none"/>
          <w:lang w:eastAsia="zh-CN"/>
        </w:rPr>
        <w:t>继续</w:t>
      </w:r>
      <w:r>
        <w:rPr>
          <w:rFonts w:hint="eastAsia" w:ascii="宋体" w:hAnsi="宋体"/>
          <w:color w:val="auto"/>
          <w:sz w:val="21"/>
          <w:szCs w:val="21"/>
          <w:highlight w:val="none"/>
        </w:rPr>
        <w:t>履约，甲方</w:t>
      </w:r>
      <w:r>
        <w:rPr>
          <w:rFonts w:hint="eastAsia" w:ascii="宋体" w:hAnsi="宋体"/>
          <w:color w:val="auto"/>
          <w:sz w:val="21"/>
          <w:szCs w:val="21"/>
          <w:highlight w:val="none"/>
          <w:lang w:eastAsia="zh-CN"/>
        </w:rPr>
        <w:t>有权</w:t>
      </w:r>
      <w:r>
        <w:rPr>
          <w:rFonts w:hint="eastAsia" w:ascii="宋体" w:hAnsi="宋体"/>
          <w:color w:val="auto"/>
          <w:sz w:val="21"/>
          <w:szCs w:val="21"/>
          <w:highlight w:val="none"/>
        </w:rPr>
        <w:t>解除合同并要求乙方承担</w:t>
      </w:r>
      <w:r>
        <w:rPr>
          <w:rFonts w:hint="eastAsia" w:ascii="宋体" w:hAnsi="宋体"/>
          <w:color w:val="auto"/>
          <w:sz w:val="21"/>
          <w:szCs w:val="21"/>
          <w:highlight w:val="none"/>
          <w:lang w:eastAsia="zh-CN"/>
        </w:rPr>
        <w:t>由此给甲方造成的损失</w:t>
      </w:r>
      <w:r>
        <w:rPr>
          <w:rFonts w:hint="eastAsia" w:ascii="宋体" w:hAnsi="宋体"/>
          <w:color w:val="auto"/>
          <w:sz w:val="21"/>
          <w:szCs w:val="21"/>
          <w:highlight w:val="none"/>
        </w:rPr>
        <w:t>。</w:t>
      </w:r>
    </w:p>
    <w:p w14:paraId="2215F61C">
      <w:pPr>
        <w:pStyle w:val="233"/>
        <w:jc w:val="both"/>
        <w:rPr>
          <w:color w:val="auto"/>
          <w:sz w:val="21"/>
          <w:szCs w:val="21"/>
          <w:highlight w:val="none"/>
        </w:rPr>
      </w:pPr>
      <w:r>
        <w:rPr>
          <w:rFonts w:hint="eastAsia" w:ascii="宋体" w:hAnsi="宋体" w:eastAsia="宋体" w:cs="宋体"/>
          <w:color w:val="auto"/>
          <w:sz w:val="21"/>
          <w:szCs w:val="21"/>
          <w:highlight w:val="none"/>
        </w:rPr>
        <w:t>（3）乙方分立、合并或者变更住所的，应当及时以书面形式告知甲方。乙方没有</w:t>
      </w:r>
      <w:r>
        <w:rPr>
          <w:rFonts w:hint="eastAsia" w:ascii="宋体" w:hAnsi="宋体" w:eastAsia="宋体" w:cs="宋体"/>
          <w:color w:val="auto"/>
          <w:sz w:val="21"/>
          <w:szCs w:val="21"/>
          <w:highlight w:val="none"/>
          <w:lang w:eastAsia="zh-CN"/>
        </w:rPr>
        <w:t>及时告知</w:t>
      </w:r>
      <w:r>
        <w:rPr>
          <w:rFonts w:hint="eastAsia" w:ascii="宋体" w:hAnsi="宋体" w:eastAsia="宋体" w:cs="宋体"/>
          <w:color w:val="auto"/>
          <w:sz w:val="21"/>
          <w:szCs w:val="21"/>
          <w:highlight w:val="none"/>
        </w:rPr>
        <w:t>甲方，致使</w:t>
      </w:r>
      <w:r>
        <w:rPr>
          <w:rFonts w:hint="eastAsia" w:ascii="宋体" w:hAnsi="宋体" w:eastAsia="宋体" w:cs="宋体"/>
          <w:color w:val="auto"/>
          <w:sz w:val="21"/>
          <w:szCs w:val="21"/>
          <w:highlight w:val="none"/>
          <w:lang w:eastAsia="zh-CN"/>
        </w:rPr>
        <w:t>合同</w:t>
      </w:r>
      <w:r>
        <w:rPr>
          <w:rFonts w:hint="eastAsia" w:ascii="宋体" w:hAnsi="宋体" w:eastAsia="宋体" w:cs="宋体"/>
          <w:color w:val="auto"/>
          <w:sz w:val="21"/>
          <w:szCs w:val="21"/>
          <w:highlight w:val="none"/>
        </w:rPr>
        <w:t>履行发生困难的，甲方可以中止合同履行并要求乙方承担由此给甲方造成的损失。</w:t>
      </w:r>
    </w:p>
    <w:p w14:paraId="6649D139">
      <w:pPr>
        <w:snapToGrid w:val="0"/>
        <w:spacing w:line="400" w:lineRule="exact"/>
        <w:ind w:firstLine="420" w:firstLineChars="200"/>
        <w:jc w:val="left"/>
        <w:rPr>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）甲方不得以行政区划调整、政府换届、机构或者职能调整以及相关责任人更替为由中止合同。</w:t>
      </w:r>
    </w:p>
    <w:p w14:paraId="0A304FF6">
      <w:pPr>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合同的终止</w:t>
      </w:r>
    </w:p>
    <w:p w14:paraId="500C29CD">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（1）合同因有效期限届满而终止；</w:t>
      </w:r>
    </w:p>
    <w:p w14:paraId="72D8DD49">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olor w:val="auto"/>
          <w:sz w:val="21"/>
          <w:szCs w:val="21"/>
          <w:highlight w:val="none"/>
        </w:rPr>
        <w:t>（2）乙方未</w:t>
      </w:r>
      <w:r>
        <w:rPr>
          <w:rFonts w:hint="eastAsia" w:ascii="宋体" w:hAnsi="宋体"/>
          <w:color w:val="auto"/>
          <w:sz w:val="21"/>
          <w:szCs w:val="21"/>
          <w:highlight w:val="none"/>
          <w:lang w:eastAsia="zh-CN"/>
        </w:rPr>
        <w:t>按</w:t>
      </w:r>
      <w:r>
        <w:rPr>
          <w:rFonts w:hint="eastAsia" w:ascii="宋体" w:hAnsi="宋体"/>
          <w:color w:val="auto"/>
          <w:sz w:val="21"/>
          <w:szCs w:val="21"/>
          <w:highlight w:val="none"/>
        </w:rPr>
        <w:t>合同约定履行，构成根本性违约的，甲方有权终止合同</w:t>
      </w:r>
      <w:r>
        <w:rPr>
          <w:rFonts w:hint="eastAsia" w:ascii="宋体" w:hAnsi="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cs="宋体"/>
          <w:color w:val="auto"/>
          <w:sz w:val="21"/>
          <w:szCs w:val="21"/>
          <w:highlight w:val="none"/>
          <w:lang w:val="en-US" w:eastAsia="zh-CN"/>
        </w:rPr>
        <w:t>任</w:t>
      </w:r>
      <w:r>
        <w:rPr>
          <w:rFonts w:hint="eastAsia" w:ascii="宋体" w:hAnsi="宋体"/>
          <w:color w:val="auto"/>
          <w:sz w:val="21"/>
          <w:szCs w:val="21"/>
          <w:highlight w:val="none"/>
        </w:rPr>
        <w:t>。</w:t>
      </w:r>
    </w:p>
    <w:p w14:paraId="15C8049A">
      <w:pPr>
        <w:pStyle w:val="233"/>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119CDC6E">
      <w:pPr>
        <w:pStyle w:val="233"/>
        <w:jc w:val="both"/>
        <w:rPr>
          <w:color w:val="auto"/>
          <w:sz w:val="21"/>
          <w:szCs w:val="21"/>
          <w:highlight w:val="none"/>
        </w:rPr>
      </w:pPr>
      <w:r>
        <w:rPr>
          <w:rFonts w:hint="eastAsia" w:ascii="宋体" w:hAnsi="宋体" w:eastAsia="宋体" w:cs="宋体"/>
          <w:color w:val="auto"/>
          <w:sz w:val="21"/>
          <w:szCs w:val="21"/>
          <w:highlight w:val="none"/>
        </w:rPr>
        <w:t>政府采购合同继续履行将损害国家利益和社会公共利益的，双方当事人</w:t>
      </w:r>
      <w:r>
        <w:rPr>
          <w:rFonts w:hint="eastAsia" w:ascii="宋体" w:hAnsi="宋体" w:eastAsia="宋体" w:cs="宋体"/>
          <w:color w:val="auto"/>
          <w:sz w:val="21"/>
          <w:szCs w:val="21"/>
          <w:highlight w:val="none"/>
          <w:lang w:val="en-US" w:eastAsia="zh-CN"/>
        </w:rPr>
        <w:t>应当变更、</w:t>
      </w:r>
      <w:r>
        <w:rPr>
          <w:rFonts w:hint="eastAsia" w:ascii="宋体" w:hAnsi="宋体" w:eastAsia="宋体" w:cs="宋体"/>
          <w:color w:val="auto"/>
          <w:sz w:val="21"/>
          <w:szCs w:val="21"/>
          <w:highlight w:val="none"/>
        </w:rPr>
        <w:t>中止</w:t>
      </w:r>
      <w:r>
        <w:rPr>
          <w:rFonts w:hint="eastAsia" w:ascii="宋体" w:hAnsi="宋体" w:eastAsia="宋体" w:cs="宋体"/>
          <w:color w:val="auto"/>
          <w:sz w:val="21"/>
          <w:szCs w:val="21"/>
          <w:highlight w:val="none"/>
          <w:lang w:eastAsia="zh-CN"/>
        </w:rPr>
        <w:t>或者终止</w:t>
      </w:r>
      <w:r>
        <w:rPr>
          <w:rFonts w:hint="eastAsia" w:ascii="宋体" w:hAnsi="宋体" w:eastAsia="宋体" w:cs="宋体"/>
          <w:color w:val="auto"/>
          <w:sz w:val="21"/>
          <w:szCs w:val="21"/>
          <w:highlight w:val="none"/>
        </w:rPr>
        <w:t>合同。有过错的一方应当承担赔偿责任，双方都有过错的，各自承担相应的责任。</w:t>
      </w:r>
    </w:p>
    <w:p w14:paraId="27C27B51">
      <w:pPr>
        <w:autoSpaceDE w:val="0"/>
        <w:autoSpaceDN w:val="0"/>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rPr>
        <w:t>1</w:t>
      </w:r>
      <w:r>
        <w:rPr>
          <w:rFonts w:hint="eastAsia" w:ascii="宋体" w:hAnsi="宋体"/>
          <w:b/>
          <w:bCs/>
          <w:color w:val="auto"/>
          <w:sz w:val="21"/>
          <w:szCs w:val="21"/>
          <w:highlight w:val="none"/>
          <w:lang w:val="en-US" w:eastAsia="zh-CN"/>
        </w:rPr>
        <w:t>7</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合同分包</w:t>
      </w:r>
    </w:p>
    <w:p w14:paraId="128E1750">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.1 乙方不得</w:t>
      </w:r>
      <w:r>
        <w:rPr>
          <w:rFonts w:hint="eastAsia" w:ascii="宋体" w:hAnsi="宋体"/>
          <w:color w:val="auto"/>
          <w:sz w:val="21"/>
          <w:szCs w:val="21"/>
          <w:highlight w:val="none"/>
          <w:lang w:eastAsia="zh-CN"/>
        </w:rPr>
        <w:t>将合同转包给其他供应商。涉及合同分包的，乙方</w:t>
      </w:r>
      <w:r>
        <w:rPr>
          <w:rFonts w:hint="eastAsia" w:ascii="宋体" w:hAnsi="宋体"/>
          <w:color w:val="auto"/>
          <w:sz w:val="21"/>
          <w:szCs w:val="21"/>
          <w:highlight w:val="none"/>
          <w:lang w:val="en-US" w:eastAsia="zh-CN"/>
        </w:rPr>
        <w:t>应</w:t>
      </w:r>
      <w:r>
        <w:rPr>
          <w:rFonts w:hint="eastAsia" w:ascii="宋体" w:hAnsi="宋体"/>
          <w:color w:val="auto"/>
          <w:sz w:val="21"/>
          <w:szCs w:val="21"/>
          <w:highlight w:val="none"/>
          <w:lang w:eastAsia="zh-CN"/>
        </w:rPr>
        <w:t>根据采购文件和投标（响应）文件规定进行</w:t>
      </w:r>
      <w:r>
        <w:rPr>
          <w:rFonts w:hint="eastAsia" w:ascii="宋体" w:hAnsi="宋体"/>
          <w:color w:val="auto"/>
          <w:sz w:val="21"/>
          <w:szCs w:val="21"/>
          <w:highlight w:val="none"/>
        </w:rPr>
        <w:t>合同分包。</w:t>
      </w:r>
    </w:p>
    <w:p w14:paraId="23B58B1F">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.2 乙方执行政府采购政策向中小企业依法分包的</w:t>
      </w:r>
      <w:r>
        <w:rPr>
          <w:rFonts w:hint="eastAsia" w:ascii="宋体" w:hAnsi="宋体"/>
          <w:color w:val="auto"/>
          <w:sz w:val="21"/>
          <w:szCs w:val="21"/>
          <w:highlight w:val="none"/>
          <w:lang w:eastAsia="zh-CN"/>
        </w:rPr>
        <w:t>，</w:t>
      </w:r>
      <w:r>
        <w:rPr>
          <w:rFonts w:hint="eastAsia" w:ascii="宋体" w:hAnsi="宋体"/>
          <w:color w:val="auto"/>
          <w:sz w:val="21"/>
          <w:szCs w:val="21"/>
          <w:highlight w:val="none"/>
        </w:rPr>
        <w:t>乙方应当按采购文件</w:t>
      </w:r>
      <w:r>
        <w:rPr>
          <w:rFonts w:hint="eastAsia" w:ascii="宋体" w:hAnsi="宋体"/>
          <w:color w:val="auto"/>
          <w:sz w:val="21"/>
          <w:szCs w:val="21"/>
          <w:highlight w:val="none"/>
          <w:lang w:eastAsia="zh-CN"/>
        </w:rPr>
        <w:t>和</w:t>
      </w:r>
      <w:r>
        <w:rPr>
          <w:rFonts w:hint="eastAsia" w:ascii="宋体" w:hAnsi="宋体"/>
          <w:color w:val="auto"/>
          <w:sz w:val="21"/>
          <w:szCs w:val="21"/>
          <w:highlight w:val="none"/>
        </w:rPr>
        <w:t>投标（响应）文件签订分包</w:t>
      </w:r>
      <w:r>
        <w:rPr>
          <w:rFonts w:hint="eastAsia" w:ascii="宋体" w:hAnsi="宋体"/>
          <w:color w:val="auto"/>
          <w:sz w:val="21"/>
          <w:szCs w:val="21"/>
          <w:highlight w:val="none"/>
          <w:lang w:eastAsia="zh-CN"/>
        </w:rPr>
        <w:t>意向</w:t>
      </w:r>
      <w:r>
        <w:rPr>
          <w:rFonts w:hint="eastAsia" w:ascii="宋体" w:hAnsi="宋体"/>
          <w:color w:val="auto"/>
          <w:sz w:val="21"/>
          <w:szCs w:val="21"/>
          <w:highlight w:val="none"/>
        </w:rPr>
        <w:t>协议，分包</w:t>
      </w:r>
      <w:r>
        <w:rPr>
          <w:rFonts w:hint="eastAsia" w:ascii="宋体" w:hAnsi="宋体"/>
          <w:color w:val="auto"/>
          <w:sz w:val="21"/>
          <w:szCs w:val="21"/>
          <w:highlight w:val="none"/>
          <w:lang w:eastAsia="zh-CN"/>
        </w:rPr>
        <w:t>意向</w:t>
      </w:r>
      <w:r>
        <w:rPr>
          <w:rFonts w:hint="eastAsia" w:ascii="宋体" w:hAnsi="宋体"/>
          <w:color w:val="auto"/>
          <w:sz w:val="21"/>
          <w:szCs w:val="21"/>
          <w:highlight w:val="none"/>
        </w:rPr>
        <w:t>协议属于本合同组成部分。</w:t>
      </w:r>
    </w:p>
    <w:p w14:paraId="4BA42D0D">
      <w:pPr>
        <w:autoSpaceDE w:val="0"/>
        <w:autoSpaceDN w:val="0"/>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lang w:eastAsia="zh-CN"/>
        </w:rPr>
        <w:t>1</w:t>
      </w:r>
      <w:r>
        <w:rPr>
          <w:rFonts w:hint="eastAsia" w:ascii="宋体" w:hAnsi="宋体"/>
          <w:b/>
          <w:bCs/>
          <w:color w:val="auto"/>
          <w:sz w:val="21"/>
          <w:szCs w:val="21"/>
          <w:highlight w:val="none"/>
          <w:lang w:val="en-US" w:eastAsia="zh-CN"/>
        </w:rPr>
        <w:t>8</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不可抗力</w:t>
      </w:r>
    </w:p>
    <w:p w14:paraId="563944DC">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1</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.1 不可抗力是指合同双方不能预见、不能避免且不能克服的客观情况。</w:t>
      </w:r>
    </w:p>
    <w:p w14:paraId="0B79A097">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1</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.2 任何一方对由于不可抗力造成的部分或全部不能履行合同不承担违约责任。但迟延履行后发生不可抗力的，不能免除责任。</w:t>
      </w:r>
    </w:p>
    <w:p w14:paraId="348E97C6">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lang w:eastAsia="zh-CN"/>
        </w:rPr>
        <w:t>1</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.3 遇有不可抗力的一方，应及时将事件情况以书面形式</w:t>
      </w:r>
      <w:r>
        <w:rPr>
          <w:rFonts w:hint="eastAsia" w:ascii="宋体" w:hAnsi="宋体"/>
          <w:color w:val="auto"/>
          <w:sz w:val="21"/>
          <w:szCs w:val="21"/>
          <w:highlight w:val="none"/>
          <w:lang w:eastAsia="zh-CN"/>
        </w:rPr>
        <w:t>告</w:t>
      </w:r>
      <w:r>
        <w:rPr>
          <w:rFonts w:hint="eastAsia" w:ascii="宋体" w:hAnsi="宋体"/>
          <w:color w:val="auto"/>
          <w:sz w:val="21"/>
          <w:szCs w:val="21"/>
          <w:highlight w:val="none"/>
        </w:rPr>
        <w:t>知另一方，并在事件发生后及时向另一方提交合同不能履行或部分不能履行或需要延期履行</w:t>
      </w:r>
      <w:r>
        <w:rPr>
          <w:rFonts w:hint="eastAsia" w:ascii="宋体" w:hAnsi="宋体"/>
          <w:color w:val="auto"/>
          <w:sz w:val="21"/>
          <w:szCs w:val="21"/>
          <w:highlight w:val="none"/>
          <w:lang w:eastAsia="zh-CN"/>
        </w:rPr>
        <w:t>的详细</w:t>
      </w:r>
      <w:r>
        <w:rPr>
          <w:rFonts w:hint="eastAsia" w:ascii="宋体" w:hAnsi="宋体"/>
          <w:color w:val="auto"/>
          <w:sz w:val="21"/>
          <w:szCs w:val="21"/>
          <w:highlight w:val="none"/>
        </w:rPr>
        <w:t>报告</w:t>
      </w:r>
      <w:r>
        <w:rPr>
          <w:rFonts w:hint="eastAsia" w:ascii="宋体" w:hAnsi="宋体"/>
          <w:color w:val="auto"/>
          <w:sz w:val="21"/>
          <w:szCs w:val="21"/>
          <w:highlight w:val="none"/>
          <w:lang w:eastAsia="zh-CN"/>
        </w:rPr>
        <w:t>，以</w:t>
      </w:r>
      <w:r>
        <w:rPr>
          <w:rFonts w:hint="eastAsia" w:ascii="宋体" w:hAnsi="宋体"/>
          <w:color w:val="auto"/>
          <w:sz w:val="21"/>
          <w:szCs w:val="21"/>
          <w:highlight w:val="none"/>
          <w:lang w:val="en-US" w:eastAsia="zh-CN"/>
        </w:rPr>
        <w:t>及证明不可抗力发生及其持续时间的证据</w:t>
      </w:r>
      <w:r>
        <w:rPr>
          <w:rFonts w:hint="eastAsia" w:ascii="宋体" w:hAnsi="宋体"/>
          <w:color w:val="auto"/>
          <w:sz w:val="21"/>
          <w:szCs w:val="21"/>
          <w:highlight w:val="none"/>
        </w:rPr>
        <w:t>。</w:t>
      </w:r>
    </w:p>
    <w:p w14:paraId="5B4205F7">
      <w:pPr>
        <w:autoSpaceDE w:val="0"/>
        <w:autoSpaceDN w:val="0"/>
        <w:adjustRightInd w:val="0"/>
        <w:snapToGrid w:val="0"/>
        <w:spacing w:before="0" w:line="400" w:lineRule="exact"/>
        <w:jc w:val="left"/>
        <w:rPr>
          <w:rFonts w:hint="eastAsia" w:ascii="宋体" w:hAnsi="宋体"/>
          <w:b/>
          <w:bCs/>
          <w:color w:val="auto"/>
          <w:sz w:val="21"/>
          <w:szCs w:val="21"/>
          <w:highlight w:val="none"/>
        </w:rPr>
      </w:pPr>
      <w:r>
        <w:rPr>
          <w:rFonts w:hint="eastAsia" w:ascii="宋体" w:hAnsi="宋体"/>
          <w:b/>
          <w:bCs/>
          <w:color w:val="auto"/>
          <w:sz w:val="21"/>
          <w:szCs w:val="21"/>
          <w:highlight w:val="none"/>
          <w:lang w:val="en-US" w:eastAsia="zh-CN"/>
        </w:rPr>
        <w:t>19</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 xml:space="preserve"> </w:t>
      </w:r>
      <w:r>
        <w:rPr>
          <w:rFonts w:hint="eastAsia" w:ascii="宋体" w:hAnsi="宋体"/>
          <w:b/>
          <w:bCs/>
          <w:color w:val="auto"/>
          <w:sz w:val="21"/>
          <w:szCs w:val="21"/>
          <w:highlight w:val="none"/>
        </w:rPr>
        <w:t>解决争议的方法</w:t>
      </w:r>
    </w:p>
    <w:p w14:paraId="4F1E223E">
      <w:pPr>
        <w:pStyle w:val="23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.1 因本合同及合同有关事项发生的争议，由</w:t>
      </w:r>
      <w:r>
        <w:rPr>
          <w:rFonts w:hint="eastAsia" w:ascii="宋体" w:hAnsi="宋体" w:eastAsia="宋体" w:cs="宋体"/>
          <w:color w:val="auto"/>
          <w:sz w:val="21"/>
          <w:szCs w:val="21"/>
          <w:highlight w:val="none"/>
          <w:lang w:eastAsia="zh-CN"/>
        </w:rPr>
        <w:t>甲乙双</w:t>
      </w:r>
      <w:r>
        <w:rPr>
          <w:rFonts w:hint="eastAsia" w:ascii="宋体" w:hAnsi="宋体" w:eastAsia="宋体" w:cs="宋体"/>
          <w:color w:val="auto"/>
          <w:sz w:val="21"/>
          <w:szCs w:val="21"/>
          <w:highlight w:val="none"/>
        </w:rPr>
        <w:t>方友好协商解决。协商不成时，可以</w:t>
      </w:r>
      <w:r>
        <w:rPr>
          <w:rFonts w:hint="eastAsia" w:ascii="宋体" w:hAnsi="宋体" w:eastAsia="宋体" w:cs="宋体"/>
          <w:color w:val="auto"/>
          <w:sz w:val="21"/>
          <w:szCs w:val="21"/>
          <w:highlight w:val="none"/>
          <w:lang w:eastAsia="zh-CN"/>
        </w:rPr>
        <w:t>向有关组织申请</w:t>
      </w:r>
      <w:r>
        <w:rPr>
          <w:rFonts w:hint="eastAsia" w:ascii="宋体" w:hAnsi="宋体" w:eastAsia="宋体" w:cs="宋体"/>
          <w:color w:val="auto"/>
          <w:sz w:val="21"/>
          <w:szCs w:val="21"/>
          <w:highlight w:val="none"/>
        </w:rPr>
        <w:t>调解。合同一方或</w:t>
      </w:r>
      <w:r>
        <w:rPr>
          <w:rFonts w:hint="eastAsia" w:ascii="宋体" w:hAnsi="宋体" w:eastAsia="宋体" w:cs="宋体"/>
          <w:color w:val="auto"/>
          <w:sz w:val="21"/>
          <w:szCs w:val="21"/>
          <w:highlight w:val="none"/>
          <w:lang w:eastAsia="zh-CN"/>
        </w:rPr>
        <w:t>双</w:t>
      </w:r>
      <w:r>
        <w:rPr>
          <w:rFonts w:hint="eastAsia" w:ascii="宋体" w:hAnsi="宋体" w:eastAsia="宋体" w:cs="宋体"/>
          <w:color w:val="auto"/>
          <w:sz w:val="21"/>
          <w:szCs w:val="21"/>
          <w:highlight w:val="none"/>
        </w:rPr>
        <w:t>方不愿调解或调解不成的，可以通过仲裁或诉讼的方式解决争议。</w:t>
      </w:r>
    </w:p>
    <w:p w14:paraId="42B7CB49">
      <w:pPr>
        <w:pStyle w:val="23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中进一步约定选择与争议有实际联系的地点的人民法院管辖，但管辖法院的约定不得违反级别管辖和专属管辖的规定。</w:t>
      </w:r>
    </w:p>
    <w:p w14:paraId="31A26818">
      <w:pPr>
        <w:pStyle w:val="23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.3 如</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rPr>
        <w:t>有争议的事项不影响合同其他部分的履行，在争议解决期间，合同其他部分应</w:t>
      </w:r>
      <w:r>
        <w:rPr>
          <w:rFonts w:hint="eastAsia" w:ascii="宋体" w:hAnsi="宋体" w:eastAsia="宋体" w:cs="宋体"/>
          <w:color w:val="auto"/>
          <w:sz w:val="21"/>
          <w:szCs w:val="21"/>
          <w:highlight w:val="none"/>
          <w:lang w:eastAsia="zh-CN"/>
        </w:rPr>
        <w:t>当</w:t>
      </w:r>
      <w:r>
        <w:rPr>
          <w:rFonts w:hint="eastAsia" w:ascii="宋体" w:hAnsi="宋体" w:eastAsia="宋体" w:cs="宋体"/>
          <w:color w:val="auto"/>
          <w:sz w:val="21"/>
          <w:szCs w:val="21"/>
          <w:highlight w:val="none"/>
        </w:rPr>
        <w:t>继续履行。</w:t>
      </w:r>
    </w:p>
    <w:p w14:paraId="2A0547DC">
      <w:pPr>
        <w:autoSpaceDE w:val="0"/>
        <w:autoSpaceDN w:val="0"/>
        <w:adjustRightInd w:val="0"/>
        <w:snapToGrid w:val="0"/>
        <w:spacing w:before="0" w:line="400" w:lineRule="exact"/>
        <w:jc w:val="left"/>
        <w:rPr>
          <w:rFonts w:ascii="宋体" w:hAnsi="宋体"/>
          <w:color w:val="auto"/>
          <w:sz w:val="21"/>
          <w:szCs w:val="21"/>
          <w:highlight w:val="none"/>
        </w:rPr>
      </w:pPr>
      <w:r>
        <w:rPr>
          <w:rFonts w:hint="eastAsia" w:ascii="宋体" w:hAnsi="宋体"/>
          <w:b/>
          <w:color w:val="auto"/>
          <w:sz w:val="21"/>
          <w:szCs w:val="21"/>
          <w:highlight w:val="none"/>
          <w:lang w:val="en-US" w:eastAsia="zh-CN"/>
        </w:rPr>
        <w:t>20</w:t>
      </w:r>
      <w:r>
        <w:rPr>
          <w:rFonts w:hint="eastAsia" w:ascii="宋体" w:hAnsi="宋体"/>
          <w:b/>
          <w:color w:val="auto"/>
          <w:sz w:val="21"/>
          <w:szCs w:val="21"/>
          <w:highlight w:val="none"/>
        </w:rPr>
        <w:t>.</w:t>
      </w:r>
      <w:r>
        <w:rPr>
          <w:rFonts w:hint="eastAsia" w:ascii="宋体" w:hAnsi="宋体"/>
          <w:b/>
          <w:color w:val="auto"/>
          <w:sz w:val="21"/>
          <w:szCs w:val="21"/>
          <w:highlight w:val="none"/>
          <w:lang w:val="en-US" w:eastAsia="zh-CN"/>
        </w:rPr>
        <w:t xml:space="preserve"> </w:t>
      </w:r>
      <w:r>
        <w:rPr>
          <w:rFonts w:hint="eastAsia" w:ascii="宋体" w:hAnsi="宋体"/>
          <w:b/>
          <w:color w:val="auto"/>
          <w:sz w:val="21"/>
          <w:szCs w:val="21"/>
          <w:highlight w:val="none"/>
        </w:rPr>
        <w:t>政府采购政策</w:t>
      </w:r>
    </w:p>
    <w:p w14:paraId="4B17C80D">
      <w:pPr>
        <w:autoSpaceDE w:val="0"/>
        <w:autoSpaceDN w:val="0"/>
        <w:adjustRightInd w:val="0"/>
        <w:snapToGrid w:val="0"/>
        <w:spacing w:before="0" w:line="400" w:lineRule="exact"/>
        <w:ind w:firstLine="420" w:firstLineChars="200"/>
        <w:jc w:val="left"/>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14:paraId="0977FE46">
      <w:pPr>
        <w:autoSpaceDE w:val="0"/>
        <w:autoSpaceDN w:val="0"/>
        <w:adjustRightInd w:val="0"/>
        <w:snapToGrid w:val="0"/>
        <w:spacing w:before="0" w:line="40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color w:val="auto"/>
          <w:sz w:val="21"/>
          <w:szCs w:val="21"/>
          <w:highlight w:val="none"/>
        </w:rPr>
        <w:t>，有过错的一方应当承担赔偿责任，双方都有过错的，各自承担相应的责任。</w:t>
      </w:r>
    </w:p>
    <w:p w14:paraId="7D107EF3">
      <w:pPr>
        <w:pStyle w:val="16"/>
        <w:tabs>
          <w:tab w:val="left" w:pos="567"/>
        </w:tabs>
        <w:spacing w:after="0" w:line="400" w:lineRule="exact"/>
        <w:ind w:firstLine="420" w:firstLineChars="200"/>
        <w:rPr>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 xml:space="preserve"> 对于</w:t>
      </w:r>
      <w:r>
        <w:rPr>
          <w:rFonts w:hint="eastAsia" w:ascii="宋体" w:hAnsi="宋体"/>
          <w:color w:val="auto"/>
          <w:sz w:val="21"/>
          <w:szCs w:val="21"/>
          <w:highlight w:val="none"/>
          <w:lang w:eastAsia="zh-CN"/>
        </w:rPr>
        <w:t>为落实中小企业支持政策，</w:t>
      </w:r>
      <w:r>
        <w:rPr>
          <w:rFonts w:hint="eastAsia" w:ascii="宋体" w:hAnsi="宋体"/>
          <w:color w:val="auto"/>
          <w:sz w:val="21"/>
          <w:szCs w:val="21"/>
          <w:highlight w:val="none"/>
        </w:rPr>
        <w:t>通过采购项目</w:t>
      </w:r>
      <w:r>
        <w:rPr>
          <w:rFonts w:hint="eastAsia" w:ascii="宋体" w:hAnsi="宋体"/>
          <w:color w:val="auto"/>
          <w:sz w:val="21"/>
          <w:szCs w:val="21"/>
          <w:highlight w:val="none"/>
          <w:lang w:eastAsia="zh-CN"/>
        </w:rPr>
        <w:t>整体</w:t>
      </w:r>
      <w:r>
        <w:rPr>
          <w:rFonts w:hint="eastAsia" w:ascii="宋体" w:hAnsi="宋体"/>
          <w:color w:val="auto"/>
          <w:sz w:val="21"/>
          <w:szCs w:val="21"/>
          <w:highlight w:val="none"/>
        </w:rPr>
        <w:t>预留、</w:t>
      </w:r>
      <w:r>
        <w:rPr>
          <w:rFonts w:hint="eastAsia" w:ascii="宋体" w:hAnsi="宋体"/>
          <w:color w:val="auto"/>
          <w:sz w:val="21"/>
          <w:szCs w:val="21"/>
          <w:highlight w:val="none"/>
          <w:lang w:eastAsia="zh-CN"/>
        </w:rPr>
        <w:t>设置</w:t>
      </w:r>
      <w:r>
        <w:rPr>
          <w:rFonts w:hint="eastAsia" w:ascii="宋体" w:hAnsi="宋体"/>
          <w:color w:val="auto"/>
          <w:sz w:val="21"/>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178215">
      <w:pPr>
        <w:autoSpaceDE w:val="0"/>
        <w:autoSpaceDN w:val="0"/>
        <w:adjustRightInd w:val="0"/>
        <w:snapToGrid w:val="0"/>
        <w:spacing w:before="0" w:line="400" w:lineRule="exact"/>
        <w:jc w:val="left"/>
        <w:rPr>
          <w:rFonts w:hint="eastAsia" w:ascii="宋体" w:hAnsi="宋体"/>
          <w:b/>
          <w:color w:val="auto"/>
          <w:sz w:val="21"/>
          <w:szCs w:val="21"/>
          <w:highlight w:val="none"/>
        </w:rPr>
      </w:pPr>
      <w:r>
        <w:rPr>
          <w:rFonts w:hint="eastAsia" w:ascii="宋体" w:hAnsi="宋体"/>
          <w:b/>
          <w:color w:val="auto"/>
          <w:sz w:val="21"/>
          <w:szCs w:val="21"/>
          <w:highlight w:val="none"/>
        </w:rPr>
        <w:t>2</w:t>
      </w:r>
      <w:r>
        <w:rPr>
          <w:rFonts w:hint="eastAsia" w:ascii="宋体" w:hAnsi="宋体"/>
          <w:b/>
          <w:color w:val="auto"/>
          <w:sz w:val="21"/>
          <w:szCs w:val="21"/>
          <w:highlight w:val="none"/>
          <w:lang w:val="en-US" w:eastAsia="zh-CN"/>
        </w:rPr>
        <w:t>1</w:t>
      </w:r>
      <w:r>
        <w:rPr>
          <w:rFonts w:hint="eastAsia" w:ascii="宋体" w:hAnsi="宋体"/>
          <w:b/>
          <w:color w:val="auto"/>
          <w:sz w:val="21"/>
          <w:szCs w:val="21"/>
          <w:highlight w:val="none"/>
        </w:rPr>
        <w:t>.</w:t>
      </w:r>
      <w:r>
        <w:rPr>
          <w:rFonts w:hint="eastAsia" w:ascii="宋体" w:hAnsi="宋体"/>
          <w:b/>
          <w:color w:val="auto"/>
          <w:sz w:val="21"/>
          <w:szCs w:val="21"/>
          <w:highlight w:val="none"/>
          <w:lang w:val="en-US" w:eastAsia="zh-CN"/>
        </w:rPr>
        <w:t xml:space="preserve"> </w:t>
      </w:r>
      <w:r>
        <w:rPr>
          <w:rFonts w:hint="eastAsia" w:ascii="宋体" w:hAnsi="宋体"/>
          <w:b/>
          <w:color w:val="auto"/>
          <w:sz w:val="21"/>
          <w:szCs w:val="21"/>
          <w:highlight w:val="none"/>
        </w:rPr>
        <w:t>法律适用</w:t>
      </w:r>
    </w:p>
    <w:p w14:paraId="7E740001">
      <w:pPr>
        <w:pStyle w:val="23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.1 本合同的订立、生效、解释、履行及与本合同有关的争议解决，均适用法律、行政法规。</w:t>
      </w:r>
    </w:p>
    <w:p w14:paraId="6ADD6EF9">
      <w:pPr>
        <w:pStyle w:val="23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.2 本合同条款与法律、行政法规的强制性规定不一致的，双方当事人应按照法律、行政法规的强制性规定修改本合同的相关条款。</w:t>
      </w:r>
    </w:p>
    <w:p w14:paraId="0426AC57">
      <w:pPr>
        <w:numPr>
          <w:ilvl w:val="0"/>
          <w:numId w:val="0"/>
        </w:numPr>
        <w:autoSpaceDE w:val="0"/>
        <w:autoSpaceDN w:val="0"/>
        <w:adjustRightInd w:val="0"/>
        <w:snapToGrid w:val="0"/>
        <w:spacing w:before="0" w:line="400" w:lineRule="exact"/>
        <w:jc w:val="left"/>
        <w:rPr>
          <w:rFonts w:ascii="宋体" w:hAnsi="宋体"/>
          <w:b/>
          <w:color w:val="auto"/>
          <w:sz w:val="21"/>
          <w:szCs w:val="21"/>
          <w:highlight w:val="none"/>
        </w:rPr>
      </w:pPr>
      <w:r>
        <w:rPr>
          <w:rFonts w:hint="eastAsia" w:ascii="宋体" w:hAnsi="宋体"/>
          <w:b/>
          <w:color w:val="auto"/>
          <w:sz w:val="21"/>
          <w:szCs w:val="21"/>
          <w:highlight w:val="none"/>
          <w:lang w:val="en-US" w:eastAsia="zh-CN"/>
        </w:rPr>
        <w:t xml:space="preserve">22. </w:t>
      </w:r>
      <w:r>
        <w:rPr>
          <w:rFonts w:hint="eastAsia" w:ascii="宋体" w:hAnsi="宋体"/>
          <w:b/>
          <w:color w:val="auto"/>
          <w:sz w:val="21"/>
          <w:szCs w:val="21"/>
          <w:highlight w:val="none"/>
        </w:rPr>
        <w:t>通知</w:t>
      </w:r>
    </w:p>
    <w:p w14:paraId="4A1CFDCA">
      <w:pPr>
        <w:pStyle w:val="23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本合同任何一方向对方发出的通知、信件、数据电文等，应当发送至本合同第一部分《政府采购合同协议书》所约定的通讯地址、联系人、联系电话或电子邮箱。</w:t>
      </w:r>
    </w:p>
    <w:p w14:paraId="775B6880">
      <w:pPr>
        <w:pStyle w:val="233"/>
        <w:ind w:firstLine="0" w:firstLineChars="0"/>
        <w:jc w:val="both"/>
        <w:rPr>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一方当事人变更名称、</w:t>
      </w:r>
      <w:r>
        <w:rPr>
          <w:rFonts w:hint="eastAsia" w:ascii="宋体" w:hAnsi="宋体" w:eastAsia="宋体" w:cs="宋体"/>
          <w:color w:val="auto"/>
          <w:sz w:val="21"/>
          <w:szCs w:val="21"/>
          <w:highlight w:val="none"/>
          <w:lang w:eastAsia="zh-CN"/>
        </w:rPr>
        <w:t>住所</w:t>
      </w:r>
      <w:r>
        <w:rPr>
          <w:rFonts w:hint="eastAsia" w:ascii="宋体" w:hAnsi="宋体" w:eastAsia="宋体" w:cs="宋体"/>
          <w:color w:val="auto"/>
          <w:sz w:val="21"/>
          <w:szCs w:val="21"/>
          <w:highlight w:val="none"/>
        </w:rPr>
        <w:t>、联系人、联系电话或电子邮箱</w:t>
      </w:r>
      <w:r>
        <w:rPr>
          <w:rFonts w:hint="eastAsia" w:ascii="宋体" w:hAnsi="宋体" w:eastAsia="宋体" w:cs="宋体"/>
          <w:color w:val="auto"/>
          <w:sz w:val="21"/>
          <w:szCs w:val="21"/>
          <w:highlight w:val="none"/>
          <w:lang w:eastAsia="zh-CN"/>
        </w:rPr>
        <w:t>等信息</w:t>
      </w:r>
      <w:r>
        <w:rPr>
          <w:rFonts w:hint="eastAsia" w:ascii="宋体" w:hAnsi="宋体" w:eastAsia="宋体" w:cs="宋体"/>
          <w:color w:val="auto"/>
          <w:sz w:val="21"/>
          <w:szCs w:val="21"/>
          <w:highlight w:val="none"/>
        </w:rPr>
        <w:t>的，应当在变更后3日内及时书面通知对方，对方实际收到变更通知前的送达仍为有效送达。</w:t>
      </w:r>
    </w:p>
    <w:p w14:paraId="3455BB05">
      <w:pPr>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本合同一方给另一方的通知均应采用书面形式，传真或快递送到本合同中规定的对方的地址和办理签收手续。</w:t>
      </w:r>
    </w:p>
    <w:p w14:paraId="77035096">
      <w:pPr>
        <w:adjustRightInd w:val="0"/>
        <w:snapToGrid w:val="0"/>
        <w:spacing w:before="0" w:line="40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通知以送达之日或通知书中规定的生效之日起生效，两者中以较迟之日为准。</w:t>
      </w:r>
    </w:p>
    <w:p w14:paraId="46CA5560">
      <w:pPr>
        <w:numPr>
          <w:ilvl w:val="0"/>
          <w:numId w:val="8"/>
        </w:numPr>
        <w:adjustRightInd w:val="0"/>
        <w:snapToGrid w:val="0"/>
        <w:spacing w:before="0" w:line="400" w:lineRule="exact"/>
        <w:jc w:val="left"/>
        <w:rPr>
          <w:rFonts w:ascii="宋体" w:hAnsi="宋体"/>
          <w:b/>
          <w:bCs/>
          <w:color w:val="auto"/>
          <w:sz w:val="21"/>
          <w:szCs w:val="21"/>
          <w:highlight w:val="none"/>
        </w:rPr>
      </w:pPr>
      <w:r>
        <w:rPr>
          <w:rFonts w:hint="eastAsia" w:ascii="宋体" w:hAnsi="宋体"/>
          <w:b/>
          <w:bCs/>
          <w:color w:val="auto"/>
          <w:sz w:val="21"/>
          <w:szCs w:val="21"/>
          <w:highlight w:val="none"/>
        </w:rPr>
        <w:t>合同未尽事项</w:t>
      </w:r>
    </w:p>
    <w:p w14:paraId="61E6939C">
      <w:pPr>
        <w:adjustRightInd w:val="0"/>
        <w:snapToGrid w:val="0"/>
        <w:spacing w:before="0" w:line="400" w:lineRule="exact"/>
        <w:ind w:firstLine="420" w:firstLineChars="200"/>
        <w:jc w:val="left"/>
        <w:rPr>
          <w:rFonts w:hint="eastAsia" w:ascii="宋体" w:hAnsi="宋体"/>
          <w:bCs/>
          <w:color w:val="auto"/>
          <w:sz w:val="21"/>
          <w:szCs w:val="21"/>
          <w:highlight w:val="none"/>
        </w:rPr>
      </w:pPr>
      <w:r>
        <w:rPr>
          <w:rFonts w:hint="eastAsia" w:ascii="宋体" w:hAnsi="宋体"/>
          <w:bCs/>
          <w:color w:val="auto"/>
          <w:sz w:val="21"/>
          <w:szCs w:val="21"/>
          <w:highlight w:val="none"/>
        </w:rPr>
        <w:t>2</w:t>
      </w:r>
      <w:r>
        <w:rPr>
          <w:rFonts w:hint="eastAsia" w:ascii="宋体" w:hAnsi="宋体"/>
          <w:bCs/>
          <w:color w:val="auto"/>
          <w:sz w:val="21"/>
          <w:szCs w:val="21"/>
          <w:highlight w:val="none"/>
          <w:lang w:val="en-US" w:eastAsia="zh-CN"/>
        </w:rPr>
        <w:t>3</w:t>
      </w:r>
      <w:r>
        <w:rPr>
          <w:rFonts w:hint="eastAsia" w:ascii="宋体" w:hAnsi="宋体"/>
          <w:bCs/>
          <w:color w:val="auto"/>
          <w:sz w:val="21"/>
          <w:szCs w:val="21"/>
          <w:highlight w:val="none"/>
        </w:rPr>
        <w:t>.1合同未尽事项见</w:t>
      </w:r>
      <w:r>
        <w:rPr>
          <w:rFonts w:hint="eastAsia" w:ascii="宋体" w:hAnsi="宋体"/>
          <w:b/>
          <w:color w:val="auto"/>
          <w:sz w:val="21"/>
          <w:szCs w:val="21"/>
          <w:highlight w:val="none"/>
        </w:rPr>
        <w:t>【政府采购合同专用条款】</w:t>
      </w:r>
      <w:r>
        <w:rPr>
          <w:rFonts w:hint="eastAsia" w:ascii="宋体" w:hAnsi="宋体"/>
          <w:bCs/>
          <w:color w:val="auto"/>
          <w:sz w:val="21"/>
          <w:szCs w:val="21"/>
          <w:highlight w:val="none"/>
        </w:rPr>
        <w:t>。</w:t>
      </w:r>
    </w:p>
    <w:p w14:paraId="0E81070E">
      <w:pPr>
        <w:adjustRightInd w:val="0"/>
        <w:snapToGrid w:val="0"/>
        <w:spacing w:line="400" w:lineRule="exact"/>
        <w:ind w:firstLine="420" w:firstLineChars="0"/>
        <w:jc w:val="left"/>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23.2 合同附件与合同正文具有同等的法律效力。</w:t>
      </w:r>
    </w:p>
    <w:p w14:paraId="7E33526F">
      <w:pPr>
        <w:adjustRightInd w:val="0"/>
        <w:snapToGrid w:val="0"/>
        <w:spacing w:line="400" w:lineRule="exact"/>
        <w:ind w:firstLine="420" w:firstLineChars="0"/>
        <w:jc w:val="left"/>
        <w:rPr>
          <w:rFonts w:hint="eastAsia" w:ascii="宋体" w:hAnsi="宋体"/>
          <w:bCs/>
          <w:color w:val="auto"/>
          <w:sz w:val="21"/>
          <w:szCs w:val="21"/>
          <w:highlight w:val="none"/>
          <w:lang w:val="en-US" w:eastAsia="zh-CN"/>
        </w:rPr>
      </w:pPr>
    </w:p>
    <w:p w14:paraId="5D59778E">
      <w:pPr>
        <w:adjustRightInd w:val="0"/>
        <w:snapToGrid w:val="0"/>
        <w:spacing w:line="400" w:lineRule="exact"/>
        <w:ind w:firstLine="420" w:firstLineChars="0"/>
        <w:jc w:val="left"/>
        <w:rPr>
          <w:rFonts w:hint="eastAsia" w:ascii="宋体" w:hAnsi="宋体"/>
          <w:bCs/>
          <w:color w:val="auto"/>
          <w:sz w:val="21"/>
          <w:szCs w:val="21"/>
          <w:highlight w:val="none"/>
          <w:lang w:val="en-US" w:eastAsia="zh-CN"/>
        </w:rPr>
      </w:pPr>
    </w:p>
    <w:p w14:paraId="5579D0B5">
      <w:pPr>
        <w:adjustRightInd w:val="0"/>
        <w:snapToGrid w:val="0"/>
        <w:spacing w:line="400" w:lineRule="exact"/>
        <w:ind w:firstLine="420" w:firstLineChars="0"/>
        <w:jc w:val="left"/>
        <w:rPr>
          <w:rFonts w:hint="eastAsia" w:ascii="宋体" w:hAnsi="宋体"/>
          <w:bCs/>
          <w:color w:val="auto"/>
          <w:sz w:val="21"/>
          <w:szCs w:val="21"/>
          <w:highlight w:val="none"/>
          <w:lang w:val="en-US" w:eastAsia="zh-CN"/>
        </w:rPr>
      </w:pPr>
    </w:p>
    <w:p w14:paraId="0997D7B1">
      <w:pPr>
        <w:adjustRightInd w:val="0"/>
        <w:snapToGrid w:val="0"/>
        <w:jc w:val="center"/>
        <w:rPr>
          <w:rFonts w:hint="eastAsia" w:ascii="黑体" w:hAnsi="黑体" w:eastAsia="黑体" w:cs="Times New Roman"/>
          <w:b w:val="0"/>
          <w:bCs w:val="0"/>
          <w:color w:val="auto"/>
          <w:kern w:val="0"/>
          <w:sz w:val="28"/>
          <w:szCs w:val="28"/>
          <w:highlight w:val="none"/>
        </w:rPr>
      </w:pPr>
      <w:r>
        <w:rPr>
          <w:color w:val="auto"/>
          <w:highlight w:val="none"/>
        </w:rPr>
        <w:br w:type="page"/>
      </w:r>
      <w:r>
        <w:rPr>
          <w:rFonts w:hint="eastAsia" w:ascii="黑体" w:hAnsi="黑体" w:eastAsia="黑体" w:cs="Times New Roman"/>
          <w:b w:val="0"/>
          <w:bCs w:val="0"/>
          <w:color w:val="auto"/>
          <w:sz w:val="28"/>
          <w:szCs w:val="28"/>
          <w:highlight w:val="none"/>
        </w:rPr>
        <w:t>第</w:t>
      </w:r>
      <w:r>
        <w:rPr>
          <w:rFonts w:hint="eastAsia" w:ascii="黑体" w:hAnsi="黑体" w:eastAsia="黑体" w:cs="Times New Roman"/>
          <w:b w:val="0"/>
          <w:bCs w:val="0"/>
          <w:color w:val="auto"/>
          <w:sz w:val="28"/>
          <w:szCs w:val="28"/>
          <w:highlight w:val="none"/>
          <w:lang w:val="en-US" w:eastAsia="zh-CN"/>
        </w:rPr>
        <w:t>三</w:t>
      </w:r>
      <w:r>
        <w:rPr>
          <w:rFonts w:hint="eastAsia" w:ascii="黑体" w:hAnsi="黑体" w:eastAsia="黑体" w:cs="Times New Roman"/>
          <w:b w:val="0"/>
          <w:bCs w:val="0"/>
          <w:color w:val="auto"/>
          <w:sz w:val="28"/>
          <w:szCs w:val="28"/>
          <w:highlight w:val="none"/>
        </w:rPr>
        <w:t xml:space="preserve">节 </w:t>
      </w:r>
      <w:r>
        <w:rPr>
          <w:rFonts w:hint="eastAsia" w:ascii="黑体" w:hAnsi="黑体" w:eastAsia="黑体" w:cs="Times New Roman"/>
          <w:b w:val="0"/>
          <w:bCs w:val="0"/>
          <w:color w:val="auto"/>
          <w:kern w:val="0"/>
          <w:sz w:val="28"/>
          <w:szCs w:val="28"/>
          <w:highlight w:val="none"/>
        </w:rPr>
        <w:t>政府采购合同专用条款</w:t>
      </w:r>
    </w:p>
    <w:tbl>
      <w:tblPr>
        <w:tblStyle w:val="3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677FF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A6D5BCD">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第一节</w:t>
            </w:r>
          </w:p>
          <w:p w14:paraId="69BFAAA3">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第3.3款</w:t>
            </w:r>
          </w:p>
        </w:tc>
        <w:tc>
          <w:tcPr>
            <w:tcW w:w="1742" w:type="dxa"/>
            <w:noWrap w:val="0"/>
            <w:vAlign w:val="center"/>
          </w:tcPr>
          <w:p w14:paraId="572D2310">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履约保证金的支付时间、方式及金额</w:t>
            </w:r>
          </w:p>
        </w:tc>
        <w:tc>
          <w:tcPr>
            <w:tcW w:w="5170" w:type="dxa"/>
            <w:noWrap w:val="0"/>
            <w:vAlign w:val="center"/>
          </w:tcPr>
          <w:p w14:paraId="076669CE">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乙方需在甲方发布中标公告7日内，以转账或银行保函方式将履约保证金汇至甲方银行账户，金额为本合同总价的 </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 。</w:t>
            </w:r>
          </w:p>
        </w:tc>
      </w:tr>
      <w:tr w14:paraId="135978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FFEFE89">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17CCEBEC">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第4.4款</w:t>
            </w:r>
          </w:p>
        </w:tc>
        <w:tc>
          <w:tcPr>
            <w:tcW w:w="1742" w:type="dxa"/>
            <w:noWrap w:val="0"/>
            <w:vAlign w:val="center"/>
          </w:tcPr>
          <w:p w14:paraId="79912FF1">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履约验收中甲方提出异议或作出说明的期限</w:t>
            </w:r>
          </w:p>
        </w:tc>
        <w:tc>
          <w:tcPr>
            <w:tcW w:w="5170" w:type="dxa"/>
            <w:noWrap w:val="0"/>
            <w:vAlign w:val="center"/>
          </w:tcPr>
          <w:p w14:paraId="63726BE9">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如有异议，甲方在货到后向乙方提出，乙方应在接到甲方异议的7天内做出书面答复，否则，视为乙方同意甲方提出的异议和处理意见。</w:t>
            </w:r>
          </w:p>
        </w:tc>
      </w:tr>
      <w:tr w14:paraId="3EF509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A8FA28B">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71839F41">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第4.6款</w:t>
            </w:r>
          </w:p>
        </w:tc>
        <w:tc>
          <w:tcPr>
            <w:tcW w:w="1742" w:type="dxa"/>
            <w:noWrap w:val="0"/>
            <w:vAlign w:val="center"/>
          </w:tcPr>
          <w:p w14:paraId="134A65C1">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约定甲方承担的其他义务和责任</w:t>
            </w:r>
          </w:p>
        </w:tc>
        <w:tc>
          <w:tcPr>
            <w:tcW w:w="5170" w:type="dxa"/>
            <w:noWrap w:val="0"/>
            <w:vAlign w:val="center"/>
          </w:tcPr>
          <w:p w14:paraId="2C00E234">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p>
        </w:tc>
      </w:tr>
      <w:tr w14:paraId="6F93FA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0ACD1C4">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1EEA636E">
            <w:pPr>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第5.4款</w:t>
            </w:r>
          </w:p>
        </w:tc>
        <w:tc>
          <w:tcPr>
            <w:tcW w:w="1742" w:type="dxa"/>
            <w:noWrap w:val="0"/>
            <w:vAlign w:val="center"/>
          </w:tcPr>
          <w:p w14:paraId="60BDE754">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约定乙方承担的其他义务和责任</w:t>
            </w:r>
          </w:p>
        </w:tc>
        <w:tc>
          <w:tcPr>
            <w:tcW w:w="5170" w:type="dxa"/>
            <w:noWrap w:val="0"/>
            <w:vAlign w:val="center"/>
          </w:tcPr>
          <w:p w14:paraId="73DEEA9A">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乙方有义务按采购供货时所承诺的服务提供相应的设备维修等售后服务，若乙方怠于或拒绝提供售后服务，每发生一次，乙方应向甲方支付本合同总价1％的违约金，并承担因此给乙方造成的全部损失，发生三次或以上，甲方有权单方解除本合同，乙方除向甲方支付本合同总价30%的违约金外，还应赔偿由此给甲方造成的经济损失。若因乙方怠于或拒绝提供售后服务，则甲方有权委托其他第三方进行售后服务，所产生的所有费用、违约金及经济损失等均由乙方承担，且甲方有权从履约保证金中先行扣除。</w:t>
            </w:r>
          </w:p>
        </w:tc>
      </w:tr>
      <w:tr w14:paraId="3AE259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84FCC11">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1E09AF43">
            <w:pPr>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第6.1款</w:t>
            </w:r>
          </w:p>
        </w:tc>
        <w:tc>
          <w:tcPr>
            <w:tcW w:w="1742" w:type="dxa"/>
            <w:noWrap w:val="0"/>
            <w:vAlign w:val="center"/>
          </w:tcPr>
          <w:p w14:paraId="65B44D65">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履行合同义务的顺序</w:t>
            </w:r>
          </w:p>
        </w:tc>
        <w:tc>
          <w:tcPr>
            <w:tcW w:w="5170" w:type="dxa"/>
            <w:noWrap w:val="0"/>
            <w:vAlign w:val="center"/>
          </w:tcPr>
          <w:p w14:paraId="56625A46">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p>
        </w:tc>
      </w:tr>
      <w:tr w14:paraId="7DDC2C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79683C5A">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77A7ECF3">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第7.1款</w:t>
            </w:r>
          </w:p>
        </w:tc>
        <w:tc>
          <w:tcPr>
            <w:tcW w:w="1742" w:type="dxa"/>
            <w:noWrap w:val="0"/>
            <w:vAlign w:val="center"/>
          </w:tcPr>
          <w:p w14:paraId="6E8727CA">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包装特殊要求</w:t>
            </w:r>
          </w:p>
        </w:tc>
        <w:tc>
          <w:tcPr>
            <w:tcW w:w="5170" w:type="dxa"/>
            <w:noWrap w:val="0"/>
            <w:vAlign w:val="center"/>
          </w:tcPr>
          <w:p w14:paraId="0E839DB2">
            <w:pPr>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原包装交付，乙方负责免费送货至甲方指定地点，并安装、调试直至甲方书面验收合格并保障甲方可正常使用。</w:t>
            </w:r>
          </w:p>
        </w:tc>
      </w:tr>
      <w:tr w14:paraId="713920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63982EAE">
            <w:pPr>
              <w:adjustRightInd w:val="0"/>
              <w:snapToGrid w:val="0"/>
              <w:ind w:firstLine="420"/>
              <w:jc w:val="center"/>
              <w:rPr>
                <w:rFonts w:hint="eastAsia" w:ascii="宋体" w:hAnsi="宋体" w:cs="宋体"/>
                <w:color w:val="auto"/>
                <w:sz w:val="21"/>
                <w:szCs w:val="21"/>
                <w:highlight w:val="none"/>
              </w:rPr>
            </w:pPr>
          </w:p>
        </w:tc>
        <w:tc>
          <w:tcPr>
            <w:tcW w:w="1742" w:type="dxa"/>
            <w:noWrap w:val="0"/>
            <w:vAlign w:val="center"/>
          </w:tcPr>
          <w:p w14:paraId="6F8439B5">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指定现场</w:t>
            </w:r>
          </w:p>
        </w:tc>
        <w:tc>
          <w:tcPr>
            <w:tcW w:w="5170" w:type="dxa"/>
            <w:noWrap w:val="0"/>
            <w:vAlign w:val="center"/>
          </w:tcPr>
          <w:p w14:paraId="1B6320E1">
            <w:pPr>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甲方</w:t>
            </w:r>
            <w:r>
              <w:rPr>
                <w:rFonts w:ascii="宋体" w:hAnsi="宋体" w:cs="宋体"/>
                <w:color w:val="auto"/>
                <w:sz w:val="21"/>
                <w:szCs w:val="21"/>
                <w:highlight w:val="none"/>
              </w:rPr>
              <w:t>指定地点。</w:t>
            </w:r>
          </w:p>
        </w:tc>
      </w:tr>
      <w:tr w14:paraId="239E03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7F33D85C">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2953CD71">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第7.2款</w:t>
            </w:r>
          </w:p>
        </w:tc>
        <w:tc>
          <w:tcPr>
            <w:tcW w:w="1742" w:type="dxa"/>
            <w:noWrap w:val="0"/>
            <w:vAlign w:val="center"/>
          </w:tcPr>
          <w:p w14:paraId="1E807B1C">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运输特殊要求</w:t>
            </w:r>
          </w:p>
        </w:tc>
        <w:tc>
          <w:tcPr>
            <w:tcW w:w="5170" w:type="dxa"/>
            <w:noWrap w:val="0"/>
            <w:vAlign w:val="center"/>
          </w:tcPr>
          <w:p w14:paraId="239C0C29">
            <w:pPr>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货物到达甲方指定交付地点前，毁损、灭失的风险责任由乙方承担；货物安装、调试、验收合格前出现的质量与安全风险由乙方承担。</w:t>
            </w:r>
          </w:p>
        </w:tc>
      </w:tr>
      <w:tr w14:paraId="3CC847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2DAA392B">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4C7C0E2D">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第7.3款</w:t>
            </w:r>
          </w:p>
        </w:tc>
        <w:tc>
          <w:tcPr>
            <w:tcW w:w="1742" w:type="dxa"/>
            <w:noWrap w:val="0"/>
            <w:vAlign w:val="center"/>
          </w:tcPr>
          <w:p w14:paraId="2D40F8E9">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保险要求</w:t>
            </w:r>
          </w:p>
        </w:tc>
        <w:tc>
          <w:tcPr>
            <w:tcW w:w="5170" w:type="dxa"/>
            <w:noWrap w:val="0"/>
            <w:vAlign w:val="center"/>
          </w:tcPr>
          <w:p w14:paraId="2AA36060">
            <w:pPr>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w:t>
            </w:r>
          </w:p>
        </w:tc>
      </w:tr>
      <w:tr w14:paraId="138B42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9B79151">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6B6C9E72">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第8.2（1）项</w:t>
            </w:r>
          </w:p>
        </w:tc>
        <w:tc>
          <w:tcPr>
            <w:tcW w:w="1742" w:type="dxa"/>
            <w:noWrap w:val="0"/>
            <w:vAlign w:val="center"/>
          </w:tcPr>
          <w:p w14:paraId="30C1BC45">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质量保证期</w:t>
            </w:r>
          </w:p>
        </w:tc>
        <w:tc>
          <w:tcPr>
            <w:tcW w:w="5170" w:type="dxa"/>
            <w:noWrap w:val="0"/>
            <w:vAlign w:val="center"/>
          </w:tcPr>
          <w:p w14:paraId="7CC07703">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验收合格后</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整机质保</w:t>
            </w:r>
            <w:r>
              <w:rPr>
                <w:rFonts w:hint="eastAsia" w:ascii="宋体" w:hAnsi="宋体" w:cs="宋体"/>
                <w:color w:val="auto"/>
                <w:sz w:val="21"/>
                <w:szCs w:val="21"/>
                <w:highlight w:val="none"/>
              </w:rPr>
              <w:t>（自验收合格之日起计算）</w:t>
            </w:r>
          </w:p>
        </w:tc>
      </w:tr>
      <w:tr w14:paraId="52CFB9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4C1C1B4">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72144A65">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第8.2（3）项</w:t>
            </w:r>
          </w:p>
        </w:tc>
        <w:tc>
          <w:tcPr>
            <w:tcW w:w="1742" w:type="dxa"/>
            <w:noWrap w:val="0"/>
            <w:vAlign w:val="center"/>
          </w:tcPr>
          <w:p w14:paraId="53AA5569">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货物质量缺陷响应时间</w:t>
            </w:r>
          </w:p>
        </w:tc>
        <w:tc>
          <w:tcPr>
            <w:tcW w:w="5170" w:type="dxa"/>
            <w:noWrap w:val="0"/>
            <w:vAlign w:val="center"/>
          </w:tcPr>
          <w:p w14:paraId="0E400B64">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按照响应文件售后服务承诺执行</w:t>
            </w:r>
          </w:p>
        </w:tc>
      </w:tr>
      <w:tr w14:paraId="1591DB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6971B16">
            <w:pPr>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第二节第11.1款</w:t>
            </w:r>
          </w:p>
        </w:tc>
        <w:tc>
          <w:tcPr>
            <w:tcW w:w="1742" w:type="dxa"/>
            <w:noWrap w:val="0"/>
            <w:vAlign w:val="center"/>
          </w:tcPr>
          <w:p w14:paraId="066230B9">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其他应当保密的信息</w:t>
            </w:r>
          </w:p>
        </w:tc>
        <w:tc>
          <w:tcPr>
            <w:tcW w:w="5170" w:type="dxa"/>
            <w:noWrap w:val="0"/>
            <w:vAlign w:val="center"/>
          </w:tcPr>
          <w:p w14:paraId="3C0D11D9">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包括但不限于技术情报、技术资料、商业秘密和商业信息等。</w:t>
            </w:r>
          </w:p>
        </w:tc>
      </w:tr>
      <w:tr w14:paraId="0111A9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07" w:type="dxa"/>
            <w:noWrap w:val="0"/>
            <w:vAlign w:val="center"/>
          </w:tcPr>
          <w:p w14:paraId="47CD5BC2">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3A62BC43">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第12.2款</w:t>
            </w:r>
          </w:p>
        </w:tc>
        <w:tc>
          <w:tcPr>
            <w:tcW w:w="1742" w:type="dxa"/>
            <w:noWrap w:val="0"/>
            <w:vAlign w:val="center"/>
          </w:tcPr>
          <w:p w14:paraId="409938B6">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合同价款支付时间</w:t>
            </w:r>
          </w:p>
        </w:tc>
        <w:tc>
          <w:tcPr>
            <w:tcW w:w="5170" w:type="dxa"/>
            <w:noWrap w:val="0"/>
            <w:vAlign w:val="center"/>
          </w:tcPr>
          <w:p w14:paraId="20F3375E">
            <w:pPr>
              <w:snapToGrid w:val="0"/>
              <w:spacing w:beforeLines="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合同签订后，甲方收到乙方银行保函形式的预付款担保函后(合同总金额的50%，有效期自保函递交之日起不少于三个月)，支付合同总价的50%作为预付款；全部货物安装调试完毕，且经甲方书面验收合格后30日内，乙方向甲方提供符合甲方财务要求的发票，经甲方审核完毕后，甲方向乙方支付剩余合同价款的50%。</w:t>
            </w:r>
          </w:p>
        </w:tc>
      </w:tr>
      <w:tr w14:paraId="05963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77" w:hRule="atLeast"/>
        </w:trPr>
        <w:tc>
          <w:tcPr>
            <w:tcW w:w="1607" w:type="dxa"/>
            <w:noWrap w:val="0"/>
            <w:vAlign w:val="center"/>
          </w:tcPr>
          <w:p w14:paraId="1976F60D">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3544A270">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第13.2款</w:t>
            </w:r>
          </w:p>
        </w:tc>
        <w:tc>
          <w:tcPr>
            <w:tcW w:w="1742" w:type="dxa"/>
            <w:noWrap w:val="0"/>
            <w:vAlign w:val="center"/>
          </w:tcPr>
          <w:p w14:paraId="5767546E">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履约保证金不予退还的情形</w:t>
            </w:r>
          </w:p>
        </w:tc>
        <w:tc>
          <w:tcPr>
            <w:tcW w:w="5170" w:type="dxa"/>
            <w:noWrap w:val="0"/>
            <w:vAlign w:val="center"/>
          </w:tcPr>
          <w:p w14:paraId="191E6312">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1.乙方不履行合同，履约保证金不予退还；</w:t>
            </w:r>
          </w:p>
          <w:p w14:paraId="10A04212">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2.乙方未能按合同约定全面履行业务，甲方有权从履约保证金中取得补偿或赔偿，给甲方造成的损失超过履约保证金数额的，还应当对超过部分予以赔偿；</w:t>
            </w:r>
          </w:p>
        </w:tc>
      </w:tr>
      <w:tr w14:paraId="20057D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06" w:hRule="atLeast"/>
        </w:trPr>
        <w:tc>
          <w:tcPr>
            <w:tcW w:w="1607" w:type="dxa"/>
            <w:noWrap w:val="0"/>
            <w:vAlign w:val="center"/>
          </w:tcPr>
          <w:p w14:paraId="4EAC5A65">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07962C7C">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第13.3款</w:t>
            </w:r>
          </w:p>
        </w:tc>
        <w:tc>
          <w:tcPr>
            <w:tcW w:w="1742" w:type="dxa"/>
            <w:noWrap w:val="0"/>
            <w:vAlign w:val="center"/>
          </w:tcPr>
          <w:p w14:paraId="78E5FA0B">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履约保证金退还时间</w:t>
            </w:r>
          </w:p>
        </w:tc>
        <w:tc>
          <w:tcPr>
            <w:tcW w:w="5170" w:type="dxa"/>
            <w:noWrap w:val="0"/>
            <w:vAlign w:val="center"/>
          </w:tcPr>
          <w:p w14:paraId="0ABF4BCA">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乙方完成本合同义务包括任何保证义务至质保期结束无质量问题之日起7个工作日内，</w:t>
            </w:r>
            <w:r>
              <w:rPr>
                <w:rFonts w:hint="eastAsia" w:ascii="宋体" w:hAnsi="宋体" w:cs="宋体"/>
                <w:color w:val="auto"/>
                <w:sz w:val="21"/>
                <w:szCs w:val="21"/>
                <w:highlight w:val="none"/>
                <w:lang w:val="en-US" w:eastAsia="zh-CN"/>
              </w:rPr>
              <w:t>无息</w:t>
            </w:r>
            <w:r>
              <w:rPr>
                <w:rFonts w:hint="eastAsia" w:ascii="宋体" w:hAnsi="宋体" w:cs="宋体"/>
                <w:color w:val="auto"/>
                <w:sz w:val="21"/>
                <w:szCs w:val="21"/>
                <w:highlight w:val="none"/>
              </w:rPr>
              <w:t>退还乙方履约保证金。</w:t>
            </w:r>
          </w:p>
        </w:tc>
      </w:tr>
      <w:tr w14:paraId="427F0E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06EFAAE">
            <w:pPr>
              <w:adjustRightInd w:val="0"/>
              <w:snapToGrid w:val="0"/>
              <w:ind w:firstLine="42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1A082501">
            <w:pPr>
              <w:adjustRightInd w:val="0"/>
              <w:snapToGrid w:val="0"/>
              <w:ind w:firstLine="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第14.1（4）项</w:t>
            </w:r>
          </w:p>
        </w:tc>
        <w:tc>
          <w:tcPr>
            <w:tcW w:w="1742" w:type="dxa"/>
            <w:noWrap w:val="0"/>
            <w:vAlign w:val="center"/>
          </w:tcPr>
          <w:p w14:paraId="57B56DC2">
            <w:pPr>
              <w:adjustRightInd w:val="0"/>
              <w:snapToGrid w:val="0"/>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乙方提供的其他服务</w:t>
            </w:r>
          </w:p>
        </w:tc>
        <w:tc>
          <w:tcPr>
            <w:tcW w:w="5170" w:type="dxa"/>
            <w:noWrap w:val="0"/>
            <w:vAlign w:val="center"/>
          </w:tcPr>
          <w:p w14:paraId="53B73ADC">
            <w:pPr>
              <w:adjustRightInd w:val="0"/>
              <w:snapToGrid w:val="0"/>
              <w:ind w:firstLine="420"/>
              <w:jc w:val="left"/>
              <w:rPr>
                <w:rFonts w:hint="eastAsia" w:ascii="宋体" w:hAnsi="宋体" w:cs="宋体"/>
                <w:color w:val="auto"/>
                <w:sz w:val="21"/>
                <w:szCs w:val="21"/>
                <w:highlight w:val="none"/>
              </w:rPr>
            </w:pPr>
          </w:p>
        </w:tc>
      </w:tr>
      <w:tr w14:paraId="7AF84B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789846B">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5CAE5000">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第15.1项</w:t>
            </w:r>
          </w:p>
        </w:tc>
        <w:tc>
          <w:tcPr>
            <w:tcW w:w="1742" w:type="dxa"/>
            <w:noWrap w:val="0"/>
            <w:vAlign w:val="center"/>
          </w:tcPr>
          <w:p w14:paraId="0D765F92">
            <w:pPr>
              <w:adjustRightInd w:val="0"/>
              <w:snapToGrid w:val="0"/>
              <w:ind w:firstLine="0"/>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乙方质量瑕疵的违约责任</w:t>
            </w:r>
          </w:p>
        </w:tc>
        <w:tc>
          <w:tcPr>
            <w:tcW w:w="5170" w:type="dxa"/>
            <w:noWrap w:val="0"/>
            <w:vAlign w:val="center"/>
          </w:tcPr>
          <w:p w14:paraId="4DC15F4D">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若乙方交付产品或货物不符合本合同约定或甲方要求的，甲方有权要求乙方予以更换，由此造成迟延交付的，乙方应承担迟延交付的违约责任。若乙方拒绝更换或更换后仍不符合要求的，甲方有权单方解除本合同，乙方除承担因此给甲方造成的全部损失外，还应向甲方支付本合同总价30%的违约金。</w:t>
            </w:r>
          </w:p>
        </w:tc>
      </w:tr>
      <w:tr w14:paraId="5A8778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C4BAD63">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202B6D34">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第15.2项</w:t>
            </w:r>
          </w:p>
        </w:tc>
        <w:tc>
          <w:tcPr>
            <w:tcW w:w="1742" w:type="dxa"/>
            <w:noWrap w:val="0"/>
            <w:vAlign w:val="center"/>
          </w:tcPr>
          <w:p w14:paraId="0AA208EB">
            <w:pPr>
              <w:adjustRightInd w:val="0"/>
              <w:snapToGrid w:val="0"/>
              <w:ind w:firstLine="0"/>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乙方迟延交付的违约责任</w:t>
            </w:r>
          </w:p>
        </w:tc>
        <w:tc>
          <w:tcPr>
            <w:tcW w:w="5170" w:type="dxa"/>
            <w:noWrap w:val="0"/>
            <w:vAlign w:val="center"/>
          </w:tcPr>
          <w:p w14:paraId="3735DDE2">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若乙方未按照本合同约定期限内交付产品或货物，每迟延一日，应向甲方支付本合同总价</w:t>
            </w:r>
            <w:r>
              <w:rPr>
                <w:rFonts w:hint="eastAsia" w:ascii="宋体" w:hAnsi="宋体" w:cs="宋体"/>
                <w:color w:val="auto"/>
                <w:sz w:val="21"/>
                <w:szCs w:val="21"/>
                <w:highlight w:val="none"/>
                <w:u w:val="single"/>
              </w:rPr>
              <w:t xml:space="preserve">  3‰ </w:t>
            </w:r>
            <w:r>
              <w:rPr>
                <w:rFonts w:hint="eastAsia" w:ascii="宋体" w:hAnsi="宋体" w:cs="宋体"/>
                <w:color w:val="auto"/>
                <w:sz w:val="21"/>
                <w:szCs w:val="21"/>
                <w:highlight w:val="none"/>
              </w:rPr>
              <w:t>的违约金，迟延</w:t>
            </w:r>
            <w:r>
              <w:rPr>
                <w:rFonts w:hint="eastAsia" w:ascii="宋体" w:hAnsi="宋体" w:cs="宋体"/>
                <w:color w:val="auto"/>
                <w:sz w:val="21"/>
                <w:szCs w:val="21"/>
                <w:highlight w:val="none"/>
                <w:u w:val="single"/>
              </w:rPr>
              <w:t>七</w:t>
            </w:r>
            <w:r>
              <w:rPr>
                <w:rFonts w:hint="eastAsia" w:ascii="宋体" w:hAnsi="宋体" w:cs="宋体"/>
                <w:color w:val="auto"/>
                <w:sz w:val="21"/>
                <w:szCs w:val="21"/>
                <w:highlight w:val="none"/>
              </w:rPr>
              <w:t>日以上，甲方有权单方解除本合同，乙方除承担因此给甲方造成的全部损失外，还应向甲方支付本合同总价</w:t>
            </w:r>
            <w:r>
              <w:rPr>
                <w:rFonts w:hint="eastAsia" w:ascii="宋体" w:hAnsi="宋体" w:cs="宋体"/>
                <w:color w:val="auto"/>
                <w:sz w:val="21"/>
                <w:szCs w:val="21"/>
                <w:highlight w:val="none"/>
                <w:u w:val="single"/>
              </w:rPr>
              <w:t xml:space="preserve">   30  </w:t>
            </w:r>
            <w:r>
              <w:rPr>
                <w:rFonts w:hint="eastAsia" w:ascii="宋体" w:hAnsi="宋体" w:cs="宋体"/>
                <w:color w:val="auto"/>
                <w:sz w:val="21"/>
                <w:szCs w:val="21"/>
                <w:highlight w:val="none"/>
              </w:rPr>
              <w:t>%的违约金。</w:t>
            </w:r>
          </w:p>
        </w:tc>
      </w:tr>
      <w:tr w14:paraId="154EB9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B5AE864">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第二节</w:t>
            </w:r>
          </w:p>
          <w:p w14:paraId="2A57DAF3">
            <w:pPr>
              <w:adjustRightInd w:val="0"/>
              <w:snapToGrid w:val="0"/>
              <w:ind w:firstLine="42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第19.1款</w:t>
            </w:r>
          </w:p>
        </w:tc>
        <w:tc>
          <w:tcPr>
            <w:tcW w:w="1742" w:type="dxa"/>
            <w:noWrap w:val="0"/>
            <w:vAlign w:val="center"/>
          </w:tcPr>
          <w:p w14:paraId="3E2C06B1">
            <w:pPr>
              <w:adjustRightInd w:val="0"/>
              <w:snapToGrid w:val="0"/>
              <w:ind w:firstLine="0"/>
              <w:jc w:val="center"/>
              <w:rPr>
                <w:rFonts w:hint="eastAsia" w:ascii="宋体" w:hAnsi="宋体" w:cs="宋体"/>
                <w:color w:val="auto"/>
                <w:sz w:val="21"/>
                <w:szCs w:val="21"/>
                <w:highlight w:val="none"/>
              </w:rPr>
            </w:pPr>
            <w:r>
              <w:rPr>
                <w:rFonts w:hint="eastAsia" w:ascii="宋体" w:hAnsi="宋体" w:cs="宋体"/>
                <w:bCs/>
                <w:color w:val="auto"/>
                <w:sz w:val="21"/>
                <w:szCs w:val="21"/>
                <w:highlight w:val="none"/>
              </w:rPr>
              <w:t>其他专用条款</w:t>
            </w:r>
          </w:p>
        </w:tc>
        <w:tc>
          <w:tcPr>
            <w:tcW w:w="5170" w:type="dxa"/>
            <w:noWrap w:val="0"/>
            <w:vAlign w:val="center"/>
          </w:tcPr>
          <w:p w14:paraId="770BDC7B">
            <w:pPr>
              <w:adjustRightInd w:val="0"/>
              <w:snapToGrid w:val="0"/>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项目管理服务：乙方应指定不少于一人全权全程负责本项目的商务服务，以及货物安装、调试、咨询、培训和售后等技术服务工作。（如发生变更应及时书面通知甲方。）</w:t>
            </w:r>
          </w:p>
          <w:p w14:paraId="3065F4CC">
            <w:pPr>
              <w:adjustRightInd w:val="0"/>
              <w:snapToGrid w:val="0"/>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项目负责人：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w:t>
            </w:r>
          </w:p>
        </w:tc>
      </w:tr>
      <w:tr w14:paraId="1CD8A6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876DD0F">
            <w:pPr>
              <w:adjustRightInd w:val="0"/>
              <w:snapToGrid w:val="0"/>
              <w:jc w:val="center"/>
              <w:rPr>
                <w:rFonts w:hint="eastAsia" w:ascii="宋体" w:hAnsi="宋体"/>
                <w:color w:val="auto"/>
                <w:sz w:val="21"/>
                <w:szCs w:val="21"/>
                <w:highlight w:val="none"/>
              </w:rPr>
            </w:pPr>
            <w:r>
              <w:rPr>
                <w:rFonts w:hint="eastAsia" w:ascii="宋体" w:hAnsi="宋体"/>
                <w:color w:val="auto"/>
                <w:sz w:val="21"/>
                <w:szCs w:val="21"/>
                <w:highlight w:val="none"/>
              </w:rPr>
              <w:t>第二节</w:t>
            </w:r>
          </w:p>
          <w:p w14:paraId="5B1AD21C">
            <w:pPr>
              <w:adjustRightInd w:val="0"/>
              <w:snapToGrid w:val="0"/>
              <w:jc w:val="center"/>
              <w:rPr>
                <w:rFonts w:hint="eastAsia" w:ascii="宋体" w:hAnsi="宋体"/>
                <w:color w:val="auto"/>
                <w:sz w:val="21"/>
                <w:szCs w:val="21"/>
                <w:highlight w:val="none"/>
              </w:rPr>
            </w:pPr>
            <w:r>
              <w:rPr>
                <w:rFonts w:hint="eastAsia" w:ascii="宋体" w:hAnsi="宋体"/>
                <w:color w:val="auto"/>
                <w:sz w:val="21"/>
                <w:szCs w:val="21"/>
                <w:highlight w:val="none"/>
              </w:rPr>
              <w:t>第19.2款</w:t>
            </w:r>
          </w:p>
        </w:tc>
        <w:tc>
          <w:tcPr>
            <w:tcW w:w="1742" w:type="dxa"/>
            <w:noWrap w:val="0"/>
            <w:vAlign w:val="center"/>
          </w:tcPr>
          <w:p w14:paraId="052D6C04">
            <w:pPr>
              <w:adjustRightInd w:val="0"/>
              <w:snapToGrid w:val="0"/>
              <w:jc w:val="center"/>
              <w:rPr>
                <w:rFonts w:hint="eastAsia" w:ascii="宋体" w:hAnsi="宋体"/>
                <w:color w:val="auto"/>
                <w:sz w:val="21"/>
                <w:szCs w:val="21"/>
                <w:highlight w:val="none"/>
              </w:rPr>
            </w:pPr>
            <w:r>
              <w:rPr>
                <w:rFonts w:hint="eastAsia" w:ascii="宋体" w:hAnsi="宋体"/>
                <w:color w:val="auto"/>
                <w:sz w:val="21"/>
                <w:szCs w:val="21"/>
                <w:highlight w:val="none"/>
              </w:rPr>
              <w:t>解决争议的方法</w:t>
            </w:r>
          </w:p>
        </w:tc>
        <w:tc>
          <w:tcPr>
            <w:tcW w:w="5170" w:type="dxa"/>
            <w:noWrap w:val="0"/>
            <w:vAlign w:val="center"/>
          </w:tcPr>
          <w:p w14:paraId="7378C4CE">
            <w:pPr>
              <w:autoSpaceDE w:val="0"/>
              <w:autoSpaceDN w:val="0"/>
              <w:adjustRightInd w:val="0"/>
              <w:snapToGrid w:val="0"/>
              <w:spacing w:line="400" w:lineRule="exact"/>
              <w:jc w:val="left"/>
              <w:rPr>
                <w:rFonts w:hint="eastAsia" w:ascii="宋体" w:hAnsi="宋体" w:cs="宋体"/>
                <w:iCs/>
                <w:color w:val="auto"/>
                <w:sz w:val="21"/>
                <w:szCs w:val="21"/>
                <w:highlight w:val="none"/>
              </w:rPr>
            </w:pPr>
            <w:r>
              <w:rPr>
                <w:rFonts w:hint="eastAsia" w:ascii="宋体" w:hAnsi="宋体" w:cs="宋体"/>
                <w:iCs/>
                <w:color w:val="auto"/>
                <w:sz w:val="21"/>
                <w:szCs w:val="21"/>
                <w:highlight w:val="none"/>
              </w:rPr>
              <w:t>因本合同及合同有关事项发生的争议，按下列第</w:t>
            </w:r>
            <w:r>
              <w:rPr>
                <w:rFonts w:hint="eastAsia" w:ascii="宋体" w:hAnsi="宋体" w:cs="宋体"/>
                <w:iCs/>
                <w:color w:val="auto"/>
                <w:sz w:val="21"/>
                <w:szCs w:val="21"/>
                <w:highlight w:val="none"/>
                <w:u w:val="single"/>
              </w:rPr>
              <w:t xml:space="preserve"> 2 </w:t>
            </w:r>
            <w:r>
              <w:rPr>
                <w:rFonts w:hint="eastAsia" w:ascii="宋体" w:hAnsi="宋体" w:cs="宋体"/>
                <w:iCs/>
                <w:color w:val="auto"/>
                <w:sz w:val="21"/>
                <w:szCs w:val="21"/>
                <w:highlight w:val="none"/>
              </w:rPr>
              <w:t>种方式解决：</w:t>
            </w:r>
          </w:p>
          <w:p w14:paraId="314605A9">
            <w:pPr>
              <w:autoSpaceDE w:val="0"/>
              <w:autoSpaceDN w:val="0"/>
              <w:adjustRightInd w:val="0"/>
              <w:snapToGrid w:val="0"/>
              <w:spacing w:line="400" w:lineRule="exact"/>
              <w:jc w:val="left"/>
              <w:rPr>
                <w:rFonts w:hint="eastAsia" w:ascii="宋体" w:hAnsi="宋体" w:cs="宋体"/>
                <w:iCs/>
                <w:color w:val="auto"/>
                <w:sz w:val="21"/>
                <w:szCs w:val="21"/>
                <w:highlight w:val="none"/>
              </w:rPr>
            </w:pPr>
            <w:r>
              <w:rPr>
                <w:rFonts w:hint="eastAsia" w:ascii="宋体" w:hAnsi="宋体" w:cs="宋体"/>
                <w:iCs/>
                <w:color w:val="auto"/>
                <w:sz w:val="21"/>
                <w:szCs w:val="21"/>
                <w:highlight w:val="none"/>
              </w:rPr>
              <w:t>（1）向</w:t>
            </w:r>
            <w:r>
              <w:rPr>
                <w:rFonts w:hint="eastAsia" w:ascii="宋体" w:hAnsi="宋体" w:cs="宋体"/>
                <w:iCs/>
                <w:color w:val="auto"/>
                <w:sz w:val="21"/>
                <w:szCs w:val="21"/>
                <w:highlight w:val="none"/>
                <w:u w:val="single"/>
              </w:rPr>
              <w:t xml:space="preserve">          </w:t>
            </w:r>
            <w:r>
              <w:rPr>
                <w:rFonts w:hint="eastAsia" w:ascii="宋体" w:hAnsi="宋体" w:cs="宋体"/>
                <w:iCs/>
                <w:color w:val="auto"/>
                <w:sz w:val="21"/>
                <w:szCs w:val="21"/>
                <w:highlight w:val="none"/>
              </w:rPr>
              <w:t>仲裁委员会申请仲裁，仲裁地点为</w:t>
            </w:r>
            <w:r>
              <w:rPr>
                <w:rFonts w:hint="eastAsia" w:ascii="宋体" w:hAnsi="宋体" w:cs="宋体"/>
                <w:iCs/>
                <w:color w:val="auto"/>
                <w:sz w:val="21"/>
                <w:szCs w:val="21"/>
                <w:highlight w:val="none"/>
                <w:u w:val="single"/>
              </w:rPr>
              <w:t xml:space="preserve">           </w:t>
            </w:r>
            <w:r>
              <w:rPr>
                <w:rFonts w:hint="eastAsia" w:ascii="宋体" w:hAnsi="宋体" w:cs="宋体"/>
                <w:iCs/>
                <w:color w:val="auto"/>
                <w:sz w:val="21"/>
                <w:szCs w:val="21"/>
                <w:highlight w:val="none"/>
              </w:rPr>
              <w:t>；</w:t>
            </w:r>
          </w:p>
          <w:p w14:paraId="4F3A0954">
            <w:pPr>
              <w:adjustRightInd w:val="0"/>
              <w:snapToGrid w:val="0"/>
              <w:jc w:val="left"/>
              <w:rPr>
                <w:rFonts w:hint="eastAsia" w:ascii="宋体" w:hAnsi="宋体"/>
                <w:color w:val="auto"/>
                <w:sz w:val="21"/>
                <w:szCs w:val="21"/>
                <w:highlight w:val="none"/>
                <w:u w:val="single"/>
              </w:rPr>
            </w:pPr>
            <w:r>
              <w:rPr>
                <w:rFonts w:hint="eastAsia" w:ascii="宋体" w:hAnsi="宋体" w:cs="宋体"/>
                <w:iCs/>
                <w:color w:val="auto"/>
                <w:sz w:val="21"/>
                <w:szCs w:val="21"/>
                <w:highlight w:val="none"/>
              </w:rPr>
              <w:t>（2）向</w:t>
            </w:r>
            <w:r>
              <w:rPr>
                <w:rFonts w:hint="eastAsia" w:ascii="宋体" w:hAnsi="宋体" w:cs="宋体"/>
                <w:iCs/>
                <w:color w:val="auto"/>
                <w:sz w:val="21"/>
                <w:szCs w:val="21"/>
                <w:highlight w:val="none"/>
                <w:u w:val="single"/>
              </w:rPr>
              <w:t xml:space="preserve">    合同签订地       </w:t>
            </w:r>
            <w:r>
              <w:rPr>
                <w:rFonts w:hint="eastAsia" w:ascii="宋体" w:hAnsi="宋体" w:cs="宋体"/>
                <w:iCs/>
                <w:color w:val="auto"/>
                <w:sz w:val="21"/>
                <w:szCs w:val="21"/>
                <w:highlight w:val="none"/>
              </w:rPr>
              <w:t>人民法院起诉。</w:t>
            </w:r>
          </w:p>
        </w:tc>
      </w:tr>
    </w:tbl>
    <w:p w14:paraId="16CCD3F7">
      <w:pPr>
        <w:pStyle w:val="233"/>
        <w:rPr>
          <w:rFonts w:hint="eastAsia" w:ascii="黑体" w:hAnsi="黑体" w:eastAsia="黑体" w:cs="Times New Roman"/>
          <w:b w:val="0"/>
          <w:bCs w:val="0"/>
          <w:color w:val="auto"/>
          <w:kern w:val="0"/>
          <w:sz w:val="28"/>
          <w:szCs w:val="28"/>
          <w:highlight w:val="none"/>
        </w:rPr>
      </w:pPr>
    </w:p>
    <w:p w14:paraId="373BF11A">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p>
    <w:p w14:paraId="767D0A5D">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p>
    <w:p w14:paraId="3CA6A906">
      <w:pPr>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p w14:paraId="65B803E0">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4A4F54D1">
      <w:pPr>
        <w:rPr>
          <w:rFonts w:hint="eastAsia"/>
          <w:color w:val="auto"/>
          <w:highlight w:val="none"/>
        </w:rPr>
      </w:pPr>
      <w:r>
        <w:rPr>
          <w:rFonts w:hint="eastAsia"/>
          <w:color w:val="auto"/>
          <w:highlight w:val="none"/>
        </w:rPr>
        <w:t xml:space="preserve">    </w:t>
      </w:r>
      <w:bookmarkStart w:id="218" w:name="_Toc12024"/>
    </w:p>
    <w:bookmarkEnd w:id="218"/>
    <w:p w14:paraId="3F6E0FE7">
      <w:pPr>
        <w:pStyle w:val="11"/>
        <w:pageBreakBefore w:val="0"/>
        <w:overflowPunct/>
        <w:topLinePunct w:val="0"/>
        <w:bidi w:val="0"/>
        <w:spacing w:line="360" w:lineRule="auto"/>
        <w:ind w:firstLine="723"/>
        <w:rPr>
          <w:rFonts w:hint="eastAsia" w:asciiTheme="minorEastAsia" w:hAnsiTheme="minorEastAsia" w:eastAsiaTheme="minorEastAsia" w:cstheme="minorEastAsia"/>
          <w:color w:val="auto"/>
          <w:sz w:val="21"/>
          <w:szCs w:val="21"/>
          <w:highlight w:val="none"/>
        </w:rPr>
      </w:pPr>
      <w:bookmarkStart w:id="219" w:name="_Toc433093363"/>
      <w:bookmarkStart w:id="220" w:name="_Toc27934"/>
    </w:p>
    <w:p w14:paraId="78F00980">
      <w:pPr>
        <w:pStyle w:val="2"/>
        <w:pageBreakBefore w:val="0"/>
        <w:overflowPunct/>
        <w:topLinePunct w:val="0"/>
        <w:bidi w:val="0"/>
        <w:spacing w:line="360" w:lineRule="auto"/>
        <w:ind w:firstLine="643"/>
        <w:rPr>
          <w:rFonts w:hint="eastAsia" w:asciiTheme="minorEastAsia" w:hAnsiTheme="minorEastAsia" w:eastAsiaTheme="minorEastAsia" w:cstheme="minorEastAsia"/>
          <w:color w:val="auto"/>
          <w:sz w:val="44"/>
          <w:szCs w:val="44"/>
          <w:highlight w:val="none"/>
        </w:rPr>
      </w:pPr>
      <w:bookmarkStart w:id="221" w:name="_Toc5466"/>
      <w:bookmarkStart w:id="222" w:name="_Toc1280"/>
      <w:bookmarkStart w:id="223" w:name="_Toc27764"/>
      <w:bookmarkStart w:id="224" w:name="_Toc5017"/>
      <w:bookmarkStart w:id="225" w:name="_Toc9782"/>
      <w:bookmarkStart w:id="226" w:name="_Toc31336"/>
      <w:r>
        <w:rPr>
          <w:rFonts w:hint="eastAsia" w:asciiTheme="minorEastAsia" w:hAnsiTheme="minorEastAsia" w:eastAsiaTheme="minorEastAsia" w:cstheme="minorEastAsia"/>
          <w:color w:val="auto"/>
          <w:sz w:val="44"/>
          <w:szCs w:val="44"/>
          <w:highlight w:val="none"/>
        </w:rPr>
        <w:t>第七章 响应文件格式</w:t>
      </w:r>
      <w:bookmarkEnd w:id="219"/>
      <w:bookmarkEnd w:id="220"/>
      <w:bookmarkEnd w:id="221"/>
      <w:bookmarkEnd w:id="222"/>
      <w:bookmarkEnd w:id="223"/>
      <w:bookmarkEnd w:id="224"/>
      <w:bookmarkEnd w:id="225"/>
      <w:bookmarkEnd w:id="226"/>
    </w:p>
    <w:p w14:paraId="631F18F7">
      <w:pPr>
        <w:pageBreakBefore w:val="0"/>
        <w:overflowPunct/>
        <w:topLinePunct w:val="0"/>
        <w:bidi w:val="0"/>
        <w:spacing w:line="360" w:lineRule="auto"/>
        <w:ind w:firstLine="560"/>
        <w:rPr>
          <w:rFonts w:hint="eastAsia" w:asciiTheme="minorEastAsia" w:hAnsiTheme="minorEastAsia" w:eastAsiaTheme="minorEastAsia" w:cstheme="minorEastAsia"/>
          <w:b/>
          <w:color w:val="auto"/>
          <w:kern w:val="0"/>
          <w:sz w:val="21"/>
          <w:szCs w:val="21"/>
          <w:highlight w:val="none"/>
        </w:rPr>
      </w:pPr>
      <w:bookmarkStart w:id="227" w:name="_Toc433093364"/>
      <w:bookmarkStart w:id="228" w:name="_Toc8619"/>
      <w:bookmarkStart w:id="229" w:name="_Toc9988"/>
      <w:bookmarkStart w:id="230" w:name="_Toc453668259"/>
      <w:bookmarkStart w:id="231" w:name="_Toc331793699"/>
      <w:bookmarkStart w:id="232" w:name="_Toc7721"/>
    </w:p>
    <w:p w14:paraId="62FA4C39">
      <w:pPr>
        <w:pageBreakBefore w:val="0"/>
        <w:overflowPunct/>
        <w:topLinePunct w:val="0"/>
        <w:bidi w:val="0"/>
        <w:spacing w:line="360" w:lineRule="auto"/>
        <w:ind w:firstLine="560"/>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封面格式：</w:t>
      </w:r>
      <w:bookmarkEnd w:id="227"/>
      <w:bookmarkEnd w:id="228"/>
      <w:bookmarkEnd w:id="229"/>
      <w:bookmarkEnd w:id="230"/>
      <w:bookmarkEnd w:id="231"/>
      <w:bookmarkEnd w:id="232"/>
    </w:p>
    <w:p w14:paraId="273CF285">
      <w:pPr>
        <w:pageBreakBefore w:val="0"/>
        <w:overflowPunct/>
        <w:topLinePunct w:val="0"/>
        <w:bidi w:val="0"/>
        <w:spacing w:line="360" w:lineRule="auto"/>
        <w:ind w:firstLine="883"/>
        <w:jc w:val="center"/>
        <w:rPr>
          <w:rFonts w:hint="eastAsia" w:asciiTheme="minorEastAsia" w:hAnsiTheme="minorEastAsia" w:eastAsiaTheme="minorEastAsia" w:cstheme="minorEastAsia"/>
          <w:color w:val="auto"/>
          <w:sz w:val="21"/>
          <w:szCs w:val="21"/>
          <w:highlight w:val="none"/>
        </w:rPr>
      </w:pPr>
    </w:p>
    <w:p w14:paraId="08FF8299">
      <w:pPr>
        <w:pageBreakBefore w:val="0"/>
        <w:overflowPunct/>
        <w:topLinePunct w:val="0"/>
        <w:bidi w:val="0"/>
        <w:spacing w:line="360" w:lineRule="auto"/>
        <w:ind w:firstLine="883"/>
        <w:jc w:val="center"/>
        <w:rPr>
          <w:rFonts w:hint="eastAsia" w:ascii="宋体" w:hAnsi="宋体" w:eastAsia="宋体" w:cs="宋体"/>
          <w:i/>
          <w:iCs/>
          <w:color w:val="auto"/>
          <w:sz w:val="48"/>
          <w:szCs w:val="48"/>
          <w:highlight w:val="none"/>
        </w:rPr>
      </w:pPr>
      <w:r>
        <w:rPr>
          <w:rFonts w:hint="eastAsia" w:ascii="宋体" w:hAnsi="宋体" w:cs="宋体"/>
          <w:b/>
          <w:bCs w:val="0"/>
          <w:i w:val="0"/>
          <w:iCs w:val="0"/>
          <w:color w:val="auto"/>
          <w:spacing w:val="-6"/>
          <w:sz w:val="48"/>
          <w:szCs w:val="48"/>
          <w:highlight w:val="none"/>
          <w:u w:val="single"/>
          <w:lang w:eastAsia="zh-CN"/>
        </w:rPr>
        <w:t xml:space="preserve"> </w:t>
      </w:r>
      <w:r>
        <w:rPr>
          <w:rFonts w:hint="eastAsia" w:ascii="宋体" w:hAnsi="宋体" w:cs="宋体"/>
          <w:b/>
          <w:bCs w:val="0"/>
          <w:i w:val="0"/>
          <w:iCs w:val="0"/>
          <w:color w:val="auto"/>
          <w:spacing w:val="-6"/>
          <w:sz w:val="48"/>
          <w:szCs w:val="48"/>
          <w:highlight w:val="none"/>
          <w:u w:val="single"/>
          <w:lang w:val="en-US" w:eastAsia="zh-CN"/>
        </w:rPr>
        <w:t xml:space="preserve">                 </w:t>
      </w:r>
      <w:r>
        <w:rPr>
          <w:rFonts w:hint="eastAsia" w:ascii="宋体" w:hAnsi="宋体" w:eastAsia="宋体" w:cs="宋体"/>
          <w:b/>
          <w:bCs w:val="0"/>
          <w:i w:val="0"/>
          <w:iCs w:val="0"/>
          <w:color w:val="auto"/>
          <w:spacing w:val="-6"/>
          <w:sz w:val="48"/>
          <w:szCs w:val="48"/>
          <w:highlight w:val="none"/>
        </w:rPr>
        <w:t>项目</w:t>
      </w:r>
    </w:p>
    <w:p w14:paraId="7B37BCEF">
      <w:pPr>
        <w:pageBreakBefore w:val="0"/>
        <w:overflowPunct/>
        <w:topLinePunct w:val="0"/>
        <w:bidi w:val="0"/>
        <w:spacing w:line="360" w:lineRule="auto"/>
        <w:ind w:firstLine="883"/>
        <w:jc w:val="center"/>
        <w:rPr>
          <w:rFonts w:hint="eastAsia" w:asciiTheme="minorEastAsia" w:hAnsiTheme="minorEastAsia" w:eastAsiaTheme="minorEastAsia" w:cstheme="minorEastAsia"/>
          <w:color w:val="auto"/>
          <w:sz w:val="21"/>
          <w:szCs w:val="21"/>
          <w:highlight w:val="none"/>
          <w:u w:val="single"/>
        </w:rPr>
      </w:pPr>
    </w:p>
    <w:p w14:paraId="7DEDFAD7">
      <w:pPr>
        <w:rPr>
          <w:rFonts w:hint="eastAsia"/>
          <w:color w:val="auto"/>
          <w:highlight w:val="none"/>
        </w:rPr>
      </w:pPr>
    </w:p>
    <w:p w14:paraId="7945E7FA">
      <w:pPr>
        <w:rPr>
          <w:rFonts w:hint="eastAsia"/>
          <w:color w:val="auto"/>
          <w:highlight w:val="none"/>
        </w:rPr>
      </w:pPr>
    </w:p>
    <w:p w14:paraId="0506F2BB">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1A12FA00">
      <w:pPr>
        <w:pStyle w:val="16"/>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p w14:paraId="139D8E00">
      <w:pPr>
        <w:pageBreakBefore w:val="0"/>
        <w:overflowPunct/>
        <w:topLinePunct w:val="0"/>
        <w:bidi w:val="0"/>
        <w:spacing w:line="360" w:lineRule="auto"/>
        <w:ind w:firstLine="1360"/>
        <w:jc w:val="center"/>
        <w:rPr>
          <w:rFonts w:hint="eastAsia" w:ascii="宋体" w:hAnsi="宋体" w:eastAsia="宋体" w:cs="宋体"/>
          <w:b/>
          <w:bCs w:val="0"/>
          <w:color w:val="auto"/>
          <w:spacing w:val="60"/>
          <w:kern w:val="0"/>
          <w:sz w:val="84"/>
          <w:szCs w:val="84"/>
          <w:highlight w:val="none"/>
          <w:lang w:val="en-US" w:eastAsia="zh-CN" w:bidi="ar-SA"/>
        </w:rPr>
      </w:pPr>
      <w:r>
        <w:rPr>
          <w:rFonts w:hint="eastAsia" w:ascii="宋体" w:hAnsi="宋体" w:eastAsia="宋体" w:cs="宋体"/>
          <w:b/>
          <w:bCs w:val="0"/>
          <w:color w:val="auto"/>
          <w:spacing w:val="60"/>
          <w:kern w:val="0"/>
          <w:sz w:val="84"/>
          <w:szCs w:val="84"/>
          <w:highlight w:val="none"/>
          <w:lang w:val="en-US" w:eastAsia="zh-CN" w:bidi="ar-SA"/>
        </w:rPr>
        <w:t>响应文件</w:t>
      </w:r>
    </w:p>
    <w:p w14:paraId="3F599C58">
      <w:pPr>
        <w:pageBreakBefore w:val="0"/>
        <w:overflowPunct/>
        <w:topLinePunct w:val="0"/>
        <w:bidi w:val="0"/>
        <w:spacing w:line="360" w:lineRule="auto"/>
        <w:ind w:firstLine="880"/>
        <w:jc w:val="center"/>
        <w:rPr>
          <w:rFonts w:hint="eastAsia" w:asciiTheme="minorEastAsia" w:hAnsiTheme="minorEastAsia" w:eastAsiaTheme="minorEastAsia" w:cstheme="minorEastAsia"/>
          <w:b/>
          <w:bCs/>
          <w:color w:val="auto"/>
          <w:sz w:val="21"/>
          <w:szCs w:val="21"/>
          <w:highlight w:val="none"/>
        </w:rPr>
      </w:pPr>
    </w:p>
    <w:p w14:paraId="064E9B19">
      <w:pPr>
        <w:pageBreakBefore w:val="0"/>
        <w:overflowPunct/>
        <w:topLinePunct w:val="0"/>
        <w:bidi w:val="0"/>
        <w:spacing w:line="360" w:lineRule="auto"/>
        <w:ind w:firstLine="883"/>
        <w:jc w:val="center"/>
        <w:rPr>
          <w:rFonts w:hint="eastAsia" w:asciiTheme="minorEastAsia" w:hAnsiTheme="minorEastAsia" w:eastAsiaTheme="minorEastAsia" w:cstheme="minorEastAsia"/>
          <w:color w:val="auto"/>
          <w:sz w:val="21"/>
          <w:szCs w:val="21"/>
          <w:highlight w:val="none"/>
          <w:u w:val="single"/>
        </w:rPr>
      </w:pPr>
    </w:p>
    <w:p w14:paraId="0CFBA559">
      <w:pPr>
        <w:pageBreakBefore w:val="0"/>
        <w:overflowPunct/>
        <w:topLinePunct w:val="0"/>
        <w:bidi w:val="0"/>
        <w:spacing w:line="360" w:lineRule="auto"/>
        <w:ind w:firstLine="883"/>
        <w:jc w:val="center"/>
        <w:rPr>
          <w:rFonts w:hint="eastAsia" w:asciiTheme="minorEastAsia" w:hAnsiTheme="minorEastAsia" w:eastAsiaTheme="minorEastAsia" w:cstheme="minorEastAsia"/>
          <w:color w:val="auto"/>
          <w:sz w:val="21"/>
          <w:szCs w:val="21"/>
          <w:highlight w:val="none"/>
          <w:u w:val="single"/>
        </w:rPr>
      </w:pPr>
    </w:p>
    <w:p w14:paraId="0F9660EC">
      <w:pPr>
        <w:snapToGrid w:val="0"/>
        <w:spacing w:line="360" w:lineRule="auto"/>
        <w:jc w:val="center"/>
        <w:rPr>
          <w:rFonts w:hint="eastAsia" w:ascii="宋体" w:hAnsi="宋体" w:eastAsia="宋体" w:cs="宋体"/>
          <w:b/>
          <w:bCs w:val="0"/>
          <w:color w:val="auto"/>
          <w:sz w:val="32"/>
          <w:szCs w:val="32"/>
          <w:highlight w:val="none"/>
        </w:rPr>
      </w:pPr>
    </w:p>
    <w:p w14:paraId="2445DEDB">
      <w:pPr>
        <w:snapToGrid w:val="0"/>
        <w:spacing w:line="360" w:lineRule="auto"/>
        <w:jc w:val="center"/>
        <w:rPr>
          <w:rFonts w:hint="eastAsia" w:ascii="宋体" w:hAnsi="宋体" w:eastAsia="宋体" w:cs="宋体"/>
          <w:b/>
          <w:bCs w:val="0"/>
          <w:color w:val="auto"/>
          <w:sz w:val="32"/>
          <w:szCs w:val="32"/>
          <w:highlight w:val="none"/>
        </w:rPr>
      </w:pPr>
    </w:p>
    <w:p w14:paraId="07F46C22">
      <w:pPr>
        <w:snapToGrid w:val="0"/>
        <w:spacing w:line="360" w:lineRule="auto"/>
        <w:jc w:val="center"/>
        <w:rPr>
          <w:rFonts w:hint="eastAsia" w:ascii="宋体" w:hAnsi="宋体" w:eastAsia="宋体" w:cs="宋体"/>
          <w:b/>
          <w:bCs w:val="0"/>
          <w:color w:val="auto"/>
          <w:sz w:val="32"/>
          <w:szCs w:val="32"/>
          <w:highlight w:val="none"/>
        </w:rPr>
      </w:pPr>
    </w:p>
    <w:p w14:paraId="4AE0B482">
      <w:pPr>
        <w:snapToGrid w:val="0"/>
        <w:spacing w:line="480" w:lineRule="auto"/>
        <w:jc w:val="center"/>
        <w:rPr>
          <w:rFonts w:hint="eastAsia" w:ascii="宋体" w:hAnsi="宋体" w:eastAsia="宋体" w:cs="宋体"/>
          <w:b/>
          <w:bCs w:val="0"/>
          <w:color w:val="auto"/>
          <w:sz w:val="36"/>
          <w:szCs w:val="36"/>
          <w:highlight w:val="none"/>
        </w:rPr>
      </w:pPr>
    </w:p>
    <w:p w14:paraId="050A1B5F">
      <w:pPr>
        <w:snapToGrid w:val="0"/>
        <w:spacing w:line="480" w:lineRule="auto"/>
        <w:ind w:firstLine="1928" w:firstLineChars="800"/>
        <w:jc w:val="both"/>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供应商：</w:t>
      </w:r>
      <w:r>
        <w:rPr>
          <w:rFonts w:hint="eastAsia" w:ascii="宋体" w:hAnsi="宋体" w:eastAsia="宋体" w:cs="宋体"/>
          <w:b/>
          <w:bCs w:val="0"/>
          <w:color w:val="auto"/>
          <w:sz w:val="24"/>
          <w:szCs w:val="24"/>
          <w:highlight w:val="none"/>
          <w:u w:val="single"/>
        </w:rPr>
        <w:t xml:space="preserve"> </w:t>
      </w:r>
      <w:r>
        <w:rPr>
          <w:rFonts w:hint="eastAsia" w:ascii="宋体" w:hAnsi="宋体" w:eastAsia="宋体" w:cs="宋体"/>
          <w:b/>
          <w:bCs w:val="0"/>
          <w:color w:val="auto"/>
          <w:sz w:val="24"/>
          <w:szCs w:val="24"/>
          <w:highlight w:val="none"/>
          <w:u w:val="single"/>
        </w:rPr>
        <w:tab/>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rPr>
        <w:t>（盖企业电子章）</w:t>
      </w:r>
    </w:p>
    <w:p w14:paraId="0E9D0D36">
      <w:pPr>
        <w:snapToGrid w:val="0"/>
        <w:spacing w:line="480" w:lineRule="auto"/>
        <w:jc w:val="center"/>
        <w:rPr>
          <w:rFonts w:hint="eastAsia" w:ascii="宋体" w:hAnsi="宋体" w:eastAsia="宋体" w:cs="宋体"/>
          <w:b/>
          <w:bCs w:val="0"/>
          <w:color w:val="auto"/>
          <w:sz w:val="24"/>
          <w:szCs w:val="24"/>
          <w:highlight w:val="none"/>
        </w:rPr>
      </w:pPr>
      <w:r>
        <w:rPr>
          <w:rFonts w:hint="eastAsia" w:ascii="宋体" w:hAnsi="宋体" w:cs="宋体"/>
          <w:b/>
          <w:bCs w:val="0"/>
          <w:color w:val="auto"/>
          <w:sz w:val="24"/>
          <w:szCs w:val="24"/>
          <w:highlight w:val="none"/>
          <w:lang w:val="en-US" w:eastAsia="zh-CN"/>
        </w:rPr>
        <w:t xml:space="preserve">   </w:t>
      </w:r>
      <w:r>
        <w:rPr>
          <w:rFonts w:hint="eastAsia" w:ascii="宋体" w:hAnsi="宋体" w:eastAsia="宋体" w:cs="宋体"/>
          <w:b/>
          <w:bCs w:val="0"/>
          <w:color w:val="auto"/>
          <w:sz w:val="24"/>
          <w:szCs w:val="24"/>
          <w:highlight w:val="none"/>
        </w:rPr>
        <w:t>法定代表人或其委托代理人：</w:t>
      </w:r>
      <w:r>
        <w:rPr>
          <w:rFonts w:hint="eastAsia" w:ascii="宋体" w:hAnsi="宋体" w:eastAsia="宋体" w:cs="宋体"/>
          <w:b/>
          <w:bCs w:val="0"/>
          <w:color w:val="auto"/>
          <w:sz w:val="24"/>
          <w:szCs w:val="24"/>
          <w:highlight w:val="none"/>
          <w:u w:val="single"/>
        </w:rPr>
        <w:t xml:space="preserve"> </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rPr>
        <w:t xml:space="preserve">  </w:t>
      </w:r>
      <w:r>
        <w:rPr>
          <w:rFonts w:hint="eastAsia" w:ascii="宋体" w:hAnsi="宋体" w:eastAsia="宋体" w:cs="宋体"/>
          <w:b/>
          <w:bCs w:val="0"/>
          <w:color w:val="auto"/>
          <w:sz w:val="24"/>
          <w:szCs w:val="24"/>
          <w:highlight w:val="none"/>
        </w:rPr>
        <w:t>（签字或盖章或电子签章）</w:t>
      </w:r>
    </w:p>
    <w:p w14:paraId="5E04B7FB">
      <w:pPr>
        <w:spacing w:line="360" w:lineRule="auto"/>
        <w:jc w:val="center"/>
        <w:rPr>
          <w:rFonts w:hint="eastAsia" w:ascii="宋体" w:hAnsi="宋体" w:eastAsia="宋体" w:cs="宋体"/>
          <w:b/>
          <w:bCs w:val="0"/>
          <w:color w:val="auto"/>
          <w:sz w:val="24"/>
          <w:szCs w:val="24"/>
          <w:highlight w:val="none"/>
        </w:rPr>
      </w:pPr>
    </w:p>
    <w:p w14:paraId="151D06DC">
      <w:pPr>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ab/>
      </w:r>
      <w:r>
        <w:rPr>
          <w:rFonts w:hint="eastAsia" w:ascii="宋体" w:hAnsi="宋体" w:eastAsia="宋体" w:cs="宋体"/>
          <w:b/>
          <w:bCs w:val="0"/>
          <w:color w:val="auto"/>
          <w:sz w:val="24"/>
          <w:szCs w:val="24"/>
          <w:highlight w:val="none"/>
        </w:rPr>
        <w:t xml:space="preserve">  </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rPr>
        <w:t xml:space="preserve"> </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rPr>
        <w:t xml:space="preserve"> </w:t>
      </w:r>
      <w:r>
        <w:rPr>
          <w:rFonts w:hint="eastAsia" w:ascii="宋体" w:hAnsi="宋体" w:eastAsia="宋体" w:cs="宋体"/>
          <w:b/>
          <w:bCs w:val="0"/>
          <w:color w:val="auto"/>
          <w:sz w:val="24"/>
          <w:szCs w:val="24"/>
          <w:highlight w:val="none"/>
        </w:rPr>
        <w:t>年</w:t>
      </w:r>
      <w:r>
        <w:rPr>
          <w:rFonts w:hint="eastAsia" w:ascii="宋体" w:hAnsi="宋体" w:eastAsia="宋体" w:cs="宋体"/>
          <w:b/>
          <w:bCs w:val="0"/>
          <w:color w:val="auto"/>
          <w:sz w:val="24"/>
          <w:szCs w:val="24"/>
          <w:highlight w:val="none"/>
          <w:u w:val="single"/>
        </w:rPr>
        <w:t xml:space="preserve"> </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rPr>
        <w:tab/>
      </w:r>
      <w:r>
        <w:rPr>
          <w:rFonts w:hint="eastAsia" w:ascii="宋体" w:hAnsi="宋体" w:eastAsia="宋体" w:cs="宋体"/>
          <w:b/>
          <w:bCs w:val="0"/>
          <w:color w:val="auto"/>
          <w:sz w:val="24"/>
          <w:szCs w:val="24"/>
          <w:highlight w:val="none"/>
        </w:rPr>
        <w:t>月</w:t>
      </w:r>
      <w:r>
        <w:rPr>
          <w:rFonts w:hint="eastAsia" w:ascii="宋体" w:hAnsi="宋体" w:eastAsia="宋体" w:cs="宋体"/>
          <w:b/>
          <w:bCs w:val="0"/>
          <w:color w:val="auto"/>
          <w:sz w:val="24"/>
          <w:szCs w:val="24"/>
          <w:highlight w:val="none"/>
          <w:u w:val="single"/>
        </w:rPr>
        <w:t xml:space="preserve"> </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rPr>
        <w:t>日</w:t>
      </w:r>
    </w:p>
    <w:p w14:paraId="232E2806">
      <w:pPr>
        <w:spacing w:line="240" w:lineRule="auto"/>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br w:type="page"/>
      </w:r>
    </w:p>
    <w:p w14:paraId="7673682C">
      <w:pPr>
        <w:pageBreakBefore w:val="0"/>
        <w:overflowPunct/>
        <w:topLinePunct w:val="0"/>
        <w:bidi w:val="0"/>
        <w:spacing w:beforeLines="100" w:afterLines="100" w:line="360" w:lineRule="auto"/>
        <w:ind w:firstLine="643"/>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目   录</w:t>
      </w:r>
    </w:p>
    <w:p w14:paraId="2762047F">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一、磋商响应函及磋商报价一览表</w:t>
      </w:r>
    </w:p>
    <w:p w14:paraId="2E865A69">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二、法定代表人身份证明书</w:t>
      </w:r>
    </w:p>
    <w:p w14:paraId="423209E5">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三、法定代表人授权委托书</w:t>
      </w:r>
    </w:p>
    <w:p w14:paraId="723E1B61">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四</w:t>
      </w:r>
      <w:r>
        <w:rPr>
          <w:rFonts w:hint="eastAsia" w:asciiTheme="minorEastAsia" w:hAnsiTheme="minorEastAsia" w:eastAsiaTheme="minorEastAsia" w:cstheme="minorEastAsia"/>
          <w:color w:val="auto"/>
          <w:sz w:val="21"/>
          <w:szCs w:val="21"/>
          <w:highlight w:val="none"/>
        </w:rPr>
        <w:t>、资格审查资料</w:t>
      </w:r>
    </w:p>
    <w:p w14:paraId="052A15F3">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五</w:t>
      </w:r>
      <w:r>
        <w:rPr>
          <w:rFonts w:hint="eastAsia" w:asciiTheme="minorEastAsia" w:hAnsiTheme="minorEastAsia" w:eastAsiaTheme="minorEastAsia" w:cstheme="minorEastAsia"/>
          <w:color w:val="auto"/>
          <w:sz w:val="21"/>
          <w:szCs w:val="21"/>
          <w:highlight w:val="none"/>
        </w:rPr>
        <w:t>、分项报价表</w:t>
      </w:r>
    </w:p>
    <w:p w14:paraId="22E085BA">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六</w:t>
      </w:r>
      <w:r>
        <w:rPr>
          <w:rFonts w:hint="eastAsia" w:asciiTheme="minorEastAsia" w:hAnsiTheme="minorEastAsia" w:eastAsiaTheme="minorEastAsia" w:cstheme="minorEastAsia"/>
          <w:color w:val="auto"/>
          <w:sz w:val="21"/>
          <w:szCs w:val="21"/>
          <w:highlight w:val="none"/>
        </w:rPr>
        <w:t>、技术文件</w:t>
      </w:r>
    </w:p>
    <w:p w14:paraId="5A5BFB20">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七、商务条款偏离表</w:t>
      </w:r>
    </w:p>
    <w:p w14:paraId="457EBA1E">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八、技术证明文件</w:t>
      </w:r>
    </w:p>
    <w:p w14:paraId="7A00E795">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九、类似项目业绩</w:t>
      </w:r>
    </w:p>
    <w:p w14:paraId="1718CB2D">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十、方案及承诺</w:t>
      </w:r>
    </w:p>
    <w:p w14:paraId="239C5BD4">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十一、承诺书</w:t>
      </w:r>
    </w:p>
    <w:p w14:paraId="027DED5C">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十二、其他材料</w:t>
      </w:r>
    </w:p>
    <w:p w14:paraId="143D3F92">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rPr>
        <w:t>三</w:t>
      </w:r>
      <w:r>
        <w:rPr>
          <w:rFonts w:hint="eastAsia" w:asciiTheme="minorEastAsia" w:hAnsiTheme="minorEastAsia" w:eastAsiaTheme="minorEastAsia" w:cstheme="minorEastAsia"/>
          <w:color w:val="auto"/>
          <w:sz w:val="21"/>
          <w:szCs w:val="21"/>
          <w:highlight w:val="none"/>
        </w:rPr>
        <w:t>、符合《政府采购促进中小企业发展管理办法》</w:t>
      </w:r>
    </w:p>
    <w:p w14:paraId="3C26D1B2">
      <w:pPr>
        <w:pageBreakBefore w:val="0"/>
        <w:overflowPunct/>
        <w:topLinePunct w:val="0"/>
        <w:bidi w:val="0"/>
        <w:spacing w:line="360" w:lineRule="auto"/>
        <w:ind w:firstLine="482"/>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十四、产品适应政府采购政策情况表</w:t>
      </w:r>
    </w:p>
    <w:p w14:paraId="6100F52A">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p>
    <w:p w14:paraId="5BEBB407">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p>
    <w:p w14:paraId="116BFEF8">
      <w:pPr>
        <w:pageBreakBefore w:val="0"/>
        <w:overflowPunct/>
        <w:topLinePunct w:val="0"/>
        <w:bidi w:val="0"/>
        <w:spacing w:line="240" w:lineRule="auto"/>
        <w:ind w:firstLine="0"/>
        <w:jc w:val="left"/>
        <w:outlineLvl w:val="9"/>
        <w:rPr>
          <w:rFonts w:hint="eastAsia"/>
          <w:color w:val="auto"/>
          <w:highlight w:val="none"/>
        </w:rPr>
      </w:pPr>
    </w:p>
    <w:p w14:paraId="4A14A6BD">
      <w:pPr>
        <w:pStyle w:val="6"/>
        <w:spacing w:before="42" w:line="360" w:lineRule="auto"/>
        <w:ind w:left="419" w:right="436" w:firstLine="602"/>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br w:type="page"/>
      </w:r>
      <w:r>
        <w:rPr>
          <w:rFonts w:hint="eastAsia" w:asciiTheme="minorEastAsia" w:hAnsiTheme="minorEastAsia" w:eastAsiaTheme="minorEastAsia" w:cstheme="minorEastAsia"/>
          <w:b/>
          <w:bCs w:val="0"/>
          <w:color w:val="auto"/>
          <w:sz w:val="28"/>
          <w:szCs w:val="28"/>
          <w:highlight w:val="none"/>
          <w:lang w:bidi="zh-CN"/>
        </w:rPr>
        <w:t>一、磋商响应函及磋商报价一览表</w:t>
      </w:r>
    </w:p>
    <w:p w14:paraId="321B5014">
      <w:pPr>
        <w:pStyle w:val="6"/>
        <w:snapToGrid w:val="0"/>
        <w:spacing w:line="240" w:lineRule="auto"/>
        <w:jc w:val="center"/>
        <w:rPr>
          <w:rFonts w:hint="eastAsia"/>
          <w:color w:val="auto"/>
          <w:highlight w:val="none"/>
        </w:rPr>
      </w:pPr>
      <w:bookmarkStart w:id="233" w:name="_Toc20026"/>
      <w:bookmarkStart w:id="234" w:name="_Toc27802"/>
      <w:bookmarkStart w:id="235" w:name="_Toc23737"/>
      <w:bookmarkStart w:id="236" w:name="_Toc13613"/>
      <w:bookmarkStart w:id="237" w:name="_Toc32602"/>
      <w:r>
        <w:rPr>
          <w:rFonts w:hint="eastAsia"/>
          <w:color w:val="auto"/>
          <w:highlight w:val="none"/>
        </w:rPr>
        <w:t>1.磋商响应函</w:t>
      </w:r>
      <w:bookmarkEnd w:id="233"/>
      <w:bookmarkEnd w:id="234"/>
      <w:bookmarkEnd w:id="235"/>
      <w:bookmarkEnd w:id="236"/>
      <w:bookmarkEnd w:id="237"/>
    </w:p>
    <w:p w14:paraId="4031F9D9">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致：</w:t>
      </w:r>
      <w:r>
        <w:rPr>
          <w:rFonts w:hint="eastAsia" w:asciiTheme="minorEastAsia" w:hAnsiTheme="minorEastAsia" w:eastAsiaTheme="minorEastAsia" w:cstheme="minorEastAsia"/>
          <w:color w:val="auto"/>
          <w:sz w:val="21"/>
          <w:szCs w:val="21"/>
          <w:highlight w:val="none"/>
          <w:u w:val="single"/>
        </w:rPr>
        <w:t xml:space="preserve">        （填写采购人名称）</w:t>
      </w:r>
    </w:p>
    <w:p w14:paraId="4C05E755">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我们获取了</w:t>
      </w:r>
      <w:r>
        <w:rPr>
          <w:rFonts w:hint="eastAsia" w:asciiTheme="minorEastAsia" w:hAnsiTheme="minorEastAsia" w:eastAsiaTheme="minorEastAsia" w:cstheme="minorEastAsia"/>
          <w:color w:val="auto"/>
          <w:sz w:val="21"/>
          <w:szCs w:val="21"/>
          <w:highlight w:val="none"/>
          <w:u w:val="single"/>
        </w:rPr>
        <w:t xml:space="preserve">                （填写项且名称）</w:t>
      </w:r>
      <w:r>
        <w:rPr>
          <w:rFonts w:hint="eastAsia" w:asciiTheme="minorEastAsia" w:hAnsiTheme="minorEastAsia" w:eastAsiaTheme="minorEastAsia" w:cstheme="minorEastAsia"/>
          <w:color w:val="auto"/>
          <w:sz w:val="21"/>
          <w:szCs w:val="21"/>
          <w:highlight w:val="none"/>
        </w:rPr>
        <w:t>的竞争性磋商文件，经详细研究竞争性磋商文件的全部内容，委托代理人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（姓名）经正式授权并代表供应商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（名称）决定参加该项目的磋商采购活动并按要求提交响应文件。我方郑重声明以下诸点并负法律责任：</w:t>
      </w:r>
    </w:p>
    <w:p w14:paraId="62C8CD47">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（1）愿意按照竞争性磋商文件中规定的条款和要求，提供完成竞争性磋商文件规定的全部工作，磋商总报价为（大写）</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元人民币（小写RMB￥：</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元）；交货期：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7734BE5">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（2）响应文件有效期为自响应文件递交截止之日起</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0日历天。</w:t>
      </w:r>
    </w:p>
    <w:p w14:paraId="7660338A">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（3）如我方的响应文件被接受，我们将履行竞争性磋商文件中规定的各项要求。</w:t>
      </w:r>
    </w:p>
    <w:p w14:paraId="43AC5F5C">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我方已经详细审查了本项目竞争性磋商文件的全部内容，包括所有补充通知、更正等（如果有的话），如有需要澄清（或异议）的问题，我方同意按竞争性磋商文件规定的时间向采购人提出。逾期不提，我方同意放弃对这方面有不明及误解的权利。</w:t>
      </w:r>
    </w:p>
    <w:p w14:paraId="47ABC69E">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（5）我方按照竞争性磋商文件的要求提供相关数据或资料，完全理解采购人不一定接受报价最低的响应文件。</w:t>
      </w:r>
    </w:p>
    <w:p w14:paraId="4CA8DB84">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（6）按照竞争性磋商文件的规定，在收到成交通知书$时向采购代理机构一次性支付采购代理服务费。</w:t>
      </w:r>
    </w:p>
    <w:p w14:paraId="28CDF456">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（7）完全理解并无条件承担成交后不与采购人签订合同的法律后果。</w:t>
      </w:r>
    </w:p>
    <w:p w14:paraId="74F4BB61">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（8）我方愿按《中华人民共和国民法典》履行自己的全部责任和义务。</w:t>
      </w:r>
    </w:p>
    <w:p w14:paraId="700CC8E2">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（9）我方在此声明，所递交的响应文件中所有内容及资料均真实、有效、准确。如有弄虚作假情况出现，愿意按照竞争性磋商文件中的相关规定承担责任并接受相关处罚。</w:t>
      </w:r>
    </w:p>
    <w:p w14:paraId="02099AFC">
      <w:pPr>
        <w:pStyle w:val="16"/>
        <w:pageBreakBefore w:val="0"/>
        <w:tabs>
          <w:tab w:val="left" w:pos="6819"/>
        </w:tabs>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p>
    <w:p w14:paraId="216F1DEB">
      <w:pPr>
        <w:pStyle w:val="16"/>
        <w:pageBreakBefore w:val="0"/>
        <w:tabs>
          <w:tab w:val="left" w:pos="6819"/>
        </w:tabs>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与本供应商有关的正式通讯地址：</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 xml:space="preserve">      </w:t>
      </w:r>
    </w:p>
    <w:p w14:paraId="23003809">
      <w:pPr>
        <w:pStyle w:val="16"/>
        <w:pageBreakBefore w:val="0"/>
        <w:tabs>
          <w:tab w:val="left" w:pos="5139"/>
        </w:tabs>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 xml:space="preserve">                    </w:t>
      </w:r>
    </w:p>
    <w:p w14:paraId="3D1138CD">
      <w:pPr>
        <w:pStyle w:val="16"/>
        <w:pageBreakBefore w:val="0"/>
        <w:tabs>
          <w:tab w:val="left" w:pos="5979"/>
        </w:tabs>
        <w:overflowPunct/>
        <w:topLinePunct w:val="0"/>
        <w:autoSpaceDE w:val="0"/>
        <w:autoSpaceDN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供应商电子邮箱：</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 xml:space="preserve">             </w:t>
      </w:r>
    </w:p>
    <w:p w14:paraId="0A665897">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供应商（盖企业电子章）：</w:t>
      </w:r>
      <w:r>
        <w:rPr>
          <w:rFonts w:hint="eastAsia" w:asciiTheme="minorEastAsia" w:hAnsiTheme="minorEastAsia" w:eastAsiaTheme="minorEastAsia" w:cstheme="minorEastAsia"/>
          <w:color w:val="auto"/>
          <w:sz w:val="21"/>
          <w:szCs w:val="21"/>
          <w:highlight w:val="none"/>
          <w:u w:val="single"/>
        </w:rPr>
        <w:t xml:space="preserve">                                   </w:t>
      </w:r>
    </w:p>
    <w:p w14:paraId="1C618B33">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法定代表人或其委托代理人（签字或盖章或电子签章）：</w:t>
      </w:r>
      <w:r>
        <w:rPr>
          <w:rFonts w:hint="eastAsia" w:asciiTheme="minorEastAsia" w:hAnsiTheme="minorEastAsia" w:eastAsiaTheme="minorEastAsia" w:cstheme="minorEastAsia"/>
          <w:color w:val="auto"/>
          <w:sz w:val="21"/>
          <w:szCs w:val="21"/>
          <w:highlight w:val="none"/>
          <w:u w:val="single"/>
        </w:rPr>
        <w:t xml:space="preserve">           </w:t>
      </w:r>
    </w:p>
    <w:p w14:paraId="49CAAED4">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日</w:t>
      </w:r>
    </w:p>
    <w:p w14:paraId="0B7DDEE5">
      <w:pPr>
        <w:bidi w:val="0"/>
        <w:rPr>
          <w:rFonts w:hint="eastAsia"/>
          <w:color w:val="auto"/>
          <w:highlight w:val="none"/>
        </w:rPr>
      </w:pPr>
      <w:bookmarkStart w:id="238" w:name="_Toc26579"/>
      <w:bookmarkStart w:id="239" w:name="_Toc18949"/>
      <w:bookmarkStart w:id="240" w:name="_Toc29216"/>
      <w:bookmarkStart w:id="241" w:name="_Toc4181"/>
      <w:bookmarkStart w:id="242" w:name="_Toc29258"/>
    </w:p>
    <w:p w14:paraId="25142489">
      <w:pPr>
        <w:bidi w:val="0"/>
        <w:rPr>
          <w:rFonts w:hint="eastAsia"/>
          <w:color w:val="auto"/>
          <w:highlight w:val="none"/>
        </w:rPr>
      </w:pPr>
    </w:p>
    <w:p w14:paraId="10CC163C">
      <w:pPr>
        <w:bidi w:val="0"/>
        <w:rPr>
          <w:rFonts w:hint="eastAsia"/>
          <w:color w:val="auto"/>
          <w:highlight w:val="none"/>
        </w:rPr>
      </w:pPr>
    </w:p>
    <w:p w14:paraId="462ABFB7">
      <w:pPr>
        <w:bidi w:val="0"/>
        <w:rPr>
          <w:rFonts w:hint="eastAsia"/>
          <w:color w:val="auto"/>
          <w:highlight w:val="none"/>
        </w:rPr>
      </w:pPr>
    </w:p>
    <w:p w14:paraId="7A44A362">
      <w:pPr>
        <w:bidi w:val="0"/>
        <w:rPr>
          <w:rFonts w:hint="eastAsia"/>
          <w:color w:val="auto"/>
          <w:highlight w:val="none"/>
        </w:rPr>
      </w:pPr>
    </w:p>
    <w:p w14:paraId="03E824B7">
      <w:pPr>
        <w:bidi w:val="0"/>
        <w:rPr>
          <w:rFonts w:hint="eastAsia"/>
          <w:color w:val="auto"/>
          <w:highlight w:val="none"/>
        </w:rPr>
      </w:pPr>
      <w:r>
        <w:rPr>
          <w:rFonts w:hint="eastAsia"/>
          <w:color w:val="auto"/>
          <w:highlight w:val="none"/>
        </w:rPr>
        <w:br w:type="page"/>
      </w:r>
    </w:p>
    <w:p w14:paraId="77889D62">
      <w:pPr>
        <w:bidi w:val="0"/>
        <w:rPr>
          <w:rFonts w:hint="eastAsia"/>
          <w:color w:val="auto"/>
          <w:highlight w:val="none"/>
        </w:rPr>
      </w:pPr>
    </w:p>
    <w:p w14:paraId="723B06C6">
      <w:pPr>
        <w:pStyle w:val="6"/>
        <w:pageBreakBefore w:val="0"/>
        <w:overflowPunct/>
        <w:topLinePunct w:val="0"/>
        <w:bidi w:val="0"/>
        <w:spacing w:before="42" w:line="360" w:lineRule="auto"/>
        <w:ind w:left="419" w:right="436" w:firstLine="562"/>
        <w:jc w:val="center"/>
        <w:rPr>
          <w:rFonts w:hint="eastAsia" w:asciiTheme="minorEastAsia" w:hAnsiTheme="minorEastAsia" w:eastAsiaTheme="minorEastAsia" w:cstheme="minorEastAsia"/>
          <w:bCs w:val="0"/>
          <w:color w:val="auto"/>
          <w:sz w:val="21"/>
          <w:szCs w:val="21"/>
          <w:highlight w:val="none"/>
          <w:lang w:bidi="zh-CN"/>
        </w:rPr>
      </w:pPr>
      <w:r>
        <w:rPr>
          <w:rFonts w:hint="eastAsia" w:asciiTheme="minorEastAsia" w:hAnsiTheme="minorEastAsia" w:eastAsiaTheme="minorEastAsia" w:cstheme="minorEastAsia"/>
          <w:bCs w:val="0"/>
          <w:color w:val="auto"/>
          <w:sz w:val="21"/>
          <w:szCs w:val="21"/>
          <w:highlight w:val="none"/>
          <w:lang w:bidi="zh-CN"/>
        </w:rPr>
        <w:t>2.磋商报价一览表</w:t>
      </w:r>
      <w:bookmarkEnd w:id="238"/>
      <w:bookmarkEnd w:id="239"/>
      <w:bookmarkEnd w:id="240"/>
      <w:bookmarkEnd w:id="241"/>
      <w:bookmarkEnd w:id="242"/>
    </w:p>
    <w:tbl>
      <w:tblPr>
        <w:tblStyle w:val="38"/>
        <w:tblW w:w="945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07"/>
        <w:gridCol w:w="6852"/>
      </w:tblGrid>
      <w:tr w14:paraId="41E533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bottom w:val="single" w:color="000000" w:sz="4" w:space="0"/>
              <w:right w:val="single" w:color="000000" w:sz="6" w:space="0"/>
            </w:tcBorders>
            <w:vAlign w:val="center"/>
          </w:tcPr>
          <w:p w14:paraId="2B2CEDCB">
            <w:pPr>
              <w:pStyle w:val="177"/>
              <w:pageBreakBefore w:val="0"/>
              <w:overflowPunct/>
              <w:topLinePunct w:val="0"/>
              <w:bidi w:val="0"/>
              <w:spacing w:before="144" w:line="360" w:lineRule="auto"/>
              <w:ind w:right="5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项目名称</w:t>
            </w:r>
          </w:p>
        </w:tc>
        <w:tc>
          <w:tcPr>
            <w:tcW w:w="6852" w:type="dxa"/>
            <w:tcBorders>
              <w:left w:val="single" w:color="000000" w:sz="6" w:space="0"/>
              <w:bottom w:val="single" w:color="000000" w:sz="4" w:space="0"/>
            </w:tcBorders>
            <w:vAlign w:val="center"/>
          </w:tcPr>
          <w:p w14:paraId="1FEBF023">
            <w:pPr>
              <w:pStyle w:val="177"/>
              <w:pageBreakBefore w:val="0"/>
              <w:overflowPunct/>
              <w:topLinePunct w:val="0"/>
              <w:bidi w:val="0"/>
              <w:spacing w:line="360" w:lineRule="auto"/>
              <w:ind w:firstLine="442"/>
              <w:jc w:val="left"/>
              <w:rPr>
                <w:rFonts w:hint="eastAsia" w:asciiTheme="minorEastAsia" w:hAnsiTheme="minorEastAsia" w:eastAsiaTheme="minorEastAsia" w:cstheme="minorEastAsia"/>
                <w:color w:val="auto"/>
                <w:sz w:val="21"/>
                <w:szCs w:val="21"/>
                <w:highlight w:val="none"/>
              </w:rPr>
            </w:pPr>
          </w:p>
        </w:tc>
      </w:tr>
      <w:tr w14:paraId="0853E6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52EC24E9">
            <w:pPr>
              <w:pStyle w:val="177"/>
              <w:pageBreakBefore w:val="0"/>
              <w:overflowPunct/>
              <w:topLinePunct w:val="0"/>
              <w:bidi w:val="0"/>
              <w:spacing w:before="101" w:line="360" w:lineRule="auto"/>
              <w:ind w:right="5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供应商名称</w:t>
            </w:r>
          </w:p>
        </w:tc>
        <w:tc>
          <w:tcPr>
            <w:tcW w:w="6852" w:type="dxa"/>
            <w:tcBorders>
              <w:top w:val="single" w:color="000000" w:sz="4" w:space="0"/>
              <w:left w:val="single" w:color="000000" w:sz="6" w:space="0"/>
              <w:bottom w:val="single" w:color="000000" w:sz="4" w:space="0"/>
            </w:tcBorders>
            <w:vAlign w:val="center"/>
          </w:tcPr>
          <w:p w14:paraId="7F944792">
            <w:pPr>
              <w:pStyle w:val="177"/>
              <w:pageBreakBefore w:val="0"/>
              <w:overflowPunct/>
              <w:topLinePunct w:val="0"/>
              <w:bidi w:val="0"/>
              <w:spacing w:line="360" w:lineRule="auto"/>
              <w:ind w:firstLine="442"/>
              <w:jc w:val="left"/>
              <w:rPr>
                <w:rFonts w:hint="eastAsia" w:asciiTheme="minorEastAsia" w:hAnsiTheme="minorEastAsia" w:eastAsiaTheme="minorEastAsia" w:cstheme="minorEastAsia"/>
                <w:color w:val="auto"/>
                <w:sz w:val="21"/>
                <w:szCs w:val="21"/>
                <w:highlight w:val="none"/>
              </w:rPr>
            </w:pPr>
          </w:p>
        </w:tc>
      </w:tr>
      <w:tr w14:paraId="0C5370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6" w:space="0"/>
              <w:right w:val="single" w:color="000000" w:sz="6" w:space="0"/>
            </w:tcBorders>
            <w:vAlign w:val="center"/>
          </w:tcPr>
          <w:p w14:paraId="7B010E89">
            <w:pPr>
              <w:pStyle w:val="177"/>
              <w:pageBreakBefore w:val="0"/>
              <w:overflowPunct/>
              <w:topLinePunct w:val="0"/>
              <w:bidi w:val="0"/>
              <w:spacing w:before="126" w:line="360" w:lineRule="auto"/>
              <w:ind w:right="5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磋商内容</w:t>
            </w:r>
          </w:p>
        </w:tc>
        <w:tc>
          <w:tcPr>
            <w:tcW w:w="6852" w:type="dxa"/>
            <w:tcBorders>
              <w:top w:val="single" w:color="000000" w:sz="4" w:space="0"/>
              <w:left w:val="single" w:color="000000" w:sz="6" w:space="0"/>
              <w:bottom w:val="single" w:color="000000" w:sz="6" w:space="0"/>
            </w:tcBorders>
            <w:vAlign w:val="center"/>
          </w:tcPr>
          <w:p w14:paraId="6CD948AC">
            <w:pPr>
              <w:pStyle w:val="177"/>
              <w:pageBreakBefore w:val="0"/>
              <w:overflowPunct/>
              <w:topLinePunct w:val="0"/>
              <w:bidi w:val="0"/>
              <w:spacing w:line="360" w:lineRule="auto"/>
              <w:ind w:firstLine="442"/>
              <w:jc w:val="left"/>
              <w:rPr>
                <w:rFonts w:hint="eastAsia" w:asciiTheme="minorEastAsia" w:hAnsiTheme="minorEastAsia" w:eastAsiaTheme="minorEastAsia" w:cstheme="minorEastAsia"/>
                <w:color w:val="auto"/>
                <w:sz w:val="21"/>
                <w:szCs w:val="21"/>
                <w:highlight w:val="none"/>
              </w:rPr>
            </w:pPr>
          </w:p>
        </w:tc>
      </w:tr>
      <w:tr w14:paraId="6ABD1A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6" w:space="0"/>
              <w:bottom w:val="single" w:color="000000" w:sz="4" w:space="0"/>
              <w:right w:val="single" w:color="000000" w:sz="6" w:space="0"/>
            </w:tcBorders>
            <w:vAlign w:val="center"/>
          </w:tcPr>
          <w:p w14:paraId="25C0CA15">
            <w:pPr>
              <w:pStyle w:val="177"/>
              <w:pageBreakBefore w:val="0"/>
              <w:overflowPunct/>
              <w:topLinePunct w:val="0"/>
              <w:bidi w:val="0"/>
              <w:spacing w:before="160" w:line="360" w:lineRule="auto"/>
              <w:ind w:right="5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SA"/>
              </w:rPr>
              <w:t xml:space="preserve">    报价（大写）</w:t>
            </w:r>
          </w:p>
        </w:tc>
        <w:tc>
          <w:tcPr>
            <w:tcW w:w="6852" w:type="dxa"/>
            <w:tcBorders>
              <w:top w:val="single" w:color="000000" w:sz="6" w:space="0"/>
              <w:left w:val="single" w:color="000000" w:sz="6" w:space="0"/>
              <w:bottom w:val="single" w:color="000000" w:sz="6" w:space="0"/>
            </w:tcBorders>
            <w:vAlign w:val="center"/>
          </w:tcPr>
          <w:p w14:paraId="7B3C3BF9">
            <w:pPr>
              <w:pStyle w:val="177"/>
              <w:pageBreakBefore w:val="0"/>
              <w:overflowPunct/>
              <w:topLinePunct w:val="0"/>
              <w:bidi w:val="0"/>
              <w:spacing w:before="150" w:line="360" w:lineRule="auto"/>
              <w:ind w:left="14" w:firstLine="482"/>
              <w:jc w:val="left"/>
              <w:rPr>
                <w:rFonts w:hint="eastAsia" w:asciiTheme="minorEastAsia" w:hAnsiTheme="minorEastAsia" w:eastAsiaTheme="minorEastAsia" w:cstheme="minorEastAsia"/>
                <w:color w:val="auto"/>
                <w:sz w:val="21"/>
                <w:szCs w:val="21"/>
                <w:highlight w:val="none"/>
              </w:rPr>
            </w:pPr>
          </w:p>
        </w:tc>
      </w:tr>
      <w:tr w14:paraId="050034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nil"/>
              <w:bottom w:val="single" w:color="000000" w:sz="4" w:space="0"/>
              <w:right w:val="single" w:color="000000" w:sz="6" w:space="0"/>
            </w:tcBorders>
            <w:vAlign w:val="center"/>
          </w:tcPr>
          <w:p w14:paraId="22FFA422">
            <w:pPr>
              <w:pageBreakBefore w:val="0"/>
              <w:overflowPunct/>
              <w:topLinePunct w:val="0"/>
              <w:bidi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报价（小写）</w:t>
            </w:r>
          </w:p>
        </w:tc>
        <w:tc>
          <w:tcPr>
            <w:tcW w:w="6852" w:type="dxa"/>
            <w:tcBorders>
              <w:top w:val="single" w:color="000000" w:sz="6" w:space="0"/>
              <w:left w:val="single" w:color="000000" w:sz="6" w:space="0"/>
              <w:bottom w:val="single" w:color="000000" w:sz="4" w:space="0"/>
            </w:tcBorders>
            <w:vAlign w:val="center"/>
          </w:tcPr>
          <w:p w14:paraId="0AAFF2FA">
            <w:pPr>
              <w:pStyle w:val="177"/>
              <w:pageBreakBefore w:val="0"/>
              <w:overflowPunct/>
              <w:topLinePunct w:val="0"/>
              <w:bidi w:val="0"/>
              <w:spacing w:before="150" w:line="360" w:lineRule="auto"/>
              <w:ind w:left="14" w:firstLine="482"/>
              <w:jc w:val="left"/>
              <w:rPr>
                <w:rFonts w:hint="eastAsia" w:asciiTheme="minorEastAsia" w:hAnsiTheme="minorEastAsia" w:eastAsiaTheme="minorEastAsia" w:cstheme="minorEastAsia"/>
                <w:color w:val="auto"/>
                <w:sz w:val="21"/>
                <w:szCs w:val="21"/>
                <w:highlight w:val="none"/>
              </w:rPr>
            </w:pPr>
          </w:p>
        </w:tc>
      </w:tr>
      <w:tr w14:paraId="07C73D5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17C39483">
            <w:pPr>
              <w:pStyle w:val="177"/>
              <w:pageBreakBefore w:val="0"/>
              <w:overflowPunct/>
              <w:topLinePunct w:val="0"/>
              <w:bidi w:val="0"/>
              <w:spacing w:before="93" w:line="360" w:lineRule="auto"/>
              <w:ind w:right="5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交货期</w:t>
            </w:r>
          </w:p>
        </w:tc>
        <w:tc>
          <w:tcPr>
            <w:tcW w:w="6852" w:type="dxa"/>
            <w:tcBorders>
              <w:top w:val="single" w:color="000000" w:sz="4" w:space="0"/>
              <w:left w:val="single" w:color="000000" w:sz="6" w:space="0"/>
              <w:bottom w:val="single" w:color="000000" w:sz="4" w:space="0"/>
            </w:tcBorders>
          </w:tcPr>
          <w:p w14:paraId="57434DF6">
            <w:pPr>
              <w:pStyle w:val="177"/>
              <w:pageBreakBefore w:val="0"/>
              <w:overflowPunct/>
              <w:topLinePunct w:val="0"/>
              <w:bidi w:val="0"/>
              <w:spacing w:line="360" w:lineRule="auto"/>
              <w:ind w:firstLine="442"/>
              <w:jc w:val="left"/>
              <w:rPr>
                <w:rFonts w:hint="eastAsia" w:asciiTheme="minorEastAsia" w:hAnsiTheme="minorEastAsia" w:eastAsiaTheme="minorEastAsia" w:cstheme="minorEastAsia"/>
                <w:color w:val="auto"/>
                <w:sz w:val="21"/>
                <w:szCs w:val="21"/>
                <w:highlight w:val="none"/>
              </w:rPr>
            </w:pPr>
          </w:p>
        </w:tc>
      </w:tr>
      <w:tr w14:paraId="1F2DB1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293F6E3D">
            <w:pPr>
              <w:pStyle w:val="177"/>
              <w:pageBreakBefore w:val="0"/>
              <w:overflowPunct/>
              <w:topLinePunct w:val="0"/>
              <w:bidi w:val="0"/>
              <w:spacing w:before="91" w:line="360" w:lineRule="auto"/>
              <w:ind w:right="5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质量要求</w:t>
            </w:r>
          </w:p>
        </w:tc>
        <w:tc>
          <w:tcPr>
            <w:tcW w:w="6852" w:type="dxa"/>
            <w:tcBorders>
              <w:top w:val="single" w:color="000000" w:sz="4" w:space="0"/>
              <w:left w:val="single" w:color="000000" w:sz="6" w:space="0"/>
              <w:bottom w:val="single" w:color="000000" w:sz="4" w:space="0"/>
            </w:tcBorders>
          </w:tcPr>
          <w:p w14:paraId="703E524C">
            <w:pPr>
              <w:pStyle w:val="177"/>
              <w:pageBreakBefore w:val="0"/>
              <w:overflowPunct/>
              <w:topLinePunct w:val="0"/>
              <w:bidi w:val="0"/>
              <w:spacing w:line="360" w:lineRule="auto"/>
              <w:ind w:firstLine="442"/>
              <w:jc w:val="left"/>
              <w:rPr>
                <w:rFonts w:hint="eastAsia" w:asciiTheme="minorEastAsia" w:hAnsiTheme="minorEastAsia" w:eastAsiaTheme="minorEastAsia" w:cstheme="minorEastAsia"/>
                <w:color w:val="auto"/>
                <w:sz w:val="21"/>
                <w:szCs w:val="21"/>
                <w:highlight w:val="none"/>
              </w:rPr>
            </w:pPr>
          </w:p>
        </w:tc>
      </w:tr>
      <w:tr w14:paraId="625C4A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71338B66">
            <w:pPr>
              <w:pStyle w:val="177"/>
              <w:pageBreakBefore w:val="0"/>
              <w:overflowPunct/>
              <w:topLinePunct w:val="0"/>
              <w:bidi w:val="0"/>
              <w:spacing w:before="91" w:line="360" w:lineRule="auto"/>
              <w:ind w:right="5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质保期</w:t>
            </w:r>
          </w:p>
        </w:tc>
        <w:tc>
          <w:tcPr>
            <w:tcW w:w="6852" w:type="dxa"/>
            <w:tcBorders>
              <w:top w:val="single" w:color="000000" w:sz="4" w:space="0"/>
              <w:left w:val="single" w:color="000000" w:sz="6" w:space="0"/>
              <w:bottom w:val="single" w:color="000000" w:sz="4" w:space="0"/>
            </w:tcBorders>
          </w:tcPr>
          <w:p w14:paraId="4163C5C5">
            <w:pPr>
              <w:pStyle w:val="177"/>
              <w:pageBreakBefore w:val="0"/>
              <w:overflowPunct/>
              <w:topLinePunct w:val="0"/>
              <w:bidi w:val="0"/>
              <w:spacing w:line="360" w:lineRule="auto"/>
              <w:ind w:firstLine="442"/>
              <w:jc w:val="left"/>
              <w:rPr>
                <w:rFonts w:hint="eastAsia" w:asciiTheme="minorEastAsia" w:hAnsiTheme="minorEastAsia" w:eastAsiaTheme="minorEastAsia" w:cstheme="minorEastAsia"/>
                <w:color w:val="auto"/>
                <w:sz w:val="21"/>
                <w:szCs w:val="21"/>
                <w:highlight w:val="none"/>
              </w:rPr>
            </w:pPr>
          </w:p>
        </w:tc>
      </w:tr>
      <w:tr w14:paraId="29B1BE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71BBB14D">
            <w:pPr>
              <w:pStyle w:val="177"/>
              <w:pageBreakBefore w:val="0"/>
              <w:overflowPunct/>
              <w:topLinePunct w:val="0"/>
              <w:bidi w:val="0"/>
              <w:spacing w:before="154" w:line="360" w:lineRule="auto"/>
              <w:ind w:right="5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磋商有效期</w:t>
            </w:r>
          </w:p>
        </w:tc>
        <w:tc>
          <w:tcPr>
            <w:tcW w:w="6852" w:type="dxa"/>
            <w:tcBorders>
              <w:top w:val="single" w:color="000000" w:sz="4" w:space="0"/>
              <w:left w:val="single" w:color="000000" w:sz="6" w:space="0"/>
              <w:bottom w:val="single" w:color="000000" w:sz="4" w:space="0"/>
            </w:tcBorders>
            <w:vAlign w:val="center"/>
          </w:tcPr>
          <w:p w14:paraId="7E48B36C">
            <w:pPr>
              <w:pStyle w:val="177"/>
              <w:pageBreakBefore w:val="0"/>
              <w:overflowPunct/>
              <w:topLinePunct w:val="0"/>
              <w:bidi w:val="0"/>
              <w:spacing w:before="154" w:line="360" w:lineRule="auto"/>
              <w:ind w:right="674" w:firstLine="482"/>
              <w:jc w:val="left"/>
              <w:rPr>
                <w:rFonts w:hint="eastAsia" w:asciiTheme="minorEastAsia" w:hAnsiTheme="minorEastAsia" w:eastAsiaTheme="minorEastAsia" w:cstheme="minorEastAsia"/>
                <w:color w:val="auto"/>
                <w:sz w:val="21"/>
                <w:szCs w:val="21"/>
                <w:highlight w:val="none"/>
              </w:rPr>
            </w:pPr>
          </w:p>
        </w:tc>
      </w:tr>
      <w:tr w14:paraId="179552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shd w:val="clear" w:color="auto" w:fill="auto"/>
            <w:vAlign w:val="center"/>
          </w:tcPr>
          <w:p w14:paraId="7CFBC9EB">
            <w:pPr>
              <w:pageBreakBefore w:val="0"/>
              <w:widowControl/>
              <w:overflowPunct/>
              <w:topLinePunct w:val="0"/>
              <w:bidi w:val="0"/>
              <w:spacing w:line="360" w:lineRule="auto"/>
              <w:jc w:val="center"/>
              <w:rPr>
                <w:rFonts w:hint="eastAsia" w:asciiTheme="minorEastAsia" w:hAnsiTheme="minorEastAsia" w:eastAsiaTheme="minorEastAsia" w:cstheme="minorEastAsia"/>
                <w:b/>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付款方式是否响应</w:t>
            </w:r>
          </w:p>
        </w:tc>
        <w:tc>
          <w:tcPr>
            <w:tcW w:w="6852" w:type="dxa"/>
            <w:tcBorders>
              <w:top w:val="single" w:color="000000" w:sz="4" w:space="0"/>
              <w:left w:val="single" w:color="000000" w:sz="6" w:space="0"/>
              <w:bottom w:val="single" w:color="000000" w:sz="4" w:space="0"/>
            </w:tcBorders>
            <w:shd w:val="clear" w:color="auto" w:fill="auto"/>
            <w:vAlign w:val="center"/>
          </w:tcPr>
          <w:p w14:paraId="57E34355">
            <w:pPr>
              <w:pageBreakBefore w:val="0"/>
              <w:widowControl/>
              <w:overflowPunct/>
              <w:topLinePunct w:val="0"/>
              <w:bidi w:val="0"/>
              <w:spacing w:line="360" w:lineRule="auto"/>
              <w:ind w:firstLine="210" w:firstLineChars="10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是</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□否</w:t>
            </w:r>
          </w:p>
        </w:tc>
      </w:tr>
      <w:tr w14:paraId="2F65CF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right w:val="single" w:color="000000" w:sz="6" w:space="0"/>
            </w:tcBorders>
            <w:vAlign w:val="center"/>
          </w:tcPr>
          <w:p w14:paraId="33CD869A">
            <w:pPr>
              <w:pStyle w:val="177"/>
              <w:pageBreakBefore w:val="0"/>
              <w:overflowPunct/>
              <w:topLinePunct w:val="0"/>
              <w:bidi w:val="0"/>
              <w:spacing w:before="153" w:line="360" w:lineRule="auto"/>
              <w:ind w:right="53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其他声明</w:t>
            </w:r>
          </w:p>
        </w:tc>
        <w:tc>
          <w:tcPr>
            <w:tcW w:w="6852" w:type="dxa"/>
            <w:tcBorders>
              <w:top w:val="single" w:color="000000" w:sz="4" w:space="0"/>
              <w:left w:val="single" w:color="000000" w:sz="6" w:space="0"/>
            </w:tcBorders>
            <w:vAlign w:val="center"/>
          </w:tcPr>
          <w:p w14:paraId="01C51376">
            <w:pPr>
              <w:pStyle w:val="177"/>
              <w:pageBreakBefore w:val="0"/>
              <w:overflowPunct/>
              <w:topLinePunct w:val="0"/>
              <w:bidi w:val="0"/>
              <w:spacing w:before="153"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（没有可写“无”）</w:t>
            </w:r>
          </w:p>
        </w:tc>
      </w:tr>
    </w:tbl>
    <w:p w14:paraId="6E57522F">
      <w:pPr>
        <w:pStyle w:val="16"/>
        <w:pageBreakBefore w:val="0"/>
        <w:overflowPunct/>
        <w:topLinePunct w:val="0"/>
        <w:bidi w:val="0"/>
        <w:spacing w:line="360" w:lineRule="auto"/>
        <w:ind w:firstLine="420"/>
        <w:rPr>
          <w:rFonts w:hint="eastAsia" w:asciiTheme="minorEastAsia" w:hAnsiTheme="minorEastAsia" w:eastAsiaTheme="minorEastAsia" w:cstheme="minorEastAsia"/>
          <w:b/>
          <w:color w:val="auto"/>
          <w:sz w:val="21"/>
          <w:szCs w:val="21"/>
          <w:highlight w:val="none"/>
        </w:rPr>
      </w:pPr>
    </w:p>
    <w:p w14:paraId="5F7A1566">
      <w:pPr>
        <w:pStyle w:val="16"/>
        <w:pageBreakBefore w:val="0"/>
        <w:overflowPunct/>
        <w:topLinePunct w:val="0"/>
        <w:bidi w:val="0"/>
        <w:spacing w:before="12" w:line="360" w:lineRule="auto"/>
        <w:ind w:firstLine="360"/>
        <w:rPr>
          <w:rFonts w:hint="eastAsia" w:asciiTheme="minorEastAsia" w:hAnsiTheme="minorEastAsia" w:eastAsiaTheme="minorEastAsia" w:cstheme="minorEastAsia"/>
          <w:b/>
          <w:color w:val="auto"/>
          <w:sz w:val="21"/>
          <w:szCs w:val="21"/>
          <w:highlight w:val="none"/>
        </w:rPr>
      </w:pPr>
    </w:p>
    <w:p w14:paraId="3432666D">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bookmarkStart w:id="243" w:name="3、法定代表人身份证明书"/>
      <w:bookmarkEnd w:id="243"/>
      <w:bookmarkStart w:id="244" w:name="_bookmark31"/>
      <w:bookmarkEnd w:id="244"/>
      <w:r>
        <w:rPr>
          <w:rFonts w:hint="eastAsia" w:asciiTheme="minorEastAsia" w:hAnsiTheme="minorEastAsia" w:eastAsiaTheme="minorEastAsia" w:cstheme="minorEastAsia"/>
          <w:color w:val="auto"/>
          <w:sz w:val="21"/>
          <w:szCs w:val="21"/>
          <w:highlight w:val="none"/>
        </w:rPr>
        <w:t>供应商：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（盖企业电子章）</w:t>
      </w:r>
    </w:p>
    <w:p w14:paraId="2BCD41C7">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法定代表人或其委托代理人（签字或盖章或电子签章）：</w:t>
      </w:r>
      <w:r>
        <w:rPr>
          <w:rFonts w:hint="eastAsia" w:asciiTheme="minorEastAsia" w:hAnsiTheme="minorEastAsia" w:eastAsiaTheme="minorEastAsia" w:cstheme="minorEastAsia"/>
          <w:color w:val="auto"/>
          <w:sz w:val="21"/>
          <w:szCs w:val="21"/>
          <w:highlight w:val="none"/>
          <w:u w:val="single"/>
        </w:rPr>
        <w:t xml:space="preserve">        </w:t>
      </w:r>
    </w:p>
    <w:p w14:paraId="7B30F45D">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日</w:t>
      </w:r>
    </w:p>
    <w:p w14:paraId="1B31F190">
      <w:pPr>
        <w:pageBreakBefore w:val="0"/>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sectPr>
          <w:pgSz w:w="11910" w:h="16840"/>
          <w:pgMar w:top="1440" w:right="1417" w:bottom="1440" w:left="1417" w:header="680" w:footer="1000" w:gutter="0"/>
          <w:pgBorders>
            <w:top w:val="none" w:sz="0" w:space="0"/>
            <w:left w:val="none" w:sz="0" w:space="0"/>
            <w:bottom w:val="none" w:sz="0" w:space="0"/>
            <w:right w:val="none" w:sz="0" w:space="0"/>
          </w:pgBorders>
          <w:cols w:space="0" w:num="1"/>
        </w:sectPr>
      </w:pPr>
    </w:p>
    <w:p w14:paraId="3130B399">
      <w:pPr>
        <w:pStyle w:val="6"/>
        <w:pageBreakBefore w:val="0"/>
        <w:overflowPunct/>
        <w:topLinePunct w:val="0"/>
        <w:bidi w:val="0"/>
        <w:spacing w:before="42" w:line="360" w:lineRule="auto"/>
        <w:ind w:left="419" w:right="436" w:firstLine="602"/>
        <w:jc w:val="center"/>
        <w:rPr>
          <w:rFonts w:hint="eastAsia" w:asciiTheme="minorEastAsia" w:hAnsiTheme="minorEastAsia" w:eastAsiaTheme="minorEastAsia" w:cstheme="minorEastAsia"/>
          <w:bCs w:val="0"/>
          <w:color w:val="auto"/>
          <w:sz w:val="28"/>
          <w:szCs w:val="28"/>
          <w:highlight w:val="none"/>
          <w:lang w:bidi="zh-CN"/>
        </w:rPr>
      </w:pPr>
      <w:bookmarkStart w:id="245" w:name="_bookmark32"/>
      <w:bookmarkEnd w:id="245"/>
      <w:bookmarkStart w:id="246" w:name="4、供应商参加磋商采购活动的承诺书"/>
      <w:bookmarkEnd w:id="246"/>
      <w:r>
        <w:rPr>
          <w:rFonts w:hint="eastAsia" w:asciiTheme="minorEastAsia" w:hAnsiTheme="minorEastAsia" w:eastAsiaTheme="minorEastAsia" w:cstheme="minorEastAsia"/>
          <w:bCs w:val="0"/>
          <w:color w:val="auto"/>
          <w:sz w:val="28"/>
          <w:szCs w:val="28"/>
          <w:highlight w:val="none"/>
          <w:lang w:bidi="zh-CN"/>
        </w:rPr>
        <w:t>二、法定代表人身份证明书</w:t>
      </w:r>
    </w:p>
    <w:p w14:paraId="4624C7C3">
      <w:pPr>
        <w:pStyle w:val="16"/>
        <w:pageBreakBefore w:val="0"/>
        <w:tabs>
          <w:tab w:val="left" w:pos="3039"/>
          <w:tab w:val="left" w:pos="3759"/>
          <w:tab w:val="left" w:pos="4599"/>
          <w:tab w:val="left" w:pos="5739"/>
          <w:tab w:val="left" w:pos="5859"/>
        </w:tabs>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供应商名称：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 xml:space="preserve"> </w:t>
      </w:r>
    </w:p>
    <w:p w14:paraId="47441A01">
      <w:pPr>
        <w:pStyle w:val="16"/>
        <w:pageBreakBefore w:val="0"/>
        <w:tabs>
          <w:tab w:val="left" w:pos="3039"/>
          <w:tab w:val="left" w:pos="3759"/>
          <w:tab w:val="left" w:pos="4599"/>
          <w:tab w:val="left" w:pos="5739"/>
          <w:tab w:val="left" w:pos="5859"/>
        </w:tabs>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单位性质：</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 xml:space="preserve"> </w:t>
      </w:r>
    </w:p>
    <w:p w14:paraId="659226C0">
      <w:pPr>
        <w:pStyle w:val="16"/>
        <w:pageBreakBefore w:val="0"/>
        <w:tabs>
          <w:tab w:val="left" w:pos="3039"/>
          <w:tab w:val="left" w:pos="3759"/>
          <w:tab w:val="left" w:pos="4599"/>
          <w:tab w:val="left" w:pos="5739"/>
          <w:tab w:val="left" w:pos="5859"/>
        </w:tabs>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地    址：</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rPr>
        <w:t xml:space="preserve"> </w:t>
      </w:r>
    </w:p>
    <w:p w14:paraId="423E6C89">
      <w:pPr>
        <w:pStyle w:val="16"/>
        <w:pageBreakBefore w:val="0"/>
        <w:tabs>
          <w:tab w:val="left" w:pos="3039"/>
          <w:tab w:val="left" w:pos="3759"/>
          <w:tab w:val="left" w:pos="4599"/>
          <w:tab w:val="left" w:pos="5739"/>
          <w:tab w:val="left" w:pos="5859"/>
        </w:tabs>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成立时间：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日</w:t>
      </w:r>
    </w:p>
    <w:p w14:paraId="788054F4">
      <w:pPr>
        <w:pStyle w:val="16"/>
        <w:pageBreakBefore w:val="0"/>
        <w:tabs>
          <w:tab w:val="left" w:pos="4539"/>
        </w:tabs>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经营期限：</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p>
    <w:p w14:paraId="2C7335BC">
      <w:pPr>
        <w:pageBreakBefore w:val="0"/>
        <w:overflowPunct/>
        <w:topLinePunct w:val="0"/>
        <w:bidi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u w:val="single"/>
          <w:lang w:val="zh-CN" w:bidi="zh-CN"/>
        </w:rPr>
      </w:pPr>
      <w:r>
        <w:rPr>
          <w:rFonts w:hint="eastAsia" w:asciiTheme="minorEastAsia" w:hAnsiTheme="minorEastAsia" w:eastAsiaTheme="minorEastAsia" w:cstheme="minorEastAsia"/>
          <w:color w:val="auto"/>
          <w:sz w:val="21"/>
          <w:szCs w:val="21"/>
          <w:highlight w:val="none"/>
          <w:lang w:val="zh-CN" w:bidi="zh-CN"/>
        </w:rPr>
        <w:t>姓    名：</w:t>
      </w:r>
      <w:r>
        <w:rPr>
          <w:rFonts w:hint="eastAsia" w:asciiTheme="minorEastAsia" w:hAnsiTheme="minorEastAsia" w:eastAsiaTheme="minorEastAsia" w:cstheme="minorEastAsia"/>
          <w:color w:val="auto"/>
          <w:sz w:val="21"/>
          <w:szCs w:val="21"/>
          <w:highlight w:val="none"/>
          <w:u w:val="single"/>
          <w:lang w:val="zh-CN" w:bidi="zh-CN"/>
        </w:rPr>
        <w:t xml:space="preserve">                    </w:t>
      </w:r>
      <w:r>
        <w:rPr>
          <w:rFonts w:hint="eastAsia" w:asciiTheme="minorEastAsia" w:hAnsiTheme="minorEastAsia" w:eastAsiaTheme="minorEastAsia" w:cstheme="minorEastAsia"/>
          <w:color w:val="auto"/>
          <w:sz w:val="21"/>
          <w:szCs w:val="21"/>
          <w:highlight w:val="none"/>
          <w:lang w:val="zh-CN" w:bidi="zh-CN"/>
        </w:rPr>
        <w:t>性        别：</w:t>
      </w:r>
      <w:r>
        <w:rPr>
          <w:rFonts w:hint="eastAsia" w:asciiTheme="minorEastAsia" w:hAnsiTheme="minorEastAsia" w:eastAsiaTheme="minorEastAsia" w:cstheme="minorEastAsia"/>
          <w:color w:val="auto"/>
          <w:sz w:val="21"/>
          <w:szCs w:val="21"/>
          <w:highlight w:val="none"/>
          <w:u w:val="single"/>
          <w:lang w:val="zh-CN" w:bidi="zh-CN"/>
        </w:rPr>
        <w:t xml:space="preserve">                    </w:t>
      </w:r>
    </w:p>
    <w:p w14:paraId="4C16932E">
      <w:pPr>
        <w:pageBreakBefore w:val="0"/>
        <w:overflowPunct/>
        <w:topLinePunct w:val="0"/>
        <w:bidi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u w:val="single"/>
          <w:lang w:val="zh-CN" w:bidi="zh-CN"/>
        </w:rPr>
      </w:pPr>
      <w:r>
        <w:rPr>
          <w:rFonts w:hint="eastAsia" w:asciiTheme="minorEastAsia" w:hAnsiTheme="minorEastAsia" w:eastAsiaTheme="minorEastAsia" w:cstheme="minorEastAsia"/>
          <w:color w:val="auto"/>
          <w:sz w:val="21"/>
          <w:szCs w:val="21"/>
          <w:highlight w:val="none"/>
          <w:lang w:val="zh-CN" w:bidi="zh-CN"/>
        </w:rPr>
        <w:t>年    龄：</w:t>
      </w:r>
      <w:r>
        <w:rPr>
          <w:rFonts w:hint="eastAsia" w:asciiTheme="minorEastAsia" w:hAnsiTheme="minorEastAsia" w:eastAsiaTheme="minorEastAsia" w:cstheme="minorEastAsia"/>
          <w:color w:val="auto"/>
          <w:sz w:val="21"/>
          <w:szCs w:val="21"/>
          <w:highlight w:val="none"/>
          <w:u w:val="single"/>
          <w:lang w:val="zh-CN" w:bidi="zh-CN"/>
        </w:rPr>
        <w:t xml:space="preserve">                    </w:t>
      </w:r>
      <w:r>
        <w:rPr>
          <w:rFonts w:hint="eastAsia" w:asciiTheme="minorEastAsia" w:hAnsiTheme="minorEastAsia" w:eastAsiaTheme="minorEastAsia" w:cstheme="minorEastAsia"/>
          <w:color w:val="auto"/>
          <w:sz w:val="21"/>
          <w:szCs w:val="21"/>
          <w:highlight w:val="none"/>
          <w:lang w:val="zh-CN" w:bidi="zh-CN"/>
        </w:rPr>
        <w:t>职        务：</w:t>
      </w:r>
      <w:r>
        <w:rPr>
          <w:rFonts w:hint="eastAsia" w:asciiTheme="minorEastAsia" w:hAnsiTheme="minorEastAsia" w:eastAsiaTheme="minorEastAsia" w:cstheme="minorEastAsia"/>
          <w:color w:val="auto"/>
          <w:sz w:val="21"/>
          <w:szCs w:val="21"/>
          <w:highlight w:val="none"/>
          <w:u w:val="single"/>
          <w:lang w:val="zh-CN" w:bidi="zh-CN"/>
        </w:rPr>
        <w:t xml:space="preserve">                    </w:t>
      </w:r>
    </w:p>
    <w:p w14:paraId="6BDAEAB2">
      <w:pPr>
        <w:pageBreakBefore w:val="0"/>
        <w:overflowPunct/>
        <w:topLinePunct w:val="0"/>
        <w:bidi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lang w:val="zh-CN" w:bidi="zh-CN"/>
        </w:rPr>
      </w:pPr>
      <w:r>
        <w:rPr>
          <w:rFonts w:hint="eastAsia" w:asciiTheme="minorEastAsia" w:hAnsiTheme="minorEastAsia" w:eastAsiaTheme="minorEastAsia" w:cstheme="minorEastAsia"/>
          <w:color w:val="auto"/>
          <w:sz w:val="21"/>
          <w:szCs w:val="21"/>
          <w:highlight w:val="none"/>
          <w:lang w:val="zh-CN" w:bidi="zh-CN"/>
        </w:rPr>
        <w:t>系</w:t>
      </w:r>
      <w:r>
        <w:rPr>
          <w:rFonts w:hint="eastAsia" w:asciiTheme="minorEastAsia" w:hAnsiTheme="minorEastAsia" w:eastAsiaTheme="minorEastAsia" w:cstheme="minorEastAsia"/>
          <w:color w:val="auto"/>
          <w:sz w:val="21"/>
          <w:szCs w:val="21"/>
          <w:highlight w:val="none"/>
          <w:u w:val="single"/>
          <w:lang w:val="zh-CN" w:bidi="zh-CN"/>
        </w:rPr>
        <w:t xml:space="preserve">                                              </w:t>
      </w:r>
      <w:r>
        <w:rPr>
          <w:rFonts w:hint="eastAsia" w:asciiTheme="minorEastAsia" w:hAnsiTheme="minorEastAsia" w:eastAsiaTheme="minorEastAsia" w:cstheme="minorEastAsia"/>
          <w:color w:val="auto"/>
          <w:sz w:val="21"/>
          <w:szCs w:val="21"/>
          <w:highlight w:val="none"/>
          <w:lang w:val="zh-CN" w:bidi="zh-CN"/>
        </w:rPr>
        <w:t>（供应商名称）的法定代表人。</w:t>
      </w:r>
    </w:p>
    <w:p w14:paraId="6F7EF8BF">
      <w:pPr>
        <w:pStyle w:val="16"/>
        <w:pageBreakBefore w:val="0"/>
        <w:overflowPunct/>
        <w:topLinePunct w:val="0"/>
        <w:autoSpaceDE w:val="0"/>
        <w:autoSpaceDN w:val="0"/>
        <w:bidi w:val="0"/>
        <w:spacing w:line="360" w:lineRule="auto"/>
        <w:rPr>
          <w:rFonts w:hint="eastAsia" w:asciiTheme="minorEastAsia" w:hAnsiTheme="minorEastAsia" w:eastAsiaTheme="minorEastAsia" w:cstheme="minorEastAsia"/>
          <w:color w:val="auto"/>
          <w:sz w:val="21"/>
          <w:szCs w:val="21"/>
          <w:highlight w:val="none"/>
        </w:rPr>
      </w:pPr>
    </w:p>
    <w:p w14:paraId="6D558C60">
      <w:pPr>
        <w:pageBreakBefore w:val="0"/>
        <w:overflowPunct/>
        <w:topLinePunct w:val="0"/>
        <w:bidi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lang w:val="zh-CN" w:bidi="zh-CN"/>
        </w:rPr>
      </w:pPr>
      <w:r>
        <w:rPr>
          <w:rFonts w:hint="eastAsia" w:asciiTheme="minorEastAsia" w:hAnsiTheme="minorEastAsia" w:eastAsiaTheme="minorEastAsia" w:cstheme="minorEastAsia"/>
          <w:color w:val="auto"/>
          <w:sz w:val="21"/>
          <w:szCs w:val="21"/>
          <w:highlight w:val="none"/>
          <w:lang w:val="zh-CN" w:bidi="zh-CN"/>
        </w:rPr>
        <w:t>特此证明。</w:t>
      </w:r>
    </w:p>
    <w:p w14:paraId="367B3CA7">
      <w:pPr>
        <w:pageBreakBefore w:val="0"/>
        <w:overflowPunct/>
        <w:topLinePunct w:val="0"/>
        <w:bidi w:val="0"/>
        <w:snapToGrid w:val="0"/>
        <w:spacing w:line="360" w:lineRule="auto"/>
        <w:ind w:firstLine="482"/>
        <w:rPr>
          <w:rFonts w:hint="eastAsia" w:asciiTheme="minorEastAsia" w:hAnsiTheme="minorEastAsia" w:eastAsiaTheme="minorEastAsia" w:cstheme="minorEastAsia"/>
          <w:color w:val="auto"/>
          <w:sz w:val="21"/>
          <w:szCs w:val="21"/>
          <w:highlight w:val="none"/>
          <w:lang w:val="zh-CN" w:bidi="zh-CN"/>
        </w:rPr>
      </w:pPr>
    </w:p>
    <w:p w14:paraId="7AC4043C">
      <w:pPr>
        <w:pageBreakBefore w:val="0"/>
        <w:overflowPunct/>
        <w:topLinePunct w:val="0"/>
        <w:bidi w:val="0"/>
        <w:snapToGrid w:val="0"/>
        <w:spacing w:line="360" w:lineRule="auto"/>
        <w:ind w:firstLine="482"/>
        <w:rPr>
          <w:rFonts w:hint="eastAsia" w:asciiTheme="minorEastAsia" w:hAnsiTheme="minorEastAsia" w:eastAsiaTheme="minorEastAsia" w:cstheme="minorEastAsia"/>
          <w:color w:val="auto"/>
          <w:sz w:val="21"/>
          <w:szCs w:val="21"/>
          <w:highlight w:val="none"/>
          <w:lang w:val="zh-CN" w:bidi="zh-CN"/>
        </w:rPr>
      </w:pPr>
      <w:r>
        <w:rPr>
          <w:rFonts w:hint="eastAsia" w:asciiTheme="minorEastAsia" w:hAnsiTheme="minorEastAsia" w:eastAsiaTheme="minorEastAsia" w:cstheme="minorEastAsia"/>
          <w:color w:val="auto"/>
          <w:sz w:val="21"/>
          <w:szCs w:val="21"/>
          <w:highlight w:val="none"/>
          <w:lang w:val="zh-CN" w:bidi="zh-CN"/>
        </w:rPr>
        <w:t>附：法定代表人身份证</w:t>
      </w:r>
    </w:p>
    <w:p w14:paraId="67C78266">
      <w:pPr>
        <w:pStyle w:val="16"/>
        <w:pageBreakBefore w:val="0"/>
        <w:tabs>
          <w:tab w:val="left" w:pos="2679"/>
          <w:tab w:val="left" w:pos="3399"/>
          <w:tab w:val="left" w:pos="4239"/>
          <w:tab w:val="left" w:pos="6219"/>
          <w:tab w:val="left" w:pos="6339"/>
          <w:tab w:val="left" w:pos="6459"/>
        </w:tabs>
        <w:overflowPunct/>
        <w:topLinePunct w:val="0"/>
        <w:autoSpaceDE w:val="0"/>
        <w:autoSpaceDN w:val="0"/>
        <w:bidi w:val="0"/>
        <w:spacing w:line="360" w:lineRule="auto"/>
        <w:rPr>
          <w:rFonts w:hint="eastAsia" w:asciiTheme="minorEastAsia" w:hAnsiTheme="minorEastAsia" w:eastAsiaTheme="minorEastAsia" w:cstheme="minorEastAsia"/>
          <w:color w:val="auto"/>
          <w:sz w:val="21"/>
          <w:szCs w:val="21"/>
          <w:highlight w:val="none"/>
        </w:rPr>
      </w:pPr>
    </w:p>
    <w:p w14:paraId="781729A0">
      <w:pPr>
        <w:pStyle w:val="16"/>
        <w:pageBreakBefore w:val="0"/>
        <w:tabs>
          <w:tab w:val="left" w:pos="2679"/>
          <w:tab w:val="left" w:pos="3399"/>
          <w:tab w:val="left" w:pos="4239"/>
          <w:tab w:val="left" w:pos="6219"/>
          <w:tab w:val="left" w:pos="6339"/>
          <w:tab w:val="left" w:pos="6459"/>
        </w:tabs>
        <w:overflowPunct/>
        <w:topLinePunct w:val="0"/>
        <w:autoSpaceDE w:val="0"/>
        <w:autoSpaceDN w:val="0"/>
        <w:bidi w:val="0"/>
        <w:spacing w:line="360" w:lineRule="auto"/>
        <w:jc w:val="right"/>
        <w:rPr>
          <w:rFonts w:hint="eastAsia" w:asciiTheme="minorEastAsia" w:hAnsiTheme="minorEastAsia" w:eastAsiaTheme="minorEastAsia" w:cstheme="minorEastAsia"/>
          <w:color w:val="auto"/>
          <w:sz w:val="21"/>
          <w:szCs w:val="21"/>
          <w:highlight w:val="none"/>
        </w:rPr>
      </w:pPr>
    </w:p>
    <w:p w14:paraId="3775A59B">
      <w:pPr>
        <w:pageBreakBefore w:val="0"/>
        <w:overflowPunct/>
        <w:topLinePunct w:val="0"/>
        <w:bidi w:val="0"/>
        <w:snapToGrid w:val="0"/>
        <w:spacing w:line="360" w:lineRule="auto"/>
        <w:ind w:firstLine="482"/>
        <w:jc w:val="right"/>
        <w:rPr>
          <w:rFonts w:hint="eastAsia" w:asciiTheme="minorEastAsia" w:hAnsiTheme="minorEastAsia" w:eastAsiaTheme="minorEastAsia" w:cstheme="minorEastAsia"/>
          <w:color w:val="auto"/>
          <w:sz w:val="21"/>
          <w:szCs w:val="21"/>
          <w:highlight w:val="none"/>
        </w:rPr>
      </w:pPr>
      <w:bookmarkStart w:id="247" w:name="_bookmark33"/>
      <w:bookmarkEnd w:id="247"/>
      <w:r>
        <w:rPr>
          <w:rFonts w:hint="eastAsia" w:asciiTheme="minorEastAsia" w:hAnsiTheme="minorEastAsia" w:eastAsiaTheme="minorEastAsia" w:cstheme="minorEastAsia"/>
          <w:color w:val="auto"/>
          <w:sz w:val="21"/>
          <w:szCs w:val="21"/>
          <w:highlight w:val="none"/>
        </w:rPr>
        <w:t>供应商：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（盖企业电子章）</w:t>
      </w:r>
    </w:p>
    <w:p w14:paraId="48211992">
      <w:pPr>
        <w:pageBreakBefore w:val="0"/>
        <w:wordWrap w:val="0"/>
        <w:overflowPunct/>
        <w:topLinePunct w:val="0"/>
        <w:bidi w:val="0"/>
        <w:snapToGrid w:val="0"/>
        <w:spacing w:line="360" w:lineRule="auto"/>
        <w:ind w:firstLine="482"/>
        <w:jc w:val="right"/>
        <w:rPr>
          <w:rFonts w:hint="default" w:asciiTheme="minorEastAsia" w:hAnsiTheme="minorEastAsia" w:eastAsiaTheme="minorEastAsia" w:cstheme="minorEastAsia"/>
          <w:color w:val="auto"/>
          <w:sz w:val="21"/>
          <w:szCs w:val="21"/>
          <w:highlight w:val="none"/>
          <w:lang w:val="en-US" w:eastAsia="zh-CN"/>
        </w:rPr>
      </w:pPr>
    </w:p>
    <w:p w14:paraId="0084C065">
      <w:pPr>
        <w:pageBreakBefore w:val="0"/>
        <w:overflowPunct/>
        <w:topLinePunct w:val="0"/>
        <w:bidi w:val="0"/>
        <w:snapToGrid w:val="0"/>
        <w:spacing w:line="360" w:lineRule="auto"/>
        <w:ind w:firstLine="482"/>
        <w:jc w:val="righ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日  </w:t>
      </w:r>
    </w:p>
    <w:p w14:paraId="059E9209">
      <w:pPr>
        <w:rPr>
          <w:rFonts w:hint="eastAsia"/>
          <w:color w:val="auto"/>
          <w:highlight w:val="none"/>
          <w:lang w:val="zh-CN"/>
        </w:rPr>
      </w:pPr>
    </w:p>
    <w:p w14:paraId="2A56A20C">
      <w:pPr>
        <w:rPr>
          <w:rFonts w:hint="eastAsia"/>
          <w:color w:val="auto"/>
          <w:highlight w:val="none"/>
          <w:lang w:val="zh-CN"/>
        </w:rPr>
      </w:pPr>
    </w:p>
    <w:p w14:paraId="5BED6936">
      <w:pPr>
        <w:rPr>
          <w:rFonts w:hint="eastAsia" w:asciiTheme="minorEastAsia" w:hAnsiTheme="minorEastAsia" w:eastAsiaTheme="minorEastAsia" w:cstheme="minorEastAsia"/>
          <w:bCs w:val="0"/>
          <w:color w:val="auto"/>
          <w:sz w:val="21"/>
          <w:szCs w:val="21"/>
          <w:highlight w:val="none"/>
          <w:lang w:val="zh-CN" w:bidi="zh-CN"/>
        </w:rPr>
      </w:pPr>
    </w:p>
    <w:p w14:paraId="257B9F89">
      <w:pPr>
        <w:rPr>
          <w:rFonts w:hint="eastAsia" w:asciiTheme="minorEastAsia" w:hAnsiTheme="minorEastAsia" w:eastAsiaTheme="minorEastAsia" w:cstheme="minorEastAsia"/>
          <w:bCs w:val="0"/>
          <w:color w:val="auto"/>
          <w:sz w:val="21"/>
          <w:szCs w:val="21"/>
          <w:highlight w:val="none"/>
          <w:lang w:val="zh-CN" w:bidi="zh-CN"/>
        </w:rPr>
      </w:pPr>
    </w:p>
    <w:p w14:paraId="66EA90D4">
      <w:pPr>
        <w:rPr>
          <w:rFonts w:hint="eastAsia" w:asciiTheme="minorEastAsia" w:hAnsiTheme="minorEastAsia" w:eastAsiaTheme="minorEastAsia" w:cstheme="minorEastAsia"/>
          <w:bCs w:val="0"/>
          <w:color w:val="auto"/>
          <w:sz w:val="21"/>
          <w:szCs w:val="21"/>
          <w:highlight w:val="none"/>
          <w:lang w:val="zh-CN" w:bidi="zh-CN"/>
        </w:rPr>
      </w:pPr>
    </w:p>
    <w:p w14:paraId="7B6F6CF9">
      <w:pPr>
        <w:rPr>
          <w:rFonts w:hint="eastAsia" w:asciiTheme="minorEastAsia" w:hAnsiTheme="minorEastAsia" w:eastAsiaTheme="minorEastAsia" w:cstheme="minorEastAsia"/>
          <w:bCs w:val="0"/>
          <w:color w:val="auto"/>
          <w:sz w:val="21"/>
          <w:szCs w:val="21"/>
          <w:highlight w:val="none"/>
          <w:lang w:val="zh-CN" w:bidi="zh-CN"/>
        </w:rPr>
      </w:pPr>
    </w:p>
    <w:p w14:paraId="7E6448FE">
      <w:pPr>
        <w:rPr>
          <w:rFonts w:hint="eastAsia" w:asciiTheme="minorEastAsia" w:hAnsiTheme="minorEastAsia" w:eastAsiaTheme="minorEastAsia" w:cstheme="minorEastAsia"/>
          <w:bCs w:val="0"/>
          <w:color w:val="auto"/>
          <w:sz w:val="21"/>
          <w:szCs w:val="21"/>
          <w:highlight w:val="none"/>
          <w:lang w:val="zh-CN" w:bidi="zh-CN"/>
        </w:rPr>
      </w:pPr>
    </w:p>
    <w:p w14:paraId="257113D4">
      <w:pPr>
        <w:rPr>
          <w:rFonts w:hint="eastAsia" w:asciiTheme="minorEastAsia" w:hAnsiTheme="minorEastAsia" w:eastAsiaTheme="minorEastAsia" w:cstheme="minorEastAsia"/>
          <w:bCs w:val="0"/>
          <w:color w:val="auto"/>
          <w:sz w:val="21"/>
          <w:szCs w:val="21"/>
          <w:highlight w:val="none"/>
          <w:lang w:val="zh-CN" w:bidi="zh-CN"/>
        </w:rPr>
      </w:pPr>
    </w:p>
    <w:p w14:paraId="613E9ACA">
      <w:pPr>
        <w:rPr>
          <w:rFonts w:hint="eastAsia" w:asciiTheme="minorEastAsia" w:hAnsiTheme="minorEastAsia" w:eastAsiaTheme="minorEastAsia" w:cstheme="minorEastAsia"/>
          <w:bCs w:val="0"/>
          <w:color w:val="auto"/>
          <w:sz w:val="21"/>
          <w:szCs w:val="21"/>
          <w:highlight w:val="none"/>
          <w:lang w:val="zh-CN" w:bidi="zh-CN"/>
        </w:rPr>
      </w:pPr>
    </w:p>
    <w:p w14:paraId="1ABCA2B7">
      <w:pPr>
        <w:rPr>
          <w:rFonts w:hint="eastAsia" w:asciiTheme="minorEastAsia" w:hAnsiTheme="minorEastAsia" w:eastAsiaTheme="minorEastAsia" w:cstheme="minorEastAsia"/>
          <w:bCs w:val="0"/>
          <w:color w:val="auto"/>
          <w:sz w:val="21"/>
          <w:szCs w:val="21"/>
          <w:highlight w:val="none"/>
          <w:lang w:val="zh-CN" w:bidi="zh-CN"/>
        </w:rPr>
      </w:pPr>
    </w:p>
    <w:p w14:paraId="382DC9F6">
      <w:pPr>
        <w:rPr>
          <w:rFonts w:hint="eastAsia" w:asciiTheme="minorEastAsia" w:hAnsiTheme="minorEastAsia" w:eastAsiaTheme="minorEastAsia" w:cstheme="minorEastAsia"/>
          <w:bCs w:val="0"/>
          <w:color w:val="auto"/>
          <w:sz w:val="21"/>
          <w:szCs w:val="21"/>
          <w:highlight w:val="none"/>
          <w:lang w:val="zh-CN" w:bidi="zh-CN"/>
        </w:rPr>
      </w:pPr>
    </w:p>
    <w:p w14:paraId="2B92048E">
      <w:pPr>
        <w:pageBreakBefore w:val="0"/>
        <w:overflowPunct/>
        <w:topLinePunct w:val="0"/>
        <w:bidi w:val="0"/>
        <w:spacing w:line="360" w:lineRule="auto"/>
        <w:ind w:firstLine="600"/>
        <w:rPr>
          <w:rFonts w:hint="eastAsia" w:asciiTheme="minorEastAsia" w:hAnsiTheme="minorEastAsia" w:eastAsiaTheme="minorEastAsia" w:cstheme="minorEastAsia"/>
          <w:b/>
          <w:color w:val="auto"/>
          <w:sz w:val="21"/>
          <w:szCs w:val="21"/>
          <w:highlight w:val="none"/>
          <w:lang w:val="zh-CN" w:bidi="zh-CN"/>
        </w:rPr>
      </w:pPr>
    </w:p>
    <w:p w14:paraId="703BB52C">
      <w:pPr>
        <w:pageBreakBefore w:val="0"/>
        <w:overflowPunct/>
        <w:topLinePunct w:val="0"/>
        <w:bidi w:val="0"/>
        <w:spacing w:line="240" w:lineRule="auto"/>
        <w:ind w:firstLine="0"/>
        <w:rPr>
          <w:rFonts w:hint="eastAsia" w:asciiTheme="minorEastAsia" w:hAnsiTheme="minorEastAsia" w:eastAsiaTheme="minorEastAsia" w:cstheme="minorEastAsia"/>
          <w:b/>
          <w:color w:val="auto"/>
          <w:sz w:val="21"/>
          <w:szCs w:val="21"/>
          <w:highlight w:val="none"/>
          <w:lang w:val="zh-CN" w:bidi="zh-CN"/>
        </w:rPr>
      </w:pPr>
      <w:r>
        <w:rPr>
          <w:rFonts w:hint="eastAsia" w:asciiTheme="minorEastAsia" w:hAnsiTheme="minorEastAsia" w:eastAsiaTheme="minorEastAsia" w:cstheme="minorEastAsia"/>
          <w:b/>
          <w:color w:val="auto"/>
          <w:sz w:val="21"/>
          <w:szCs w:val="21"/>
          <w:highlight w:val="none"/>
          <w:lang w:val="zh-CN" w:bidi="zh-CN"/>
        </w:rPr>
        <w:br w:type="page"/>
      </w:r>
    </w:p>
    <w:p w14:paraId="43951049">
      <w:pPr>
        <w:pStyle w:val="6"/>
        <w:pageBreakBefore w:val="0"/>
        <w:overflowPunct/>
        <w:topLinePunct w:val="0"/>
        <w:bidi w:val="0"/>
        <w:spacing w:before="42" w:line="360" w:lineRule="auto"/>
        <w:ind w:left="419" w:right="436" w:firstLine="602"/>
        <w:jc w:val="center"/>
        <w:rPr>
          <w:rFonts w:hint="eastAsia" w:asciiTheme="minorEastAsia" w:hAnsiTheme="minorEastAsia" w:eastAsiaTheme="minorEastAsia" w:cstheme="minorEastAsia"/>
          <w:bCs w:val="0"/>
          <w:color w:val="auto"/>
          <w:sz w:val="28"/>
          <w:szCs w:val="28"/>
          <w:highlight w:val="none"/>
          <w:lang w:val="zh-CN" w:bidi="zh-CN"/>
        </w:rPr>
      </w:pPr>
      <w:r>
        <w:rPr>
          <w:rFonts w:hint="eastAsia" w:asciiTheme="minorEastAsia" w:hAnsiTheme="minorEastAsia" w:eastAsiaTheme="minorEastAsia" w:cstheme="minorEastAsia"/>
          <w:bCs w:val="0"/>
          <w:color w:val="auto"/>
          <w:sz w:val="28"/>
          <w:szCs w:val="28"/>
          <w:highlight w:val="none"/>
          <w:lang w:val="zh-CN" w:bidi="zh-CN"/>
        </w:rPr>
        <w:t>三、法定代表人授权委托书</w:t>
      </w:r>
    </w:p>
    <w:p w14:paraId="504A01F4">
      <w:pPr>
        <w:pageBreakBefore w:val="0"/>
        <w:tabs>
          <w:tab w:val="left" w:pos="1680"/>
          <w:tab w:val="left" w:pos="3580"/>
          <w:tab w:val="left" w:pos="4100"/>
          <w:tab w:val="left" w:pos="8000"/>
        </w:tabs>
        <w:overflowPunct/>
        <w:topLinePunct w:val="0"/>
        <w:autoSpaceDE w:val="0"/>
        <w:autoSpaceDN w:val="0"/>
        <w:bidi w:val="0"/>
        <w:adjustRightInd w:val="0"/>
        <w:spacing w:line="360" w:lineRule="auto"/>
        <w:ind w:left="120" w:right="84" w:firstLine="482"/>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本人</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rPr>
        <w:tab/>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rPr>
        <w:t>（姓名）系</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rPr>
        <w:tab/>
      </w:r>
      <w:r>
        <w:rPr>
          <w:rFonts w:hint="eastAsia" w:asciiTheme="minorEastAsia" w:hAnsiTheme="minorEastAsia" w:eastAsiaTheme="minorEastAsia" w:cstheme="minorEastAsia"/>
          <w:color w:val="auto"/>
          <w:kern w:val="0"/>
          <w:sz w:val="21"/>
          <w:szCs w:val="21"/>
          <w:highlight w:val="none"/>
        </w:rPr>
        <w:t>（供应商名称）的法定代表人，现委托</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rPr>
        <w:tab/>
      </w:r>
      <w:r>
        <w:rPr>
          <w:rFonts w:hint="eastAsia" w:asciiTheme="minorEastAsia" w:hAnsiTheme="minorEastAsia" w:eastAsiaTheme="minorEastAsia" w:cstheme="minorEastAsia"/>
          <w:color w:val="auto"/>
          <w:kern w:val="0"/>
          <w:sz w:val="21"/>
          <w:szCs w:val="21"/>
          <w:highlight w:val="none"/>
        </w:rPr>
        <w:t>（姓名）为我方代理人。代理人根据授权，以我方名义签署、澄清、说明、补正、递交、撤回、 修改</w:t>
      </w:r>
      <w:r>
        <w:rPr>
          <w:rFonts w:hint="eastAsia" w:asciiTheme="minorEastAsia" w:hAnsiTheme="minorEastAsia" w:eastAsiaTheme="minorEastAsia" w:cstheme="minorEastAsia"/>
          <w:color w:val="auto"/>
          <w:kern w:val="0"/>
          <w:sz w:val="21"/>
          <w:szCs w:val="21"/>
          <w:highlight w:val="none"/>
          <w:u w:val="single"/>
        </w:rPr>
        <w:t xml:space="preserve">        （项目名称）</w:t>
      </w:r>
      <w:r>
        <w:rPr>
          <w:rFonts w:hint="eastAsia" w:asciiTheme="minorEastAsia" w:hAnsiTheme="minorEastAsia" w:eastAsiaTheme="minorEastAsia" w:cstheme="minorEastAsia"/>
          <w:color w:val="auto"/>
          <w:kern w:val="0"/>
          <w:sz w:val="21"/>
          <w:szCs w:val="21"/>
          <w:highlight w:val="none"/>
        </w:rPr>
        <w:t>响应文件、签订合同和处理有关事宜，其法律后果由我方承担。</w:t>
      </w:r>
    </w:p>
    <w:p w14:paraId="38708DEA">
      <w:pPr>
        <w:pageBreakBefore w:val="0"/>
        <w:tabs>
          <w:tab w:val="left" w:pos="8931"/>
        </w:tabs>
        <w:overflowPunct/>
        <w:topLinePunct w:val="0"/>
        <w:autoSpaceDE w:val="0"/>
        <w:autoSpaceDN w:val="0"/>
        <w:bidi w:val="0"/>
        <w:adjustRightInd w:val="0"/>
        <w:spacing w:line="360" w:lineRule="auto"/>
        <w:ind w:right="5352" w:firstLine="420" w:firstLineChars="200"/>
        <w:jc w:val="left"/>
        <w:rPr>
          <w:rFonts w:hint="eastAsia" w:asciiTheme="minorEastAsia" w:hAnsiTheme="minorEastAsia" w:eastAsiaTheme="minorEastAsia" w:cstheme="minorEastAsia"/>
          <w:color w:val="auto"/>
          <w:kern w:val="0"/>
          <w:sz w:val="21"/>
          <w:szCs w:val="21"/>
          <w:highlight w:val="none"/>
          <w:u w:val="single"/>
        </w:rPr>
      </w:pPr>
      <w:r>
        <w:rPr>
          <w:rFonts w:hint="eastAsia" w:asciiTheme="minorEastAsia" w:hAnsiTheme="minorEastAsia" w:eastAsiaTheme="minorEastAsia" w:cstheme="minorEastAsia"/>
          <w:color w:val="auto"/>
          <w:kern w:val="0"/>
          <w:sz w:val="21"/>
          <w:szCs w:val="21"/>
          <w:highlight w:val="none"/>
        </w:rPr>
        <w:t>委托期限：</w:t>
      </w:r>
      <w:r>
        <w:rPr>
          <w:rFonts w:hint="eastAsia" w:asciiTheme="minorEastAsia" w:hAnsiTheme="minorEastAsia" w:eastAsiaTheme="minorEastAsia" w:cstheme="minorEastAsia"/>
          <w:color w:val="auto"/>
          <w:kern w:val="0"/>
          <w:sz w:val="21"/>
          <w:szCs w:val="21"/>
          <w:highlight w:val="none"/>
          <w:u w:val="single"/>
        </w:rPr>
        <w:t xml:space="preserve">                   </w:t>
      </w:r>
    </w:p>
    <w:p w14:paraId="11B28EB0">
      <w:pPr>
        <w:pageBreakBefore w:val="0"/>
        <w:tabs>
          <w:tab w:val="left" w:pos="2940"/>
        </w:tabs>
        <w:overflowPunct/>
        <w:topLinePunct w:val="0"/>
        <w:autoSpaceDE w:val="0"/>
        <w:autoSpaceDN w:val="0"/>
        <w:bidi w:val="0"/>
        <w:adjustRightInd w:val="0"/>
        <w:spacing w:line="360" w:lineRule="auto"/>
        <w:ind w:right="5352"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代理人无转委托权。 </w:t>
      </w:r>
    </w:p>
    <w:p w14:paraId="46DFD76D">
      <w:pPr>
        <w:pageBreakBefore w:val="0"/>
        <w:overflowPunct/>
        <w:topLinePunct w:val="0"/>
        <w:autoSpaceDE w:val="0"/>
        <w:autoSpaceDN w:val="0"/>
        <w:bidi w:val="0"/>
        <w:adjustRightInd w:val="0"/>
        <w:spacing w:line="360" w:lineRule="auto"/>
        <w:ind w:right="567"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附：法定代表人身份证及委托代理人身份证</w:t>
      </w:r>
    </w:p>
    <w:p w14:paraId="6A8C73D5">
      <w:pPr>
        <w:pageBreakBefore w:val="0"/>
        <w:tabs>
          <w:tab w:val="left" w:pos="4440"/>
          <w:tab w:val="left" w:pos="4620"/>
        </w:tabs>
        <w:overflowPunct/>
        <w:topLinePunct w:val="0"/>
        <w:autoSpaceDE w:val="0"/>
        <w:autoSpaceDN w:val="0"/>
        <w:bidi w:val="0"/>
        <w:adjustRightInd w:val="0"/>
        <w:spacing w:line="360" w:lineRule="auto"/>
        <w:ind w:left="2835" w:firstLine="482"/>
        <w:jc w:val="left"/>
        <w:rPr>
          <w:rFonts w:hint="eastAsia" w:asciiTheme="minorEastAsia" w:hAnsiTheme="minorEastAsia" w:eastAsiaTheme="minorEastAsia" w:cstheme="minorEastAsia"/>
          <w:color w:val="auto"/>
          <w:kern w:val="0"/>
          <w:sz w:val="21"/>
          <w:szCs w:val="21"/>
          <w:highlight w:val="none"/>
        </w:rPr>
      </w:pPr>
    </w:p>
    <w:p w14:paraId="43E1EAB9">
      <w:pPr>
        <w:pageBreakBefore w:val="0"/>
        <w:tabs>
          <w:tab w:val="left" w:pos="4440"/>
          <w:tab w:val="left" w:pos="4620"/>
        </w:tabs>
        <w:overflowPunct/>
        <w:topLinePunct w:val="0"/>
        <w:autoSpaceDE w:val="0"/>
        <w:autoSpaceDN w:val="0"/>
        <w:bidi w:val="0"/>
        <w:adjustRightInd w:val="0"/>
        <w:spacing w:line="360" w:lineRule="auto"/>
        <w:ind w:left="2835" w:firstLine="482"/>
        <w:jc w:val="left"/>
        <w:rPr>
          <w:rFonts w:hint="eastAsia" w:asciiTheme="minorEastAsia" w:hAnsiTheme="minorEastAsia" w:eastAsiaTheme="minorEastAsia" w:cstheme="minorEastAsia"/>
          <w:color w:val="auto"/>
          <w:kern w:val="0"/>
          <w:sz w:val="21"/>
          <w:szCs w:val="21"/>
          <w:highlight w:val="none"/>
        </w:rPr>
      </w:pPr>
    </w:p>
    <w:p w14:paraId="1D2A5555">
      <w:pPr>
        <w:pageBreakBefore w:val="0"/>
        <w:tabs>
          <w:tab w:val="left" w:pos="4440"/>
          <w:tab w:val="left" w:pos="4620"/>
        </w:tabs>
        <w:overflowPunct/>
        <w:topLinePunct w:val="0"/>
        <w:autoSpaceDE w:val="0"/>
        <w:autoSpaceDN w:val="0"/>
        <w:bidi w:val="0"/>
        <w:adjustRightInd w:val="0"/>
        <w:spacing w:line="360" w:lineRule="auto"/>
        <w:ind w:left="2835" w:firstLine="482"/>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供应商：</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rPr>
        <w:t>（盖企业电子章）</w:t>
      </w:r>
    </w:p>
    <w:p w14:paraId="773ED38E">
      <w:pPr>
        <w:pageBreakBefore w:val="0"/>
        <w:tabs>
          <w:tab w:val="left" w:pos="4860"/>
          <w:tab w:val="left" w:pos="4920"/>
        </w:tabs>
        <w:overflowPunct/>
        <w:topLinePunct w:val="0"/>
        <w:autoSpaceDE w:val="0"/>
        <w:autoSpaceDN w:val="0"/>
        <w:bidi w:val="0"/>
        <w:adjustRightInd w:val="0"/>
        <w:spacing w:line="360" w:lineRule="auto"/>
        <w:ind w:left="2835" w:firstLine="482"/>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法定代表人：</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rPr>
        <w:t>（签字或盖章或电子签章）</w:t>
      </w:r>
    </w:p>
    <w:p w14:paraId="15D7A308">
      <w:pPr>
        <w:pageBreakBefore w:val="0"/>
        <w:tabs>
          <w:tab w:val="left" w:pos="5865"/>
        </w:tabs>
        <w:overflowPunct/>
        <w:topLinePunct w:val="0"/>
        <w:autoSpaceDE w:val="0"/>
        <w:autoSpaceDN w:val="0"/>
        <w:bidi w:val="0"/>
        <w:adjustRightInd w:val="0"/>
        <w:spacing w:line="360" w:lineRule="auto"/>
        <w:ind w:left="2835" w:firstLine="482"/>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身份证号码：</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rPr>
        <w:tab/>
      </w:r>
    </w:p>
    <w:p w14:paraId="49C0FF3B">
      <w:pPr>
        <w:pageBreakBefore w:val="0"/>
        <w:tabs>
          <w:tab w:val="left" w:pos="5040"/>
        </w:tabs>
        <w:overflowPunct/>
        <w:topLinePunct w:val="0"/>
        <w:autoSpaceDE w:val="0"/>
        <w:autoSpaceDN w:val="0"/>
        <w:bidi w:val="0"/>
        <w:adjustRightInd w:val="0"/>
        <w:spacing w:line="360" w:lineRule="auto"/>
        <w:ind w:left="2835" w:firstLine="482"/>
        <w:jc w:val="left"/>
        <w:rPr>
          <w:rFonts w:hint="eastAsia" w:asciiTheme="minorEastAsia" w:hAnsiTheme="minorEastAsia" w:eastAsiaTheme="minorEastAsia" w:cstheme="minorEastAsia"/>
          <w:color w:val="auto"/>
          <w:kern w:val="0"/>
          <w:sz w:val="21"/>
          <w:szCs w:val="21"/>
          <w:highlight w:val="none"/>
          <w:u w:val="none"/>
        </w:rPr>
      </w:pPr>
      <w:r>
        <w:rPr>
          <w:rFonts w:hint="eastAsia" w:asciiTheme="minorEastAsia" w:hAnsiTheme="minorEastAsia" w:eastAsiaTheme="minorEastAsia" w:cstheme="minorEastAsia"/>
          <w:color w:val="auto"/>
          <w:kern w:val="0"/>
          <w:sz w:val="21"/>
          <w:szCs w:val="21"/>
          <w:highlight w:val="none"/>
        </w:rPr>
        <w:t>委托代理人：</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none"/>
        </w:rPr>
        <w:t>（签字或盖章或电子签章）</w:t>
      </w:r>
    </w:p>
    <w:p w14:paraId="1B75844C">
      <w:pPr>
        <w:pageBreakBefore w:val="0"/>
        <w:tabs>
          <w:tab w:val="left" w:pos="7995"/>
        </w:tabs>
        <w:overflowPunct/>
        <w:topLinePunct w:val="0"/>
        <w:autoSpaceDE w:val="0"/>
        <w:autoSpaceDN w:val="0"/>
        <w:bidi w:val="0"/>
        <w:adjustRightInd w:val="0"/>
        <w:spacing w:line="360" w:lineRule="auto"/>
        <w:ind w:left="2835" w:firstLine="482"/>
        <w:jc w:val="left"/>
        <w:rPr>
          <w:rFonts w:hint="eastAsia" w:asciiTheme="minorEastAsia" w:hAnsiTheme="minorEastAsia" w:eastAsiaTheme="minorEastAsia" w:cstheme="minorEastAsia"/>
          <w:color w:val="auto"/>
          <w:kern w:val="0"/>
          <w:sz w:val="21"/>
          <w:szCs w:val="21"/>
          <w:highlight w:val="none"/>
          <w:u w:val="single"/>
        </w:rPr>
      </w:pPr>
      <w:r>
        <w:rPr>
          <w:rFonts w:hint="eastAsia" w:asciiTheme="minorEastAsia" w:hAnsiTheme="minorEastAsia" w:eastAsiaTheme="minorEastAsia" w:cstheme="minorEastAsia"/>
          <w:color w:val="auto"/>
          <w:kern w:val="0"/>
          <w:sz w:val="21"/>
          <w:szCs w:val="21"/>
          <w:highlight w:val="none"/>
        </w:rPr>
        <w:t>身份证号码：</w:t>
      </w:r>
      <w:r>
        <w:rPr>
          <w:rFonts w:hint="eastAsia" w:asciiTheme="minorEastAsia" w:hAnsiTheme="minorEastAsia" w:eastAsiaTheme="minorEastAsia" w:cstheme="minorEastAsia"/>
          <w:color w:val="auto"/>
          <w:kern w:val="0"/>
          <w:sz w:val="21"/>
          <w:szCs w:val="21"/>
          <w:highlight w:val="none"/>
          <w:u w:val="single"/>
        </w:rPr>
        <w:t xml:space="preserve">                             </w:t>
      </w:r>
    </w:p>
    <w:p w14:paraId="5931EC83">
      <w:pPr>
        <w:pageBreakBefore w:val="0"/>
        <w:tabs>
          <w:tab w:val="left" w:pos="7995"/>
        </w:tabs>
        <w:overflowPunct/>
        <w:topLinePunct w:val="0"/>
        <w:autoSpaceDE w:val="0"/>
        <w:autoSpaceDN w:val="0"/>
        <w:bidi w:val="0"/>
        <w:adjustRightInd w:val="0"/>
        <w:spacing w:line="360" w:lineRule="auto"/>
        <w:ind w:left="2835" w:firstLine="482"/>
        <w:jc w:val="left"/>
        <w:rPr>
          <w:rFonts w:hint="default" w:asciiTheme="minorEastAsia" w:hAnsiTheme="minorEastAsia" w:eastAsiaTheme="minorEastAsia" w:cstheme="minorEastAsia"/>
          <w:color w:val="auto"/>
          <w:kern w:val="0"/>
          <w:sz w:val="21"/>
          <w:szCs w:val="21"/>
          <w:highlight w:val="none"/>
          <w:u w:val="none"/>
          <w:lang w:val="en-US" w:eastAsia="zh-CN"/>
        </w:rPr>
      </w:pPr>
      <w:r>
        <w:rPr>
          <w:rFonts w:hint="eastAsia" w:asciiTheme="minorEastAsia" w:hAnsiTheme="minorEastAsia" w:eastAsiaTheme="minorEastAsia" w:cstheme="minorEastAsia"/>
          <w:color w:val="auto"/>
          <w:kern w:val="0"/>
          <w:sz w:val="21"/>
          <w:szCs w:val="21"/>
          <w:highlight w:val="none"/>
          <w:u w:val="none"/>
          <w:lang w:val="en-US" w:eastAsia="zh-CN"/>
        </w:rPr>
        <w:t>移动电话：</w:t>
      </w:r>
      <w:r>
        <w:rPr>
          <w:rFonts w:hint="eastAsia" w:asciiTheme="minorEastAsia" w:hAnsiTheme="minorEastAsia" w:eastAsiaTheme="minorEastAsia" w:cstheme="minorEastAsia"/>
          <w:color w:val="auto"/>
          <w:kern w:val="0"/>
          <w:sz w:val="21"/>
          <w:szCs w:val="21"/>
          <w:highlight w:val="none"/>
          <w:u w:val="single"/>
          <w:lang w:val="en-US" w:eastAsia="zh-CN"/>
        </w:rPr>
        <w:t xml:space="preserve">                               </w:t>
      </w:r>
    </w:p>
    <w:p w14:paraId="685B6E54">
      <w:pPr>
        <w:pageBreakBefore w:val="0"/>
        <w:overflowPunct/>
        <w:topLinePunct w:val="0"/>
        <w:autoSpaceDE w:val="0"/>
        <w:autoSpaceDN w:val="0"/>
        <w:bidi w:val="0"/>
        <w:adjustRightInd w:val="0"/>
        <w:spacing w:before="14" w:line="360" w:lineRule="auto"/>
        <w:ind w:firstLine="482"/>
        <w:jc w:val="right"/>
        <w:rPr>
          <w:rFonts w:hint="eastAsia" w:asciiTheme="minorEastAsia" w:hAnsiTheme="minorEastAsia" w:eastAsiaTheme="minorEastAsia" w:cstheme="minorEastAsia"/>
          <w:color w:val="auto"/>
          <w:kern w:val="0"/>
          <w:sz w:val="21"/>
          <w:szCs w:val="21"/>
          <w:highlight w:val="none"/>
        </w:rPr>
      </w:pPr>
    </w:p>
    <w:p w14:paraId="72BCA62D">
      <w:pPr>
        <w:pageBreakBefore w:val="0"/>
        <w:overflowPunct/>
        <w:topLinePunct w:val="0"/>
        <w:autoSpaceDE w:val="0"/>
        <w:autoSpaceDN w:val="0"/>
        <w:bidi w:val="0"/>
        <w:adjustRightInd w:val="0"/>
        <w:spacing w:before="14" w:line="360" w:lineRule="auto"/>
        <w:ind w:firstLine="482"/>
        <w:jc w:val="righ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rPr>
        <w:tab/>
      </w:r>
      <w:r>
        <w:rPr>
          <w:rFonts w:hint="eastAsia" w:asciiTheme="minorEastAsia" w:hAnsiTheme="minorEastAsia" w:eastAsiaTheme="minorEastAsia" w:cstheme="minorEastAsia"/>
          <w:color w:val="auto"/>
          <w:kern w:val="0"/>
          <w:sz w:val="21"/>
          <w:szCs w:val="21"/>
          <w:highlight w:val="none"/>
        </w:rPr>
        <w:t>年</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rPr>
        <w:tab/>
      </w:r>
      <w:r>
        <w:rPr>
          <w:rFonts w:hint="eastAsia" w:asciiTheme="minorEastAsia" w:hAnsiTheme="minorEastAsia" w:eastAsiaTheme="minorEastAsia" w:cstheme="minorEastAsia"/>
          <w:color w:val="auto"/>
          <w:kern w:val="0"/>
          <w:sz w:val="21"/>
          <w:szCs w:val="21"/>
          <w:highlight w:val="none"/>
        </w:rPr>
        <w:t>月</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rPr>
        <w:tab/>
      </w:r>
      <w:r>
        <w:rPr>
          <w:rFonts w:hint="eastAsia" w:asciiTheme="minorEastAsia" w:hAnsiTheme="minorEastAsia" w:eastAsiaTheme="minorEastAsia" w:cstheme="minorEastAsia"/>
          <w:color w:val="auto"/>
          <w:kern w:val="0"/>
          <w:sz w:val="21"/>
          <w:szCs w:val="21"/>
          <w:highlight w:val="none"/>
        </w:rPr>
        <w:t>日</w:t>
      </w:r>
    </w:p>
    <w:p w14:paraId="0AAD4B3F">
      <w:pPr>
        <w:pageBreakBefore w:val="0"/>
        <w:widowControl/>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lang w:val="zh-CN" w:bidi="zh-CN"/>
        </w:rPr>
      </w:pPr>
    </w:p>
    <w:p w14:paraId="4CB9936A">
      <w:pPr>
        <w:pStyle w:val="11"/>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lang w:val="zh-CN" w:bidi="zh-CN"/>
        </w:rPr>
      </w:pPr>
    </w:p>
    <w:p w14:paraId="0B443B2E">
      <w:pPr>
        <w:pStyle w:val="11"/>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lang w:val="zh-CN" w:bidi="zh-CN"/>
        </w:rPr>
      </w:pPr>
    </w:p>
    <w:p w14:paraId="6D84BA6D">
      <w:pPr>
        <w:pStyle w:val="231"/>
        <w:pageBreakBefore w:val="0"/>
        <w:overflowPunct/>
        <w:topLinePunct w:val="0"/>
        <w:bidi w:val="0"/>
        <w:spacing w:line="360" w:lineRule="auto"/>
        <w:ind w:left="2670" w:firstLine="0" w:firstLineChars="0"/>
        <w:rPr>
          <w:rFonts w:hint="eastAsia" w:asciiTheme="minorEastAsia" w:hAnsiTheme="minorEastAsia" w:eastAsiaTheme="minorEastAsia" w:cstheme="minorEastAsia"/>
          <w:b/>
          <w:color w:val="auto"/>
          <w:sz w:val="21"/>
          <w:szCs w:val="21"/>
          <w:highlight w:val="none"/>
        </w:rPr>
      </w:pPr>
    </w:p>
    <w:p w14:paraId="50052666">
      <w:pPr>
        <w:pStyle w:val="231"/>
        <w:pageBreakBefore w:val="0"/>
        <w:overflowPunct/>
        <w:topLinePunct w:val="0"/>
        <w:bidi w:val="0"/>
        <w:spacing w:line="360" w:lineRule="auto"/>
        <w:ind w:left="2670" w:firstLine="0" w:firstLineChars="0"/>
        <w:rPr>
          <w:rFonts w:hint="eastAsia" w:asciiTheme="minorEastAsia" w:hAnsiTheme="minorEastAsia" w:eastAsiaTheme="minorEastAsia" w:cstheme="minorEastAsia"/>
          <w:b/>
          <w:color w:val="auto"/>
          <w:sz w:val="21"/>
          <w:szCs w:val="21"/>
          <w:highlight w:val="none"/>
        </w:rPr>
      </w:pPr>
    </w:p>
    <w:p w14:paraId="132B2679">
      <w:pPr>
        <w:rPr>
          <w:rFonts w:hint="eastAsia"/>
          <w:color w:val="auto"/>
          <w:highlight w:val="none"/>
        </w:rPr>
      </w:pPr>
    </w:p>
    <w:p w14:paraId="56B3092A">
      <w:pPr>
        <w:rPr>
          <w:rFonts w:hint="eastAsia"/>
          <w:color w:val="auto"/>
          <w:highlight w:val="none"/>
        </w:rPr>
      </w:pPr>
    </w:p>
    <w:p w14:paraId="13573605">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30DA27F6">
      <w:pPr>
        <w:pStyle w:val="16"/>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p w14:paraId="7F56129C">
      <w:pPr>
        <w:bidi w:val="0"/>
        <w:rPr>
          <w:rFonts w:hint="eastAsia"/>
          <w:color w:val="auto"/>
          <w:highlight w:val="none"/>
        </w:rPr>
      </w:pPr>
    </w:p>
    <w:p w14:paraId="2D06F9C9">
      <w:pPr>
        <w:bidi w:val="0"/>
        <w:rPr>
          <w:rFonts w:hint="eastAsia"/>
          <w:color w:val="auto"/>
          <w:highlight w:val="none"/>
        </w:rPr>
      </w:pPr>
    </w:p>
    <w:p w14:paraId="2295D387">
      <w:pPr>
        <w:bidi w:val="0"/>
        <w:rPr>
          <w:rFonts w:hint="eastAsia"/>
          <w:color w:val="auto"/>
          <w:highlight w:val="none"/>
        </w:rPr>
      </w:pPr>
    </w:p>
    <w:p w14:paraId="07F52D6A">
      <w:pPr>
        <w:bidi w:val="0"/>
        <w:rPr>
          <w:rFonts w:hint="eastAsia"/>
          <w:color w:val="auto"/>
          <w:highlight w:val="none"/>
        </w:rPr>
      </w:pPr>
    </w:p>
    <w:p w14:paraId="30F9CFDB">
      <w:pPr>
        <w:rPr>
          <w:rFonts w:hint="eastAsia"/>
          <w:color w:val="auto"/>
          <w:highlight w:val="none"/>
        </w:rPr>
      </w:pPr>
    </w:p>
    <w:p w14:paraId="252C45E0">
      <w:pPr>
        <w:pStyle w:val="11"/>
        <w:pageBreakBefore w:val="0"/>
        <w:overflowPunct/>
        <w:topLinePunct w:val="0"/>
        <w:bidi w:val="0"/>
        <w:spacing w:line="360" w:lineRule="auto"/>
        <w:ind w:firstLine="600"/>
        <w:rPr>
          <w:rFonts w:hint="eastAsia" w:asciiTheme="minorEastAsia" w:hAnsiTheme="minorEastAsia" w:eastAsiaTheme="minorEastAsia" w:cstheme="minorEastAsia"/>
          <w:b/>
          <w:color w:val="auto"/>
          <w:sz w:val="21"/>
          <w:szCs w:val="21"/>
          <w:highlight w:val="none"/>
          <w:lang w:bidi="zh-CN"/>
        </w:rPr>
      </w:pPr>
    </w:p>
    <w:p w14:paraId="67BA1C86">
      <w:pPr>
        <w:rPr>
          <w:rFonts w:hint="eastAsia" w:asciiTheme="minorEastAsia" w:hAnsiTheme="minorEastAsia" w:eastAsiaTheme="minorEastAsia" w:cstheme="minorEastAsia"/>
          <w:b/>
          <w:color w:val="auto"/>
          <w:sz w:val="21"/>
          <w:szCs w:val="21"/>
          <w:highlight w:val="none"/>
          <w:lang w:bidi="zh-CN"/>
        </w:rPr>
      </w:pPr>
      <w:r>
        <w:rPr>
          <w:rFonts w:hint="eastAsia" w:asciiTheme="minorEastAsia" w:hAnsiTheme="minorEastAsia" w:eastAsiaTheme="minorEastAsia" w:cstheme="minorEastAsia"/>
          <w:b/>
          <w:color w:val="auto"/>
          <w:sz w:val="21"/>
          <w:szCs w:val="21"/>
          <w:highlight w:val="none"/>
          <w:lang w:bidi="zh-CN"/>
        </w:rPr>
        <w:br w:type="page"/>
      </w:r>
    </w:p>
    <w:p w14:paraId="698DFB25">
      <w:pPr>
        <w:pStyle w:val="6"/>
        <w:pageBreakBefore w:val="0"/>
        <w:tabs>
          <w:tab w:val="left" w:pos="4311"/>
        </w:tabs>
        <w:overflowPunct/>
        <w:topLinePunct w:val="0"/>
        <w:bidi w:val="0"/>
        <w:spacing w:before="42" w:after="0" w:line="360" w:lineRule="auto"/>
        <w:ind w:right="20" w:firstLine="602"/>
        <w:jc w:val="center"/>
        <w:rPr>
          <w:rFonts w:hint="eastAsia" w:asciiTheme="minorEastAsia" w:hAnsiTheme="minorEastAsia" w:eastAsiaTheme="minorEastAsia" w:cstheme="minorEastAsia"/>
          <w:bCs w:val="0"/>
          <w:color w:val="auto"/>
          <w:sz w:val="28"/>
          <w:szCs w:val="28"/>
          <w:highlight w:val="none"/>
          <w:lang w:bidi="zh-CN"/>
        </w:rPr>
      </w:pPr>
      <w:r>
        <w:rPr>
          <w:rFonts w:hint="eastAsia" w:asciiTheme="minorEastAsia" w:hAnsiTheme="minorEastAsia" w:eastAsiaTheme="minorEastAsia" w:cstheme="minorEastAsia"/>
          <w:bCs w:val="0"/>
          <w:color w:val="auto"/>
          <w:sz w:val="28"/>
          <w:szCs w:val="28"/>
          <w:highlight w:val="none"/>
          <w:lang w:val="en-US" w:bidi="zh-CN"/>
        </w:rPr>
        <w:t>四</w:t>
      </w:r>
      <w:r>
        <w:rPr>
          <w:rFonts w:hint="eastAsia" w:asciiTheme="minorEastAsia" w:hAnsiTheme="minorEastAsia" w:eastAsiaTheme="minorEastAsia" w:cstheme="minorEastAsia"/>
          <w:bCs w:val="0"/>
          <w:color w:val="auto"/>
          <w:sz w:val="28"/>
          <w:szCs w:val="28"/>
          <w:highlight w:val="none"/>
          <w:lang w:bidi="zh-CN"/>
        </w:rPr>
        <w:t>、资格审查资料</w:t>
      </w:r>
    </w:p>
    <w:p w14:paraId="0491D955">
      <w:pPr>
        <w:bidi w:val="0"/>
        <w:rPr>
          <w:rFonts w:hint="eastAsia" w:asciiTheme="minorEastAsia" w:hAnsiTheme="minorEastAsia" w:eastAsiaTheme="minorEastAsia" w:cstheme="minorEastAsia"/>
          <w:b/>
          <w:bCs/>
          <w:color w:val="auto"/>
          <w:kern w:val="2"/>
          <w:sz w:val="21"/>
          <w:szCs w:val="21"/>
          <w:highlight w:val="none"/>
          <w:lang w:val="en-US" w:eastAsia="zh-CN" w:bidi="ar-SA"/>
        </w:rPr>
      </w:pPr>
    </w:p>
    <w:p w14:paraId="5F7B4DF8">
      <w:pPr>
        <w:pageBreakBefore w:val="0"/>
        <w:overflowPunct/>
        <w:topLinePunct w:val="0"/>
        <w:bidi w:val="0"/>
        <w:spacing w:line="360" w:lineRule="auto"/>
        <w:ind w:firstLine="420" w:firstLineChars="200"/>
        <w:rPr>
          <w:rFonts w:hint="eastAsia"/>
          <w:color w:val="auto"/>
          <w:highlight w:val="none"/>
        </w:rPr>
      </w:pPr>
      <w:r>
        <w:rPr>
          <w:rFonts w:hint="eastAsia"/>
          <w:color w:val="auto"/>
          <w:highlight w:val="none"/>
        </w:rPr>
        <w:t>1.供应商具有有效的营业执照或相关的证明文件。</w:t>
      </w:r>
    </w:p>
    <w:p w14:paraId="6DF24E67">
      <w:pPr>
        <w:pageBreakBefore w:val="0"/>
        <w:overflowPunct/>
        <w:topLinePunct w:val="0"/>
        <w:bidi w:val="0"/>
        <w:spacing w:line="360" w:lineRule="auto"/>
        <w:ind w:firstLine="420" w:firstLineChars="200"/>
        <w:rPr>
          <w:rFonts w:hint="eastAsia"/>
          <w:color w:val="auto"/>
          <w:highlight w:val="none"/>
          <w:lang w:val="en-US" w:eastAsia="zh-CN"/>
        </w:rPr>
      </w:pPr>
      <w:r>
        <w:rPr>
          <w:rFonts w:hint="eastAsia"/>
          <w:color w:val="auto"/>
          <w:highlight w:val="none"/>
          <w:lang w:val="en-US" w:eastAsia="zh-CN"/>
        </w:rPr>
        <w:t>2.响应产品须符合中华人民共和国国务院令第739号《医疗器械监督管理条例》相关规定，取得医疗器械注册证或医疗器械产品相关备案凭证；</w:t>
      </w:r>
    </w:p>
    <w:p w14:paraId="2621F6EA">
      <w:pPr>
        <w:pageBreakBefore w:val="0"/>
        <w:overflowPunct/>
        <w:topLinePunct w:val="0"/>
        <w:bidi w:val="0"/>
        <w:spacing w:line="360" w:lineRule="auto"/>
        <w:ind w:firstLine="420" w:firstLineChars="200"/>
        <w:rPr>
          <w:rFonts w:hint="eastAsia"/>
          <w:color w:val="auto"/>
          <w:highlight w:val="none"/>
          <w:lang w:val="en-US" w:eastAsia="zh-CN"/>
        </w:rPr>
      </w:pPr>
      <w:r>
        <w:rPr>
          <w:rFonts w:hint="eastAsia"/>
          <w:color w:val="auto"/>
          <w:highlight w:val="none"/>
          <w:lang w:val="en-US" w:eastAsia="zh-CN"/>
        </w:rPr>
        <w:t>3.①供应商为生产企业的应提供食品药品监督管理部门颁发的《医疗器械生产许可证》或在有效期内的《医疗器械生产企业许可证》；②供应商为代理商或经销商的应提供在有效期内的《医疗器械经营许可证》或《医疗器械经营备案凭证》；</w:t>
      </w:r>
    </w:p>
    <w:p w14:paraId="5DEE69CB">
      <w:pPr>
        <w:pageBreakBefore w:val="0"/>
        <w:overflowPunct/>
        <w:topLinePunct w:val="0"/>
        <w:bidi w:val="0"/>
        <w:spacing w:line="360" w:lineRule="auto"/>
        <w:ind w:firstLine="420" w:firstLineChars="200"/>
        <w:rPr>
          <w:rFonts w:hint="eastAsia"/>
          <w:color w:val="auto"/>
          <w:highlight w:val="none"/>
          <w:lang w:val="zh-CN" w:eastAsia="zh-CN"/>
        </w:rPr>
      </w:pPr>
      <w:r>
        <w:rPr>
          <w:rFonts w:hint="eastAsia"/>
          <w:color w:val="auto"/>
          <w:highlight w:val="none"/>
          <w:lang w:val="en-US" w:eastAsia="zh-CN"/>
        </w:rPr>
        <w:t>4</w:t>
      </w:r>
      <w:r>
        <w:rPr>
          <w:rFonts w:hint="eastAsia"/>
          <w:color w:val="auto"/>
          <w:highlight w:val="none"/>
          <w:lang w:val="zh-CN" w:eastAsia="zh-CN"/>
        </w:rPr>
        <w:t>.提供2024年度经审计的财务审计报告，成立年限不足一年的提供基本开户银行出具的资信证明。</w:t>
      </w:r>
    </w:p>
    <w:p w14:paraId="6A247875">
      <w:pPr>
        <w:pageBreakBefore w:val="0"/>
        <w:overflowPunct/>
        <w:topLinePunct w:val="0"/>
        <w:bidi w:val="0"/>
        <w:spacing w:line="360" w:lineRule="auto"/>
        <w:ind w:firstLine="420" w:firstLineChars="200"/>
        <w:rPr>
          <w:rFonts w:hint="eastAsia"/>
          <w:color w:val="auto"/>
          <w:highlight w:val="none"/>
        </w:rPr>
      </w:pPr>
      <w:r>
        <w:rPr>
          <w:rFonts w:hint="eastAsia"/>
          <w:color w:val="auto"/>
          <w:highlight w:val="none"/>
          <w:lang w:val="en-US" w:eastAsia="zh-CN"/>
        </w:rPr>
        <w:t>5</w:t>
      </w:r>
      <w:r>
        <w:rPr>
          <w:rFonts w:hint="eastAsia"/>
          <w:color w:val="auto"/>
          <w:highlight w:val="none"/>
        </w:rPr>
        <w:t>.提供</w:t>
      </w:r>
      <w:r>
        <w:rPr>
          <w:rFonts w:hint="eastAsia"/>
          <w:color w:val="auto"/>
          <w:highlight w:val="none"/>
          <w:lang w:val="en-US" w:eastAsia="zh-CN"/>
        </w:rPr>
        <w:t>2025年1月</w:t>
      </w:r>
      <w:r>
        <w:rPr>
          <w:rFonts w:hint="eastAsia"/>
          <w:color w:val="auto"/>
          <w:highlight w:val="none"/>
        </w:rPr>
        <w:t>以来任意一个月缴纳税收和社会保障资金的证明材料（依法免税或不需要缴纳社会保障资金的，供应商应提供有效证明文件）。</w:t>
      </w:r>
    </w:p>
    <w:p w14:paraId="7AB4EC34">
      <w:pPr>
        <w:pageBreakBefore w:val="0"/>
        <w:overflowPunct/>
        <w:topLinePunct w:val="0"/>
        <w:bidi w:val="0"/>
        <w:spacing w:line="360" w:lineRule="auto"/>
        <w:ind w:firstLine="420" w:firstLineChars="200"/>
        <w:rPr>
          <w:rFonts w:hint="eastAsia"/>
          <w:color w:val="auto"/>
          <w:highlight w:val="none"/>
        </w:rPr>
      </w:pPr>
      <w:r>
        <w:rPr>
          <w:rFonts w:hint="eastAsia"/>
          <w:color w:val="auto"/>
          <w:highlight w:val="none"/>
          <w:lang w:val="en-US" w:eastAsia="zh-CN"/>
        </w:rPr>
        <w:t>6</w:t>
      </w:r>
      <w:r>
        <w:rPr>
          <w:rFonts w:hint="eastAsia"/>
          <w:color w:val="auto"/>
          <w:highlight w:val="none"/>
        </w:rPr>
        <w:t>.具有履行合同所必需的设备和专业技术能力（自行承诺或提供相关证明材料）。</w:t>
      </w:r>
    </w:p>
    <w:p w14:paraId="1B063DE5">
      <w:pPr>
        <w:pageBreakBefore w:val="0"/>
        <w:overflowPunct/>
        <w:topLinePunct w:val="0"/>
        <w:bidi w:val="0"/>
        <w:spacing w:line="360" w:lineRule="auto"/>
        <w:ind w:firstLine="420" w:firstLineChars="200"/>
        <w:rPr>
          <w:rFonts w:hint="eastAsia"/>
          <w:color w:val="auto"/>
          <w:highlight w:val="none"/>
        </w:rPr>
      </w:pPr>
      <w:r>
        <w:rPr>
          <w:rFonts w:hint="eastAsia"/>
          <w:color w:val="auto"/>
          <w:highlight w:val="none"/>
          <w:lang w:val="en-US" w:eastAsia="zh-CN"/>
        </w:rPr>
        <w:t>7</w:t>
      </w:r>
      <w:r>
        <w:rPr>
          <w:rFonts w:hint="eastAsia"/>
          <w:color w:val="auto"/>
          <w:highlight w:val="none"/>
        </w:rPr>
        <w:t>.参加政府采购活动前三年内，在经营活动中没有重大违法记录的书面声明。（自行承诺，格式自拟）</w:t>
      </w:r>
    </w:p>
    <w:p w14:paraId="192EA707">
      <w:pPr>
        <w:pageBreakBefore w:val="0"/>
        <w:overflowPunct/>
        <w:topLinePunct w:val="0"/>
        <w:bidi w:val="0"/>
        <w:spacing w:line="360" w:lineRule="auto"/>
        <w:ind w:firstLine="420" w:firstLineChars="200"/>
        <w:rPr>
          <w:rFonts w:hint="eastAsia"/>
          <w:color w:val="auto"/>
          <w:highlight w:val="none"/>
        </w:rPr>
      </w:pPr>
      <w:r>
        <w:rPr>
          <w:rFonts w:hint="eastAsia"/>
          <w:color w:val="auto"/>
          <w:highlight w:val="none"/>
          <w:lang w:val="en-US" w:eastAsia="zh-CN"/>
        </w:rPr>
        <w:t>8</w:t>
      </w:r>
      <w:r>
        <w:rPr>
          <w:rFonts w:hint="eastAsia"/>
          <w:color w:val="auto"/>
          <w:highlight w:val="none"/>
        </w:rPr>
        <w:t>.对列入“信用中国”网站(www.creditchina.gov.cn）的“失信被执行人”、“重大税收违法案件当事人名单（重大税收违法失信主体）”或“中国政府采购”网站(www.ccgp.gov.cn)的“政府采购严重违法失信行为记录名单”的供应商，将拒绝其参加政府采购活动</w:t>
      </w:r>
      <w:r>
        <w:rPr>
          <w:rFonts w:hint="eastAsia"/>
          <w:color w:val="auto"/>
          <w:highlight w:val="none"/>
          <w:lang w:eastAsia="zh-CN"/>
        </w:rPr>
        <w:t>。</w:t>
      </w:r>
    </w:p>
    <w:p w14:paraId="506986EE">
      <w:pPr>
        <w:pageBreakBefore w:val="0"/>
        <w:overflowPunct/>
        <w:topLinePunct w:val="0"/>
        <w:bidi w:val="0"/>
        <w:spacing w:line="360" w:lineRule="auto"/>
        <w:ind w:firstLine="420" w:firstLineChars="200"/>
        <w:rPr>
          <w:rFonts w:hint="eastAsia"/>
          <w:color w:val="auto"/>
          <w:highlight w:val="none"/>
        </w:rPr>
      </w:pPr>
      <w:r>
        <w:rPr>
          <w:rFonts w:hint="eastAsia"/>
          <w:color w:val="auto"/>
          <w:highlight w:val="none"/>
          <w:lang w:val="en-US" w:eastAsia="zh-CN"/>
        </w:rPr>
        <w:t>9</w:t>
      </w:r>
      <w:r>
        <w:rPr>
          <w:rFonts w:hint="eastAsia"/>
          <w:color w:val="auto"/>
          <w:highlight w:val="none"/>
        </w:rPr>
        <w:t>.单位负责人为同一人或者存在直接控股、管理关系的不同供应商，全部或者部分股东为同一法人、其他组织或者自然人的不同供应商，同一自然人在两个以上供应商任职的不同供应商，不得参加同一合同项下的政府采购活动。（提供国家企业信用信息公示系统中的查询网页截图。（含公司基本信息、股东信息及股权变更信息</w:t>
      </w:r>
      <w:r>
        <w:rPr>
          <w:rFonts w:hint="eastAsia"/>
          <w:color w:val="auto"/>
          <w:highlight w:val="none"/>
          <w:lang w:eastAsia="zh-CN"/>
        </w:rPr>
        <w:t>）</w:t>
      </w:r>
      <w:r>
        <w:rPr>
          <w:rFonts w:hint="eastAsia"/>
          <w:color w:val="auto"/>
          <w:highlight w:val="none"/>
        </w:rPr>
        <w:t>）</w:t>
      </w:r>
    </w:p>
    <w:p w14:paraId="360F9127">
      <w:pPr>
        <w:pageBreakBefore w:val="0"/>
        <w:overflowPunct/>
        <w:topLinePunct w:val="0"/>
        <w:bidi w:val="0"/>
        <w:spacing w:line="240" w:lineRule="auto"/>
        <w:ind w:firstLine="420" w:firstLineChars="200"/>
        <w:jc w:val="left"/>
        <w:rPr>
          <w:rFonts w:hint="eastAsia" w:ascii="Times New Roman" w:hAnsi="Times New Roman" w:eastAsia="宋体" w:cs="Times New Roman"/>
          <w:color w:val="auto"/>
          <w:sz w:val="21"/>
          <w:szCs w:val="24"/>
          <w:highlight w:val="none"/>
        </w:rPr>
        <w:sectPr>
          <w:pgSz w:w="11910" w:h="16840"/>
          <w:pgMar w:top="1440" w:right="1417" w:bottom="1440" w:left="1417" w:header="567" w:footer="1000" w:gutter="0"/>
          <w:pgBorders>
            <w:top w:val="none" w:sz="0" w:space="0"/>
            <w:left w:val="none" w:sz="0" w:space="0"/>
            <w:bottom w:val="none" w:sz="0" w:space="0"/>
            <w:right w:val="none" w:sz="0" w:space="0"/>
          </w:pgBorders>
          <w:cols w:space="0" w:num="1"/>
        </w:sectPr>
      </w:pPr>
      <w:r>
        <w:rPr>
          <w:rFonts w:hint="eastAsia" w:ascii="Times New Roman" w:hAnsi="Times New Roman" w:eastAsia="宋体" w:cs="Times New Roman"/>
          <w:color w:val="auto"/>
          <w:sz w:val="21"/>
          <w:szCs w:val="24"/>
          <w:highlight w:val="none"/>
          <w:lang w:val="en-US" w:eastAsia="zh-CN"/>
        </w:rPr>
        <w:t>10</w:t>
      </w:r>
      <w:r>
        <w:rPr>
          <w:rFonts w:hint="eastAsia" w:ascii="Times New Roman" w:hAnsi="Times New Roman" w:eastAsia="宋体" w:cs="Times New Roman"/>
          <w:color w:val="auto"/>
          <w:sz w:val="21"/>
          <w:szCs w:val="24"/>
          <w:highlight w:val="none"/>
        </w:rPr>
        <w:t>.供应商须知前附表要求的其他资格证明文件</w:t>
      </w:r>
    </w:p>
    <w:p w14:paraId="75EF9952">
      <w:pPr>
        <w:pageBreakBefore w:val="0"/>
        <w:overflowPunct/>
        <w:topLinePunct w:val="0"/>
        <w:bidi w:val="0"/>
        <w:snapToGrid w:val="0"/>
        <w:spacing w:line="240" w:lineRule="auto"/>
        <w:rPr>
          <w:rFonts w:hint="eastAsia" w:asciiTheme="minorEastAsia" w:hAnsiTheme="minorEastAsia" w:eastAsiaTheme="minorEastAsia" w:cstheme="minorEastAsia"/>
          <w:bCs w:val="0"/>
          <w:color w:val="auto"/>
          <w:sz w:val="21"/>
          <w:szCs w:val="21"/>
          <w:highlight w:val="none"/>
          <w:lang w:bidi="zh-CN"/>
        </w:rPr>
      </w:pPr>
    </w:p>
    <w:p w14:paraId="6C9AE0BD">
      <w:pPr>
        <w:pStyle w:val="6"/>
        <w:pageBreakBefore w:val="0"/>
        <w:tabs>
          <w:tab w:val="left" w:pos="4311"/>
        </w:tabs>
        <w:overflowPunct/>
        <w:topLinePunct w:val="0"/>
        <w:bidi w:val="0"/>
        <w:snapToGrid w:val="0"/>
        <w:spacing w:before="42" w:after="0" w:line="240" w:lineRule="auto"/>
        <w:ind w:right="20" w:firstLine="602"/>
        <w:jc w:val="center"/>
        <w:rPr>
          <w:rFonts w:hint="eastAsia" w:asciiTheme="minorEastAsia" w:hAnsiTheme="minorEastAsia" w:eastAsiaTheme="minorEastAsia" w:cstheme="minorEastAsia"/>
          <w:bCs w:val="0"/>
          <w:color w:val="auto"/>
          <w:sz w:val="28"/>
          <w:szCs w:val="28"/>
          <w:highlight w:val="none"/>
          <w:lang w:bidi="zh-CN"/>
        </w:rPr>
      </w:pPr>
      <w:r>
        <w:rPr>
          <w:rFonts w:hint="eastAsia" w:asciiTheme="minorEastAsia" w:hAnsiTheme="minorEastAsia" w:eastAsiaTheme="minorEastAsia" w:cstheme="minorEastAsia"/>
          <w:bCs w:val="0"/>
          <w:color w:val="auto"/>
          <w:sz w:val="28"/>
          <w:szCs w:val="28"/>
          <w:highlight w:val="none"/>
          <w:lang w:val="en-US" w:bidi="zh-CN"/>
        </w:rPr>
        <w:t>五</w:t>
      </w:r>
      <w:r>
        <w:rPr>
          <w:rFonts w:hint="eastAsia" w:asciiTheme="minorEastAsia" w:hAnsiTheme="minorEastAsia" w:eastAsiaTheme="minorEastAsia" w:cstheme="minorEastAsia"/>
          <w:bCs w:val="0"/>
          <w:color w:val="auto"/>
          <w:sz w:val="28"/>
          <w:szCs w:val="28"/>
          <w:highlight w:val="none"/>
          <w:lang w:bidi="zh-CN"/>
        </w:rPr>
        <w:t>、分项报价明细表</w:t>
      </w:r>
    </w:p>
    <w:p w14:paraId="4FF98307">
      <w:pPr>
        <w:pageBreakBefore w:val="0"/>
        <w:overflowPunct/>
        <w:topLinePunct w:val="0"/>
        <w:bidi w:val="0"/>
        <w:snapToGrid w:val="0"/>
        <w:spacing w:line="240" w:lineRule="auto"/>
        <w:ind w:firstLine="600"/>
        <w:rPr>
          <w:rFonts w:hint="eastAsia" w:asciiTheme="minorEastAsia" w:hAnsiTheme="minorEastAsia" w:eastAsiaTheme="minorEastAsia" w:cstheme="minorEastAsia"/>
          <w:b/>
          <w:color w:val="auto"/>
          <w:sz w:val="21"/>
          <w:szCs w:val="21"/>
          <w:highlight w:val="none"/>
          <w:lang w:bidi="zh-CN"/>
        </w:rPr>
      </w:pPr>
    </w:p>
    <w:p w14:paraId="2B8A4EBF">
      <w:pPr>
        <w:pageBreakBefore w:val="0"/>
        <w:overflowPunct/>
        <w:topLinePunct w:val="0"/>
        <w:bidi w:val="0"/>
        <w:snapToGrid w:val="0"/>
        <w:spacing w:line="240" w:lineRule="auto"/>
        <w:ind w:firstLine="482"/>
        <w:jc w:val="righ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 人民币元</w:t>
      </w:r>
    </w:p>
    <w:tbl>
      <w:tblPr>
        <w:tblStyle w:val="38"/>
        <w:tblW w:w="97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338"/>
        <w:gridCol w:w="1551"/>
        <w:gridCol w:w="1343"/>
        <w:gridCol w:w="1113"/>
        <w:gridCol w:w="1005"/>
        <w:gridCol w:w="900"/>
        <w:gridCol w:w="765"/>
      </w:tblGrid>
      <w:tr w14:paraId="0827E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22" w:type="dxa"/>
            <w:tcBorders>
              <w:tl2br w:val="nil"/>
              <w:tr2bl w:val="nil"/>
            </w:tcBorders>
            <w:noWrap/>
            <w:vAlign w:val="center"/>
          </w:tcPr>
          <w:p w14:paraId="3C038256">
            <w:pPr>
              <w:pageBreakBefore w:val="0"/>
              <w:overflowPunct/>
              <w:topLinePunct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2338" w:type="dxa"/>
            <w:tcBorders>
              <w:tl2br w:val="nil"/>
              <w:tr2bl w:val="nil"/>
            </w:tcBorders>
            <w:noWrap/>
            <w:vAlign w:val="center"/>
          </w:tcPr>
          <w:p w14:paraId="42B2338F">
            <w:pPr>
              <w:pageBreakBefore w:val="0"/>
              <w:overflowPunct/>
              <w:topLinePunct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名称</w:t>
            </w:r>
          </w:p>
        </w:tc>
        <w:tc>
          <w:tcPr>
            <w:tcW w:w="1551" w:type="dxa"/>
            <w:tcBorders>
              <w:tl2br w:val="nil"/>
              <w:tr2bl w:val="nil"/>
            </w:tcBorders>
            <w:noWrap/>
            <w:vAlign w:val="center"/>
          </w:tcPr>
          <w:p w14:paraId="7B3BCB98">
            <w:pPr>
              <w:pageBreakBefore w:val="0"/>
              <w:overflowPunct/>
              <w:topLinePunct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品牌</w:t>
            </w:r>
          </w:p>
        </w:tc>
        <w:tc>
          <w:tcPr>
            <w:tcW w:w="1343" w:type="dxa"/>
            <w:tcBorders>
              <w:tl2br w:val="nil"/>
              <w:tr2bl w:val="nil"/>
            </w:tcBorders>
            <w:noWrap/>
            <w:vAlign w:val="center"/>
          </w:tcPr>
          <w:p w14:paraId="4C5DFE62">
            <w:pPr>
              <w:pageBreakBefore w:val="0"/>
              <w:overflowPunct/>
              <w:topLinePunct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制造商名称</w:t>
            </w:r>
          </w:p>
        </w:tc>
        <w:tc>
          <w:tcPr>
            <w:tcW w:w="1113" w:type="dxa"/>
            <w:tcBorders>
              <w:tl2br w:val="nil"/>
              <w:tr2bl w:val="nil"/>
            </w:tcBorders>
            <w:noWrap/>
            <w:vAlign w:val="center"/>
          </w:tcPr>
          <w:p w14:paraId="6F9DBB48">
            <w:pPr>
              <w:pageBreakBefore w:val="0"/>
              <w:overflowPunct/>
              <w:topLinePunct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规格型号</w:t>
            </w:r>
          </w:p>
        </w:tc>
        <w:tc>
          <w:tcPr>
            <w:tcW w:w="1005" w:type="dxa"/>
            <w:tcBorders>
              <w:tl2br w:val="nil"/>
              <w:tr2bl w:val="nil"/>
            </w:tcBorders>
            <w:noWrap/>
            <w:vAlign w:val="center"/>
          </w:tcPr>
          <w:p w14:paraId="7999CCEF">
            <w:pPr>
              <w:pageBreakBefore w:val="0"/>
              <w:overflowPunct/>
              <w:topLinePunct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数量</w:t>
            </w:r>
          </w:p>
        </w:tc>
        <w:tc>
          <w:tcPr>
            <w:tcW w:w="900" w:type="dxa"/>
            <w:tcBorders>
              <w:tl2br w:val="nil"/>
              <w:tr2bl w:val="nil"/>
            </w:tcBorders>
            <w:noWrap/>
            <w:vAlign w:val="center"/>
          </w:tcPr>
          <w:p w14:paraId="5CBD5454">
            <w:pPr>
              <w:pageBreakBefore w:val="0"/>
              <w:overflowPunct/>
              <w:topLinePunct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单价</w:t>
            </w:r>
          </w:p>
        </w:tc>
        <w:tc>
          <w:tcPr>
            <w:tcW w:w="765" w:type="dxa"/>
            <w:tcBorders>
              <w:tl2br w:val="nil"/>
              <w:tr2bl w:val="nil"/>
            </w:tcBorders>
            <w:noWrap/>
            <w:vAlign w:val="center"/>
          </w:tcPr>
          <w:p w14:paraId="6073683B">
            <w:pPr>
              <w:pageBreakBefore w:val="0"/>
              <w:overflowPunct/>
              <w:topLinePunct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合计</w:t>
            </w:r>
          </w:p>
        </w:tc>
      </w:tr>
      <w:tr w14:paraId="0CC23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59493DD9">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6B27B9CD">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551" w:type="dxa"/>
            <w:tcBorders>
              <w:tl2br w:val="nil"/>
              <w:tr2bl w:val="nil"/>
            </w:tcBorders>
            <w:noWrap/>
            <w:vAlign w:val="center"/>
          </w:tcPr>
          <w:p w14:paraId="5137EE54">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37CEFFF0">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366706D4">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31E78C44">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33BAD555">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0FA8A6E2">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65FD5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07DE1A7B">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4E143B89">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551" w:type="dxa"/>
            <w:tcBorders>
              <w:tl2br w:val="nil"/>
              <w:tr2bl w:val="nil"/>
            </w:tcBorders>
            <w:noWrap/>
            <w:vAlign w:val="center"/>
          </w:tcPr>
          <w:p w14:paraId="010087D1">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5759A680">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3F1C19D4">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232ADB4A">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77EA898A">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490D259A">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76511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775AAA8A">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06B0D6B7">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551" w:type="dxa"/>
            <w:tcBorders>
              <w:tl2br w:val="nil"/>
              <w:tr2bl w:val="nil"/>
            </w:tcBorders>
            <w:noWrap/>
            <w:vAlign w:val="center"/>
          </w:tcPr>
          <w:p w14:paraId="60FF9C91">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6A2D649E">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1A132983">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0815E6EE">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406CF062">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4B61698A">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3BF2E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65FBA279">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0B240062">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551" w:type="dxa"/>
            <w:tcBorders>
              <w:tl2br w:val="nil"/>
              <w:tr2bl w:val="nil"/>
            </w:tcBorders>
            <w:noWrap/>
            <w:vAlign w:val="center"/>
          </w:tcPr>
          <w:p w14:paraId="249120EC">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720D221D">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11C4C81E">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17BBC64C">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3CD46232">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6192CC7F">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313F8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5B39C517">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4BB7D68B">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551" w:type="dxa"/>
            <w:tcBorders>
              <w:tl2br w:val="nil"/>
              <w:tr2bl w:val="nil"/>
            </w:tcBorders>
            <w:noWrap/>
            <w:vAlign w:val="center"/>
          </w:tcPr>
          <w:p w14:paraId="73581BE0">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06132812">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2A85C92B">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4AB1CF3D">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512C4B8A">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4C418B61">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54028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134C5F0D">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53F685F5">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551" w:type="dxa"/>
            <w:tcBorders>
              <w:tl2br w:val="nil"/>
              <w:tr2bl w:val="nil"/>
            </w:tcBorders>
            <w:noWrap/>
            <w:vAlign w:val="center"/>
          </w:tcPr>
          <w:p w14:paraId="780E35C8">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5D40572B">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63B50AEA">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0422F95F">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2AAB8BC5">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094BDD2A">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1B545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6401CA88">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2AA81B3F">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551" w:type="dxa"/>
            <w:tcBorders>
              <w:tl2br w:val="nil"/>
              <w:tr2bl w:val="nil"/>
            </w:tcBorders>
            <w:noWrap/>
            <w:vAlign w:val="center"/>
          </w:tcPr>
          <w:p w14:paraId="6BCECF98">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0EC37A5C">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60CB8B10">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1469C1E2">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011B8C4C">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61734D28">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2FC45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2" w:hRule="exact"/>
          <w:jc w:val="center"/>
        </w:trPr>
        <w:tc>
          <w:tcPr>
            <w:tcW w:w="722" w:type="dxa"/>
            <w:tcBorders>
              <w:tl2br w:val="nil"/>
              <w:tr2bl w:val="nil"/>
            </w:tcBorders>
            <w:noWrap/>
            <w:vAlign w:val="center"/>
          </w:tcPr>
          <w:p w14:paraId="4C67678E">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59A9CCC4">
            <w:pPr>
              <w:pageBreakBefore w:val="0"/>
              <w:overflowPunct/>
              <w:topLinePunct w:val="0"/>
              <w:autoSpaceDE w:val="0"/>
              <w:autoSpaceDN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备品备件及易损件（如有）</w:t>
            </w:r>
          </w:p>
        </w:tc>
        <w:tc>
          <w:tcPr>
            <w:tcW w:w="1551" w:type="dxa"/>
            <w:tcBorders>
              <w:tl2br w:val="nil"/>
              <w:tr2bl w:val="nil"/>
            </w:tcBorders>
            <w:noWrap/>
            <w:vAlign w:val="center"/>
          </w:tcPr>
          <w:p w14:paraId="74D0FC19">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138D8BD2">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6BC4BBD9">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02337C14">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3FED287D">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7086BBD6">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72DC8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50706137">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5A070AE4">
            <w:pPr>
              <w:pageBreakBefore w:val="0"/>
              <w:overflowPunct/>
              <w:topLinePunct w:val="0"/>
              <w:autoSpaceDE w:val="0"/>
              <w:autoSpaceDN w:val="0"/>
              <w:bidi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专用工具（如有）</w:t>
            </w:r>
          </w:p>
        </w:tc>
        <w:tc>
          <w:tcPr>
            <w:tcW w:w="1551" w:type="dxa"/>
            <w:tcBorders>
              <w:tl2br w:val="nil"/>
              <w:tr2bl w:val="nil"/>
            </w:tcBorders>
            <w:noWrap/>
            <w:vAlign w:val="center"/>
          </w:tcPr>
          <w:p w14:paraId="30108941">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06C464BF">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0AE3C124">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60E7E4AF">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11CCDF0C">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1F9ABEB6">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79DAE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63DE734C">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2338" w:type="dxa"/>
            <w:tcBorders>
              <w:tl2br w:val="nil"/>
              <w:tr2bl w:val="nil"/>
            </w:tcBorders>
            <w:noWrap/>
            <w:vAlign w:val="center"/>
          </w:tcPr>
          <w:p w14:paraId="7D37E086">
            <w:pPr>
              <w:pageBreakBefore w:val="0"/>
              <w:overflowPunct/>
              <w:topLinePunct w:val="0"/>
              <w:autoSpaceDE w:val="0"/>
              <w:autoSpaceDN w:val="0"/>
              <w:bidi w:val="0"/>
              <w:spacing w:line="240" w:lineRule="auto"/>
              <w:ind w:firstLine="482"/>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1551" w:type="dxa"/>
            <w:tcBorders>
              <w:tl2br w:val="nil"/>
              <w:tr2bl w:val="nil"/>
            </w:tcBorders>
            <w:noWrap/>
            <w:vAlign w:val="center"/>
          </w:tcPr>
          <w:p w14:paraId="3C55E3FC">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343" w:type="dxa"/>
            <w:tcBorders>
              <w:tl2br w:val="nil"/>
              <w:tr2bl w:val="nil"/>
            </w:tcBorders>
            <w:noWrap/>
            <w:vAlign w:val="center"/>
          </w:tcPr>
          <w:p w14:paraId="2D4DDAD7">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113" w:type="dxa"/>
            <w:tcBorders>
              <w:tl2br w:val="nil"/>
              <w:tr2bl w:val="nil"/>
            </w:tcBorders>
            <w:noWrap/>
            <w:vAlign w:val="center"/>
          </w:tcPr>
          <w:p w14:paraId="1EB7BF89">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1005" w:type="dxa"/>
            <w:tcBorders>
              <w:tl2br w:val="nil"/>
              <w:tr2bl w:val="nil"/>
            </w:tcBorders>
            <w:noWrap/>
            <w:vAlign w:val="center"/>
          </w:tcPr>
          <w:p w14:paraId="31D646FA">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900" w:type="dxa"/>
            <w:tcBorders>
              <w:tl2br w:val="nil"/>
              <w:tr2bl w:val="nil"/>
            </w:tcBorders>
            <w:noWrap/>
            <w:vAlign w:val="center"/>
          </w:tcPr>
          <w:p w14:paraId="0FA4DD17">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765" w:type="dxa"/>
            <w:tcBorders>
              <w:tl2br w:val="nil"/>
              <w:tr2bl w:val="nil"/>
            </w:tcBorders>
            <w:noWrap/>
            <w:vAlign w:val="center"/>
          </w:tcPr>
          <w:p w14:paraId="66776524">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r>
      <w:tr w14:paraId="0BD00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060" w:type="dxa"/>
            <w:gridSpan w:val="2"/>
            <w:vMerge w:val="restart"/>
            <w:tcBorders>
              <w:tl2br w:val="nil"/>
              <w:tr2bl w:val="nil"/>
            </w:tcBorders>
            <w:noWrap/>
            <w:vAlign w:val="center"/>
          </w:tcPr>
          <w:p w14:paraId="28D836A6">
            <w:pPr>
              <w:pageBreakBefore w:val="0"/>
              <w:overflowPunct/>
              <w:topLinePunct w:val="0"/>
              <w:bidi w:val="0"/>
              <w:spacing w:line="240" w:lineRule="auto"/>
              <w:ind w:firstLine="48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总计金额</w:t>
            </w:r>
          </w:p>
        </w:tc>
        <w:tc>
          <w:tcPr>
            <w:tcW w:w="6677" w:type="dxa"/>
            <w:gridSpan w:val="6"/>
            <w:tcBorders>
              <w:tl2br w:val="nil"/>
              <w:tr2bl w:val="nil"/>
            </w:tcBorders>
            <w:noWrap/>
            <w:vAlign w:val="center"/>
          </w:tcPr>
          <w:p w14:paraId="389D7019">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大写</w:t>
            </w:r>
          </w:p>
        </w:tc>
      </w:tr>
      <w:tr w14:paraId="69B18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060" w:type="dxa"/>
            <w:gridSpan w:val="2"/>
            <w:vMerge w:val="continue"/>
            <w:tcBorders>
              <w:tl2br w:val="nil"/>
              <w:tr2bl w:val="nil"/>
            </w:tcBorders>
            <w:noWrap/>
            <w:vAlign w:val="center"/>
          </w:tcPr>
          <w:p w14:paraId="357B5514">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p>
        </w:tc>
        <w:tc>
          <w:tcPr>
            <w:tcW w:w="6677" w:type="dxa"/>
            <w:gridSpan w:val="6"/>
            <w:tcBorders>
              <w:tl2br w:val="nil"/>
              <w:tr2bl w:val="nil"/>
            </w:tcBorders>
            <w:noWrap/>
            <w:vAlign w:val="center"/>
          </w:tcPr>
          <w:p w14:paraId="2CC27BC4">
            <w:pPr>
              <w:pageBreakBefore w:val="0"/>
              <w:overflowPunct/>
              <w:topLinePunct w:val="0"/>
              <w:bidi w:val="0"/>
              <w:spacing w:line="24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小写</w:t>
            </w:r>
          </w:p>
        </w:tc>
      </w:tr>
    </w:tbl>
    <w:p w14:paraId="00C6E5F8">
      <w:pPr>
        <w:pStyle w:val="16"/>
        <w:pageBreakBefore w:val="0"/>
        <w:overflowPunct/>
        <w:topLinePunct w:val="0"/>
        <w:bidi w:val="0"/>
        <w:spacing w:after="0"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注：1.该表中内容可自行扩展，内容可自行细化。</w:t>
      </w:r>
    </w:p>
    <w:p w14:paraId="0B488B5C">
      <w:pPr>
        <w:pStyle w:val="16"/>
        <w:pageBreakBefore w:val="0"/>
        <w:overflowPunct/>
        <w:topLinePunct w:val="0"/>
        <w:bidi w:val="0"/>
        <w:spacing w:after="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2.供应商对所报相关内容的真实性负责，采购代理机构有权将相关内容进行公示，因弄虚作假导致的后果由供应商自行承担。</w:t>
      </w:r>
    </w:p>
    <w:p w14:paraId="0B1C77EC">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4E40633C">
      <w:pPr>
        <w:pStyle w:val="16"/>
        <w:pageBreakBefore w:val="0"/>
        <w:tabs>
          <w:tab w:val="left" w:pos="1959"/>
          <w:tab w:val="left" w:pos="2559"/>
          <w:tab w:val="left" w:pos="3159"/>
          <w:tab w:val="left" w:pos="5499"/>
          <w:tab w:val="left" w:pos="5619"/>
        </w:tabs>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p>
    <w:p w14:paraId="40BD1884">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（盖企业电子章）</w:t>
      </w:r>
    </w:p>
    <w:p w14:paraId="72569889">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（签字或盖章或电子签章）</w:t>
      </w:r>
    </w:p>
    <w:p w14:paraId="413D8D86">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sectPr>
          <w:pgSz w:w="11910" w:h="16840"/>
          <w:pgMar w:top="1440" w:right="1417" w:bottom="1440" w:left="1417" w:header="510" w:footer="1000" w:gutter="0"/>
          <w:pgBorders>
            <w:top w:val="none" w:sz="0" w:space="0"/>
            <w:left w:val="none" w:sz="0" w:space="0"/>
            <w:bottom w:val="none" w:sz="0" w:space="0"/>
            <w:right w:val="none" w:sz="0" w:space="0"/>
          </w:pgBorders>
          <w:cols w:space="0" w:num="1"/>
        </w:sectPr>
      </w:pPr>
      <w:r>
        <w:rPr>
          <w:rFonts w:hint="eastAsia" w:asciiTheme="minorEastAsia" w:hAnsiTheme="minorEastAsia" w:eastAsiaTheme="minorEastAsia" w:cstheme="minorEastAsia"/>
          <w:color w:val="auto"/>
          <w:sz w:val="21"/>
          <w:szCs w:val="21"/>
          <w:highlight w:val="none"/>
        </w:rPr>
        <w:t>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 xml:space="preserve">日    </w:t>
      </w:r>
    </w:p>
    <w:p w14:paraId="56D48D5C">
      <w:pPr>
        <w:pStyle w:val="6"/>
        <w:pageBreakBefore w:val="0"/>
        <w:overflowPunct/>
        <w:topLinePunct w:val="0"/>
        <w:bidi w:val="0"/>
        <w:spacing w:before="42" w:line="360" w:lineRule="auto"/>
        <w:ind w:right="439" w:firstLine="602"/>
        <w:jc w:val="center"/>
        <w:rPr>
          <w:rFonts w:hint="eastAsia" w:asciiTheme="minorEastAsia" w:hAnsiTheme="minorEastAsia" w:eastAsiaTheme="minorEastAsia" w:cstheme="minorEastAsia"/>
          <w:bCs w:val="0"/>
          <w:color w:val="auto"/>
          <w:kern w:val="0"/>
          <w:sz w:val="28"/>
          <w:szCs w:val="28"/>
          <w:highlight w:val="none"/>
          <w:lang w:bidi="zh-CN"/>
        </w:rPr>
      </w:pPr>
      <w:bookmarkStart w:id="248" w:name="_bookmark44"/>
      <w:bookmarkEnd w:id="248"/>
      <w:bookmarkStart w:id="249" w:name="5、符合《政府采购促进中小企业发展管理办法》、《关于政府采购支持监狱企业发展有关"/>
      <w:bookmarkEnd w:id="249"/>
      <w:bookmarkStart w:id="250" w:name="11、采购代理服务费交纳承诺函"/>
      <w:bookmarkEnd w:id="250"/>
      <w:bookmarkStart w:id="251" w:name="_bookmark39"/>
      <w:bookmarkEnd w:id="251"/>
      <w:bookmarkStart w:id="252" w:name="_bookmark45"/>
      <w:bookmarkEnd w:id="252"/>
      <w:r>
        <w:rPr>
          <w:rFonts w:hint="eastAsia" w:asciiTheme="minorEastAsia" w:hAnsiTheme="minorEastAsia" w:eastAsiaTheme="minorEastAsia" w:cstheme="minorEastAsia"/>
          <w:bCs w:val="0"/>
          <w:color w:val="auto"/>
          <w:sz w:val="28"/>
          <w:szCs w:val="28"/>
          <w:highlight w:val="none"/>
          <w:lang w:val="en-US" w:bidi="zh-CN"/>
        </w:rPr>
        <w:t>六</w:t>
      </w:r>
      <w:r>
        <w:rPr>
          <w:rFonts w:hint="eastAsia" w:asciiTheme="minorEastAsia" w:hAnsiTheme="minorEastAsia" w:eastAsiaTheme="minorEastAsia" w:cstheme="minorEastAsia"/>
          <w:bCs w:val="0"/>
          <w:color w:val="auto"/>
          <w:sz w:val="28"/>
          <w:szCs w:val="28"/>
          <w:highlight w:val="none"/>
          <w:lang w:bidi="zh-CN"/>
        </w:rPr>
        <w:t>、技术文件</w:t>
      </w:r>
    </w:p>
    <w:p w14:paraId="68897F2D">
      <w:pPr>
        <w:pageBreakBefore w:val="0"/>
        <w:widowControl/>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1.货物规格一览表</w:t>
      </w:r>
    </w:p>
    <w:tbl>
      <w:tblPr>
        <w:tblStyle w:val="38"/>
        <w:tblW w:w="91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0"/>
        <w:gridCol w:w="1476"/>
        <w:gridCol w:w="764"/>
        <w:gridCol w:w="712"/>
        <w:gridCol w:w="1476"/>
        <w:gridCol w:w="1476"/>
        <w:gridCol w:w="1476"/>
        <w:gridCol w:w="1030"/>
      </w:tblGrid>
      <w:tr w14:paraId="77B92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720" w:type="dxa"/>
            <w:tcBorders>
              <w:tl2br w:val="nil"/>
              <w:tr2bl w:val="nil"/>
            </w:tcBorders>
            <w:vAlign w:val="center"/>
          </w:tcPr>
          <w:p w14:paraId="2091104C">
            <w:pPr>
              <w:pageBreakBefore w:val="0"/>
              <w:overflowPunct/>
              <w:topLinePunct w:val="0"/>
              <w:bidi w:val="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1476" w:type="dxa"/>
            <w:tcBorders>
              <w:tl2br w:val="nil"/>
              <w:tr2bl w:val="nil"/>
            </w:tcBorders>
            <w:vAlign w:val="center"/>
          </w:tcPr>
          <w:p w14:paraId="49753EAE">
            <w:pPr>
              <w:pageBreakBefore w:val="0"/>
              <w:overflowPunct/>
              <w:topLinePunct w:val="0"/>
              <w:bidi w:val="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产品或配置名称</w:t>
            </w:r>
          </w:p>
        </w:tc>
        <w:tc>
          <w:tcPr>
            <w:tcW w:w="764" w:type="dxa"/>
            <w:tcBorders>
              <w:tl2br w:val="nil"/>
              <w:tr2bl w:val="nil"/>
            </w:tcBorders>
            <w:vAlign w:val="center"/>
          </w:tcPr>
          <w:p w14:paraId="3617977C">
            <w:pPr>
              <w:pageBreakBefore w:val="0"/>
              <w:overflowPunct/>
              <w:topLinePunct w:val="0"/>
              <w:bidi w:val="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品牌</w:t>
            </w:r>
          </w:p>
        </w:tc>
        <w:tc>
          <w:tcPr>
            <w:tcW w:w="712" w:type="dxa"/>
            <w:tcBorders>
              <w:tl2br w:val="nil"/>
              <w:tr2bl w:val="nil"/>
            </w:tcBorders>
            <w:vAlign w:val="center"/>
          </w:tcPr>
          <w:p w14:paraId="787959E0">
            <w:pPr>
              <w:pageBreakBefore w:val="0"/>
              <w:overflowPunct/>
              <w:topLinePunct w:val="0"/>
              <w:bidi w:val="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型号</w:t>
            </w:r>
          </w:p>
        </w:tc>
        <w:tc>
          <w:tcPr>
            <w:tcW w:w="1476" w:type="dxa"/>
            <w:tcBorders>
              <w:tl2br w:val="nil"/>
              <w:tr2bl w:val="nil"/>
            </w:tcBorders>
            <w:vAlign w:val="center"/>
          </w:tcPr>
          <w:p w14:paraId="670B18B6">
            <w:pPr>
              <w:pageBreakBefore w:val="0"/>
              <w:overflowPunct/>
              <w:topLinePunct w:val="0"/>
              <w:bidi w:val="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规格参数</w:t>
            </w:r>
          </w:p>
        </w:tc>
        <w:tc>
          <w:tcPr>
            <w:tcW w:w="1476" w:type="dxa"/>
            <w:tcBorders>
              <w:tl2br w:val="nil"/>
              <w:tr2bl w:val="nil"/>
            </w:tcBorders>
            <w:vAlign w:val="center"/>
          </w:tcPr>
          <w:p w14:paraId="66078E95">
            <w:pPr>
              <w:pageBreakBefore w:val="0"/>
              <w:overflowPunct/>
              <w:topLinePunct w:val="0"/>
              <w:bidi w:val="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制造厂（商）</w:t>
            </w:r>
          </w:p>
        </w:tc>
        <w:tc>
          <w:tcPr>
            <w:tcW w:w="1476" w:type="dxa"/>
            <w:tcBorders>
              <w:tl2br w:val="nil"/>
              <w:tr2bl w:val="nil"/>
            </w:tcBorders>
            <w:vAlign w:val="center"/>
          </w:tcPr>
          <w:p w14:paraId="74EB6CE0">
            <w:pPr>
              <w:pageBreakBefore w:val="0"/>
              <w:overflowPunct/>
              <w:topLinePunct w:val="0"/>
              <w:bidi w:val="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产地</w:t>
            </w:r>
          </w:p>
        </w:tc>
        <w:tc>
          <w:tcPr>
            <w:tcW w:w="1030" w:type="dxa"/>
            <w:tcBorders>
              <w:tl2br w:val="nil"/>
              <w:tr2bl w:val="nil"/>
            </w:tcBorders>
            <w:vAlign w:val="center"/>
          </w:tcPr>
          <w:p w14:paraId="7128A23F">
            <w:pPr>
              <w:pageBreakBefore w:val="0"/>
              <w:overflowPunct/>
              <w:topLinePunct w:val="0"/>
              <w:bidi w:val="0"/>
              <w:spacing w:line="360" w:lineRule="auto"/>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备注</w:t>
            </w:r>
          </w:p>
        </w:tc>
      </w:tr>
      <w:tr w14:paraId="4BCCA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720" w:type="dxa"/>
            <w:tcBorders>
              <w:tl2br w:val="nil"/>
              <w:tr2bl w:val="nil"/>
            </w:tcBorders>
            <w:vAlign w:val="center"/>
          </w:tcPr>
          <w:p w14:paraId="1C56852A">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17C77707">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64" w:type="dxa"/>
            <w:tcBorders>
              <w:tl2br w:val="nil"/>
              <w:tr2bl w:val="nil"/>
            </w:tcBorders>
            <w:vAlign w:val="center"/>
          </w:tcPr>
          <w:p w14:paraId="460ADDCA">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12" w:type="dxa"/>
            <w:tcBorders>
              <w:tl2br w:val="nil"/>
              <w:tr2bl w:val="nil"/>
            </w:tcBorders>
            <w:vAlign w:val="center"/>
          </w:tcPr>
          <w:p w14:paraId="146ACFE2">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1BE87639">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50015159">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1C10A5A2">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030" w:type="dxa"/>
            <w:tcBorders>
              <w:tl2br w:val="nil"/>
              <w:tr2bl w:val="nil"/>
            </w:tcBorders>
            <w:vAlign w:val="center"/>
          </w:tcPr>
          <w:p w14:paraId="5DD17081">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r>
      <w:tr w14:paraId="27F1A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720" w:type="dxa"/>
            <w:tcBorders>
              <w:tl2br w:val="nil"/>
              <w:tr2bl w:val="nil"/>
            </w:tcBorders>
            <w:vAlign w:val="center"/>
          </w:tcPr>
          <w:p w14:paraId="4D96522A">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4DBB0948">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64" w:type="dxa"/>
            <w:tcBorders>
              <w:tl2br w:val="nil"/>
              <w:tr2bl w:val="nil"/>
            </w:tcBorders>
            <w:vAlign w:val="center"/>
          </w:tcPr>
          <w:p w14:paraId="35610A6F">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12" w:type="dxa"/>
            <w:tcBorders>
              <w:tl2br w:val="nil"/>
              <w:tr2bl w:val="nil"/>
            </w:tcBorders>
            <w:vAlign w:val="center"/>
          </w:tcPr>
          <w:p w14:paraId="64868901">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4DB128C2">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7DAA8075">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63FB51B7">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030" w:type="dxa"/>
            <w:tcBorders>
              <w:tl2br w:val="nil"/>
              <w:tr2bl w:val="nil"/>
            </w:tcBorders>
            <w:vAlign w:val="center"/>
          </w:tcPr>
          <w:p w14:paraId="65A236F1">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r>
      <w:tr w14:paraId="5E372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720" w:type="dxa"/>
            <w:tcBorders>
              <w:tl2br w:val="nil"/>
              <w:tr2bl w:val="nil"/>
            </w:tcBorders>
            <w:vAlign w:val="center"/>
          </w:tcPr>
          <w:p w14:paraId="593AE172">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40A0E8DC">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64" w:type="dxa"/>
            <w:tcBorders>
              <w:tl2br w:val="nil"/>
              <w:tr2bl w:val="nil"/>
            </w:tcBorders>
            <w:vAlign w:val="center"/>
          </w:tcPr>
          <w:p w14:paraId="31AA408C">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12" w:type="dxa"/>
            <w:tcBorders>
              <w:tl2br w:val="nil"/>
              <w:tr2bl w:val="nil"/>
            </w:tcBorders>
            <w:vAlign w:val="center"/>
          </w:tcPr>
          <w:p w14:paraId="7D352A6F">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69CC907C">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00EDD0DA">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54D136D4">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030" w:type="dxa"/>
            <w:tcBorders>
              <w:tl2br w:val="nil"/>
              <w:tr2bl w:val="nil"/>
            </w:tcBorders>
            <w:vAlign w:val="center"/>
          </w:tcPr>
          <w:p w14:paraId="13677796">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r>
      <w:tr w14:paraId="338A2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720" w:type="dxa"/>
            <w:tcBorders>
              <w:tl2br w:val="nil"/>
              <w:tr2bl w:val="nil"/>
            </w:tcBorders>
            <w:vAlign w:val="center"/>
          </w:tcPr>
          <w:p w14:paraId="0CB31C54">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3A03A0FF">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64" w:type="dxa"/>
            <w:tcBorders>
              <w:tl2br w:val="nil"/>
              <w:tr2bl w:val="nil"/>
            </w:tcBorders>
            <w:vAlign w:val="center"/>
          </w:tcPr>
          <w:p w14:paraId="04157185">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12" w:type="dxa"/>
            <w:tcBorders>
              <w:tl2br w:val="nil"/>
              <w:tr2bl w:val="nil"/>
            </w:tcBorders>
            <w:vAlign w:val="center"/>
          </w:tcPr>
          <w:p w14:paraId="1515A799">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3AC847FD">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7D5E0E22">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21D0A86B">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030" w:type="dxa"/>
            <w:tcBorders>
              <w:tl2br w:val="nil"/>
              <w:tr2bl w:val="nil"/>
            </w:tcBorders>
            <w:vAlign w:val="center"/>
          </w:tcPr>
          <w:p w14:paraId="1A4F04D5">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r>
      <w:tr w14:paraId="70CE5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720" w:type="dxa"/>
            <w:tcBorders>
              <w:tl2br w:val="nil"/>
              <w:tr2bl w:val="nil"/>
            </w:tcBorders>
            <w:vAlign w:val="center"/>
          </w:tcPr>
          <w:p w14:paraId="166BBD76">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4B2404A4">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64" w:type="dxa"/>
            <w:tcBorders>
              <w:tl2br w:val="nil"/>
              <w:tr2bl w:val="nil"/>
            </w:tcBorders>
            <w:vAlign w:val="center"/>
          </w:tcPr>
          <w:p w14:paraId="28431053">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12" w:type="dxa"/>
            <w:tcBorders>
              <w:tl2br w:val="nil"/>
              <w:tr2bl w:val="nil"/>
            </w:tcBorders>
            <w:vAlign w:val="center"/>
          </w:tcPr>
          <w:p w14:paraId="052F2078">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4DD87B8F">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093AC093">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5B05169A">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030" w:type="dxa"/>
            <w:tcBorders>
              <w:tl2br w:val="nil"/>
              <w:tr2bl w:val="nil"/>
            </w:tcBorders>
            <w:vAlign w:val="center"/>
          </w:tcPr>
          <w:p w14:paraId="18AB6A1B">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r>
      <w:tr w14:paraId="60C6F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720" w:type="dxa"/>
            <w:tcBorders>
              <w:tl2br w:val="nil"/>
              <w:tr2bl w:val="nil"/>
            </w:tcBorders>
            <w:vAlign w:val="center"/>
          </w:tcPr>
          <w:p w14:paraId="72E9B284">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6466FFFB">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64" w:type="dxa"/>
            <w:tcBorders>
              <w:tl2br w:val="nil"/>
              <w:tr2bl w:val="nil"/>
            </w:tcBorders>
            <w:vAlign w:val="center"/>
          </w:tcPr>
          <w:p w14:paraId="3F07FD34">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712" w:type="dxa"/>
            <w:tcBorders>
              <w:tl2br w:val="nil"/>
              <w:tr2bl w:val="nil"/>
            </w:tcBorders>
            <w:vAlign w:val="center"/>
          </w:tcPr>
          <w:p w14:paraId="06320963">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0BEA6494">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1C43365E">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476" w:type="dxa"/>
            <w:tcBorders>
              <w:tl2br w:val="nil"/>
              <w:tr2bl w:val="nil"/>
            </w:tcBorders>
            <w:vAlign w:val="center"/>
          </w:tcPr>
          <w:p w14:paraId="3921C330">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c>
          <w:tcPr>
            <w:tcW w:w="1030" w:type="dxa"/>
            <w:tcBorders>
              <w:tl2br w:val="nil"/>
              <w:tr2bl w:val="nil"/>
            </w:tcBorders>
            <w:vAlign w:val="center"/>
          </w:tcPr>
          <w:p w14:paraId="1B0EAB99">
            <w:pPr>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p>
        </w:tc>
      </w:tr>
    </w:tbl>
    <w:p w14:paraId="09A9659E">
      <w:pPr>
        <w:pageBreakBefore w:val="0"/>
        <w:widowControl/>
        <w:overflowPunct/>
        <w:topLinePunct w:val="0"/>
        <w:bidi w:val="0"/>
        <w:spacing w:line="360" w:lineRule="auto"/>
        <w:ind w:firstLine="562"/>
        <w:jc w:val="center"/>
        <w:rPr>
          <w:rFonts w:hint="eastAsia" w:asciiTheme="minorEastAsia" w:hAnsiTheme="minorEastAsia" w:eastAsiaTheme="minorEastAsia" w:cstheme="minorEastAsia"/>
          <w:color w:val="auto"/>
          <w:sz w:val="21"/>
          <w:szCs w:val="21"/>
          <w:highlight w:val="none"/>
        </w:rPr>
      </w:pPr>
    </w:p>
    <w:p w14:paraId="4376F40C">
      <w:pPr>
        <w:pageBreakBefore w:val="0"/>
        <w:widowControl/>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注：该表中内容可自行扩展，内容可自行细化。</w:t>
      </w:r>
    </w:p>
    <w:p w14:paraId="5BD10BDE">
      <w:pPr>
        <w:pStyle w:val="16"/>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p w14:paraId="7840EC72">
      <w:pPr>
        <w:pStyle w:val="16"/>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2781C4B7">
      <w:pPr>
        <w:pStyle w:val="30"/>
        <w:pageBreakBefore w:val="0"/>
        <w:tabs>
          <w:tab w:val="left" w:pos="851"/>
        </w:tabs>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60EBA454">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（盖企业电子章）</w:t>
      </w:r>
    </w:p>
    <w:p w14:paraId="72D91B8A">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（签字或盖章或电子签章）</w:t>
      </w:r>
    </w:p>
    <w:p w14:paraId="52AAD374">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sectPr>
          <w:pgSz w:w="11910" w:h="16840"/>
          <w:pgMar w:top="1440" w:right="1417" w:bottom="1440" w:left="1417" w:header="567" w:footer="1000" w:gutter="0"/>
          <w:pgBorders>
            <w:top w:val="none" w:sz="0" w:space="0"/>
            <w:left w:val="none" w:sz="0" w:space="0"/>
            <w:bottom w:val="none" w:sz="0" w:space="0"/>
            <w:right w:val="none" w:sz="0" w:space="0"/>
          </w:pgBorders>
          <w:cols w:space="0" w:num="1"/>
        </w:sectPr>
      </w:pPr>
      <w:r>
        <w:rPr>
          <w:rFonts w:hint="eastAsia" w:asciiTheme="minorEastAsia" w:hAnsiTheme="minorEastAsia" w:eastAsiaTheme="minorEastAsia" w:cstheme="minorEastAsia"/>
          <w:color w:val="auto"/>
          <w:sz w:val="21"/>
          <w:szCs w:val="21"/>
          <w:highlight w:val="none"/>
        </w:rPr>
        <w:t>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 xml:space="preserve">日    </w:t>
      </w:r>
    </w:p>
    <w:p w14:paraId="120DFB65">
      <w:pPr>
        <w:pageBreakBefore w:val="0"/>
        <w:widowControl/>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bookmarkStart w:id="253" w:name="_Toc23700"/>
      <w:r>
        <w:rPr>
          <w:rFonts w:hint="eastAsia" w:asciiTheme="minorEastAsia" w:hAnsiTheme="minorEastAsia" w:eastAsiaTheme="minorEastAsia" w:cstheme="minorEastAsia"/>
          <w:b/>
          <w:color w:val="auto"/>
          <w:sz w:val="21"/>
          <w:szCs w:val="21"/>
          <w:highlight w:val="none"/>
        </w:rPr>
        <w:t>2.技术条款偏离表</w:t>
      </w:r>
      <w:bookmarkEnd w:id="253"/>
    </w:p>
    <w:tbl>
      <w:tblPr>
        <w:tblStyle w:val="38"/>
        <w:tblW w:w="994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5"/>
        <w:gridCol w:w="2380"/>
        <w:gridCol w:w="1388"/>
        <w:gridCol w:w="1302"/>
        <w:gridCol w:w="1092"/>
        <w:gridCol w:w="1874"/>
        <w:gridCol w:w="1406"/>
      </w:tblGrid>
      <w:tr w14:paraId="639F6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0" w:hRule="atLeast"/>
          <w:jc w:val="center"/>
        </w:trPr>
        <w:tc>
          <w:tcPr>
            <w:tcW w:w="395" w:type="dxa"/>
            <w:vMerge w:val="restart"/>
            <w:tcBorders>
              <w:top w:val="single" w:color="auto" w:sz="4" w:space="0"/>
              <w:left w:val="single" w:color="auto" w:sz="4" w:space="0"/>
              <w:right w:val="single" w:color="auto" w:sz="4" w:space="0"/>
            </w:tcBorders>
            <w:noWrap w:val="0"/>
            <w:vAlign w:val="center"/>
          </w:tcPr>
          <w:p w14:paraId="2B082969">
            <w:pPr>
              <w:jc w:val="center"/>
              <w:rPr>
                <w:rFonts w:hint="eastAsia" w:ascii="宋体" w:hAnsi="宋体" w:cs="宋体"/>
                <w:color w:val="auto"/>
                <w:szCs w:val="20"/>
                <w:highlight w:val="none"/>
              </w:rPr>
            </w:pPr>
            <w:bookmarkStart w:id="254" w:name="_Hlk5693446"/>
            <w:r>
              <w:rPr>
                <w:rFonts w:hint="eastAsia" w:ascii="宋体" w:hAnsi="宋体" w:cs="宋体"/>
                <w:color w:val="auto"/>
                <w:szCs w:val="20"/>
                <w:highlight w:val="none"/>
              </w:rPr>
              <w:t>序号</w:t>
            </w:r>
          </w:p>
        </w:tc>
        <w:tc>
          <w:tcPr>
            <w:tcW w:w="2380" w:type="dxa"/>
            <w:vMerge w:val="restart"/>
            <w:tcBorders>
              <w:top w:val="single" w:color="auto" w:sz="4" w:space="0"/>
              <w:left w:val="single" w:color="auto" w:sz="4" w:space="0"/>
              <w:right w:val="single" w:color="auto" w:sz="4" w:space="0"/>
            </w:tcBorders>
            <w:noWrap w:val="0"/>
            <w:vAlign w:val="center"/>
          </w:tcPr>
          <w:p w14:paraId="567AE2FE">
            <w:pPr>
              <w:jc w:val="center"/>
              <w:rPr>
                <w:rFonts w:hint="eastAsia" w:ascii="宋体" w:hAnsi="宋体" w:cs="宋体"/>
                <w:color w:val="auto"/>
                <w:szCs w:val="20"/>
                <w:highlight w:val="none"/>
              </w:rPr>
            </w:pPr>
            <w:r>
              <w:rPr>
                <w:rFonts w:hint="eastAsia" w:ascii="宋体" w:hAnsi="宋体" w:cs="宋体"/>
                <w:color w:val="auto"/>
                <w:szCs w:val="20"/>
                <w:highlight w:val="none"/>
              </w:rPr>
              <w:t>设备名称和条款号</w:t>
            </w:r>
          </w:p>
        </w:tc>
        <w:tc>
          <w:tcPr>
            <w:tcW w:w="2690" w:type="dxa"/>
            <w:gridSpan w:val="2"/>
            <w:tcBorders>
              <w:top w:val="single" w:color="auto" w:sz="4" w:space="0"/>
              <w:left w:val="single" w:color="auto" w:sz="4" w:space="0"/>
              <w:bottom w:val="single" w:color="auto" w:sz="4" w:space="0"/>
              <w:right w:val="single" w:color="auto" w:sz="4" w:space="0"/>
            </w:tcBorders>
            <w:noWrap w:val="0"/>
            <w:vAlign w:val="center"/>
          </w:tcPr>
          <w:p w14:paraId="0AB477EF">
            <w:pPr>
              <w:jc w:val="center"/>
              <w:rPr>
                <w:rFonts w:hint="eastAsia" w:ascii="宋体" w:hAnsi="宋体" w:cs="宋体"/>
                <w:color w:val="auto"/>
                <w:szCs w:val="20"/>
                <w:highlight w:val="none"/>
              </w:rPr>
            </w:pPr>
            <w:r>
              <w:rPr>
                <w:rFonts w:hint="eastAsia" w:ascii="宋体" w:hAnsi="宋体" w:cs="宋体"/>
                <w:color w:val="auto"/>
                <w:szCs w:val="20"/>
                <w:highlight w:val="none"/>
              </w:rPr>
              <w:t>技术参数及要求</w:t>
            </w:r>
          </w:p>
        </w:tc>
        <w:tc>
          <w:tcPr>
            <w:tcW w:w="1092" w:type="dxa"/>
            <w:vMerge w:val="restart"/>
            <w:tcBorders>
              <w:top w:val="single" w:color="auto" w:sz="4" w:space="0"/>
              <w:left w:val="single" w:color="auto" w:sz="4" w:space="0"/>
              <w:right w:val="single" w:color="auto" w:sz="4" w:space="0"/>
            </w:tcBorders>
            <w:noWrap w:val="0"/>
            <w:vAlign w:val="center"/>
          </w:tcPr>
          <w:p w14:paraId="1A20AA48">
            <w:pPr>
              <w:jc w:val="center"/>
              <w:rPr>
                <w:rFonts w:hint="eastAsia" w:ascii="宋体" w:hAnsi="宋体" w:cs="宋体"/>
                <w:color w:val="auto"/>
                <w:szCs w:val="20"/>
                <w:highlight w:val="none"/>
              </w:rPr>
            </w:pPr>
            <w:r>
              <w:rPr>
                <w:rFonts w:hint="eastAsia" w:ascii="宋体" w:hAnsi="宋体" w:cs="宋体"/>
                <w:color w:val="auto"/>
                <w:szCs w:val="20"/>
                <w:highlight w:val="none"/>
              </w:rPr>
              <w:t>对招标文件偏差</w:t>
            </w:r>
          </w:p>
        </w:tc>
        <w:tc>
          <w:tcPr>
            <w:tcW w:w="1874" w:type="dxa"/>
            <w:vMerge w:val="restart"/>
            <w:tcBorders>
              <w:top w:val="single" w:color="auto" w:sz="4" w:space="0"/>
              <w:left w:val="single" w:color="auto" w:sz="4" w:space="0"/>
              <w:right w:val="single" w:color="auto" w:sz="4" w:space="0"/>
            </w:tcBorders>
            <w:noWrap w:val="0"/>
            <w:vAlign w:val="center"/>
          </w:tcPr>
          <w:p w14:paraId="31C45550">
            <w:pPr>
              <w:jc w:val="center"/>
              <w:rPr>
                <w:rFonts w:hint="eastAsia" w:ascii="宋体" w:hAnsi="宋体" w:cs="宋体"/>
                <w:color w:val="auto"/>
                <w:szCs w:val="20"/>
                <w:highlight w:val="none"/>
              </w:rPr>
            </w:pPr>
            <w:r>
              <w:rPr>
                <w:rFonts w:hint="eastAsia" w:ascii="宋体" w:hAnsi="宋体" w:cs="宋体"/>
                <w:color w:val="auto"/>
                <w:highlight w:val="none"/>
              </w:rPr>
              <w:t>按第</w:t>
            </w:r>
            <w:r>
              <w:rPr>
                <w:rFonts w:hint="eastAsia" w:ascii="宋体" w:hAnsi="宋体" w:cs="宋体"/>
                <w:color w:val="auto"/>
                <w:highlight w:val="none"/>
                <w:lang w:val="en-US" w:eastAsia="zh-CN"/>
              </w:rPr>
              <w:t>三</w:t>
            </w:r>
            <w:r>
              <w:rPr>
                <w:rFonts w:hint="eastAsia" w:ascii="宋体" w:hAnsi="宋体" w:cs="宋体"/>
                <w:color w:val="auto"/>
                <w:highlight w:val="none"/>
              </w:rPr>
              <w:t>章要求提供设备彩页\检验报告\截图等技术证明文件，标明所在页码</w:t>
            </w:r>
          </w:p>
        </w:tc>
        <w:tc>
          <w:tcPr>
            <w:tcW w:w="1406" w:type="dxa"/>
            <w:vMerge w:val="restart"/>
            <w:tcBorders>
              <w:top w:val="single" w:color="auto" w:sz="4" w:space="0"/>
              <w:left w:val="single" w:color="auto" w:sz="4" w:space="0"/>
              <w:right w:val="single" w:color="auto" w:sz="4" w:space="0"/>
            </w:tcBorders>
            <w:noWrap w:val="0"/>
            <w:vAlign w:val="center"/>
          </w:tcPr>
          <w:p w14:paraId="44D2FF0D">
            <w:pPr>
              <w:jc w:val="center"/>
              <w:rPr>
                <w:rFonts w:hint="eastAsia" w:ascii="宋体" w:hAnsi="宋体" w:cs="宋体"/>
                <w:color w:val="auto"/>
                <w:szCs w:val="20"/>
                <w:highlight w:val="none"/>
              </w:rPr>
            </w:pPr>
            <w:r>
              <w:rPr>
                <w:rFonts w:hint="eastAsia" w:ascii="宋体" w:hAnsi="宋体" w:cs="宋体"/>
                <w:color w:val="auto"/>
                <w:highlight w:val="none"/>
              </w:rPr>
              <w:t>按第</w:t>
            </w:r>
            <w:r>
              <w:rPr>
                <w:rFonts w:hint="eastAsia" w:ascii="宋体" w:hAnsi="宋体" w:cs="宋体"/>
                <w:color w:val="auto"/>
                <w:highlight w:val="none"/>
                <w:lang w:val="en-US" w:eastAsia="zh-CN"/>
              </w:rPr>
              <w:t>三</w:t>
            </w:r>
            <w:r>
              <w:rPr>
                <w:rFonts w:hint="eastAsia" w:ascii="宋体" w:hAnsi="宋体" w:cs="宋体"/>
                <w:color w:val="auto"/>
                <w:highlight w:val="none"/>
              </w:rPr>
              <w:t>章要求</w:t>
            </w:r>
            <w:r>
              <w:rPr>
                <w:rFonts w:hint="eastAsia" w:ascii="宋体" w:hAnsi="宋体" w:cs="宋体"/>
                <w:color w:val="auto"/>
                <w:szCs w:val="20"/>
                <w:highlight w:val="none"/>
              </w:rPr>
              <w:t>所投设备属于强制节能产品</w:t>
            </w:r>
            <w:r>
              <w:rPr>
                <w:rFonts w:hint="eastAsia" w:ascii="宋体" w:hAnsi="宋体" w:cs="宋体"/>
                <w:color w:val="auto"/>
                <w:highlight w:val="none"/>
              </w:rPr>
              <w:t>，填写所在页码</w:t>
            </w:r>
          </w:p>
        </w:tc>
      </w:tr>
      <w:tr w14:paraId="57AC80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05" w:hRule="atLeast"/>
          <w:jc w:val="center"/>
        </w:trPr>
        <w:tc>
          <w:tcPr>
            <w:tcW w:w="395" w:type="dxa"/>
            <w:vMerge w:val="continue"/>
            <w:tcBorders>
              <w:left w:val="single" w:color="auto" w:sz="4" w:space="0"/>
              <w:bottom w:val="single" w:color="auto" w:sz="4" w:space="0"/>
              <w:right w:val="single" w:color="auto" w:sz="4" w:space="0"/>
            </w:tcBorders>
            <w:noWrap w:val="0"/>
            <w:vAlign w:val="center"/>
          </w:tcPr>
          <w:p w14:paraId="611B4A11">
            <w:pPr>
              <w:jc w:val="center"/>
              <w:rPr>
                <w:rFonts w:hint="eastAsia" w:ascii="宋体" w:hAnsi="宋体" w:cs="宋体"/>
                <w:color w:val="auto"/>
                <w:szCs w:val="20"/>
                <w:highlight w:val="none"/>
              </w:rPr>
            </w:pPr>
          </w:p>
        </w:tc>
        <w:tc>
          <w:tcPr>
            <w:tcW w:w="2380" w:type="dxa"/>
            <w:vMerge w:val="continue"/>
            <w:tcBorders>
              <w:left w:val="single" w:color="auto" w:sz="4" w:space="0"/>
              <w:bottom w:val="single" w:color="auto" w:sz="4" w:space="0"/>
              <w:right w:val="single" w:color="auto" w:sz="4" w:space="0"/>
            </w:tcBorders>
            <w:noWrap w:val="0"/>
            <w:vAlign w:val="center"/>
          </w:tcPr>
          <w:p w14:paraId="6ACBED71">
            <w:pPr>
              <w:jc w:val="center"/>
              <w:rPr>
                <w:rFonts w:hint="eastAsia" w:ascii="宋体" w:hAnsi="宋体" w:cs="宋体"/>
                <w:color w:val="auto"/>
                <w:szCs w:val="20"/>
                <w:highlight w:val="none"/>
              </w:rPr>
            </w:pPr>
          </w:p>
        </w:tc>
        <w:tc>
          <w:tcPr>
            <w:tcW w:w="1388" w:type="dxa"/>
            <w:tcBorders>
              <w:top w:val="single" w:color="auto" w:sz="4" w:space="0"/>
              <w:left w:val="single" w:color="auto" w:sz="4" w:space="0"/>
              <w:bottom w:val="single" w:color="auto" w:sz="4" w:space="0"/>
              <w:right w:val="single" w:color="auto" w:sz="4" w:space="0"/>
            </w:tcBorders>
            <w:noWrap w:val="0"/>
            <w:vAlign w:val="center"/>
          </w:tcPr>
          <w:p w14:paraId="7281D99F">
            <w:pPr>
              <w:jc w:val="center"/>
              <w:rPr>
                <w:rFonts w:hint="eastAsia" w:ascii="宋体" w:hAnsi="宋体" w:cs="宋体"/>
                <w:color w:val="auto"/>
                <w:szCs w:val="20"/>
                <w:highlight w:val="none"/>
              </w:rPr>
            </w:pPr>
            <w:r>
              <w:rPr>
                <w:rFonts w:hint="eastAsia" w:ascii="宋体" w:hAnsi="宋体" w:cs="宋体"/>
                <w:color w:val="auto"/>
                <w:szCs w:val="20"/>
                <w:highlight w:val="none"/>
              </w:rPr>
              <w:t>招标文件</w:t>
            </w:r>
          </w:p>
        </w:tc>
        <w:tc>
          <w:tcPr>
            <w:tcW w:w="1302" w:type="dxa"/>
            <w:tcBorders>
              <w:top w:val="single" w:color="auto" w:sz="4" w:space="0"/>
              <w:left w:val="single" w:color="auto" w:sz="4" w:space="0"/>
              <w:bottom w:val="single" w:color="auto" w:sz="4" w:space="0"/>
              <w:right w:val="single" w:color="auto" w:sz="4" w:space="0"/>
            </w:tcBorders>
            <w:noWrap w:val="0"/>
            <w:vAlign w:val="center"/>
          </w:tcPr>
          <w:p w14:paraId="5C487366">
            <w:pPr>
              <w:jc w:val="center"/>
              <w:rPr>
                <w:rFonts w:hint="eastAsia" w:ascii="宋体" w:hAnsi="宋体" w:cs="宋体"/>
                <w:color w:val="auto"/>
                <w:szCs w:val="20"/>
                <w:highlight w:val="none"/>
              </w:rPr>
            </w:pPr>
            <w:r>
              <w:rPr>
                <w:rFonts w:hint="eastAsia" w:ascii="宋体" w:hAnsi="宋体" w:cs="宋体"/>
                <w:color w:val="auto"/>
                <w:szCs w:val="20"/>
                <w:highlight w:val="none"/>
              </w:rPr>
              <w:t>投标文件</w:t>
            </w:r>
          </w:p>
        </w:tc>
        <w:tc>
          <w:tcPr>
            <w:tcW w:w="1092" w:type="dxa"/>
            <w:vMerge w:val="continue"/>
            <w:tcBorders>
              <w:left w:val="single" w:color="auto" w:sz="4" w:space="0"/>
              <w:bottom w:val="single" w:color="auto" w:sz="4" w:space="0"/>
              <w:right w:val="single" w:color="auto" w:sz="4" w:space="0"/>
            </w:tcBorders>
            <w:noWrap w:val="0"/>
            <w:vAlign w:val="center"/>
          </w:tcPr>
          <w:p w14:paraId="279DE28B">
            <w:pPr>
              <w:jc w:val="center"/>
              <w:rPr>
                <w:rFonts w:hint="eastAsia" w:ascii="宋体" w:hAnsi="宋体" w:cs="宋体"/>
                <w:color w:val="auto"/>
                <w:szCs w:val="20"/>
                <w:highlight w:val="none"/>
              </w:rPr>
            </w:pPr>
          </w:p>
        </w:tc>
        <w:tc>
          <w:tcPr>
            <w:tcW w:w="1874" w:type="dxa"/>
            <w:vMerge w:val="continue"/>
            <w:tcBorders>
              <w:left w:val="single" w:color="auto" w:sz="4" w:space="0"/>
              <w:bottom w:val="single" w:color="auto" w:sz="4" w:space="0"/>
              <w:right w:val="single" w:color="auto" w:sz="4" w:space="0"/>
            </w:tcBorders>
            <w:noWrap w:val="0"/>
            <w:vAlign w:val="center"/>
          </w:tcPr>
          <w:p w14:paraId="7E29D2B2">
            <w:pPr>
              <w:jc w:val="center"/>
              <w:rPr>
                <w:rFonts w:hint="eastAsia" w:ascii="宋体" w:hAnsi="宋体" w:cs="宋体"/>
                <w:color w:val="auto"/>
                <w:szCs w:val="20"/>
                <w:highlight w:val="none"/>
              </w:rPr>
            </w:pPr>
          </w:p>
        </w:tc>
        <w:tc>
          <w:tcPr>
            <w:tcW w:w="1406" w:type="dxa"/>
            <w:vMerge w:val="continue"/>
            <w:tcBorders>
              <w:left w:val="single" w:color="auto" w:sz="4" w:space="0"/>
              <w:bottom w:val="single" w:color="auto" w:sz="4" w:space="0"/>
              <w:right w:val="single" w:color="auto" w:sz="4" w:space="0"/>
            </w:tcBorders>
            <w:noWrap w:val="0"/>
            <w:vAlign w:val="center"/>
          </w:tcPr>
          <w:p w14:paraId="61A41E75">
            <w:pPr>
              <w:jc w:val="center"/>
              <w:rPr>
                <w:rFonts w:hint="eastAsia" w:ascii="宋体" w:hAnsi="宋体" w:cs="宋体"/>
                <w:color w:val="auto"/>
                <w:szCs w:val="20"/>
                <w:highlight w:val="none"/>
              </w:rPr>
            </w:pPr>
          </w:p>
        </w:tc>
      </w:tr>
      <w:tr w14:paraId="6E707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395" w:type="dxa"/>
            <w:tcBorders>
              <w:top w:val="single" w:color="auto" w:sz="4" w:space="0"/>
              <w:left w:val="single" w:color="auto" w:sz="4" w:space="0"/>
              <w:bottom w:val="single" w:color="auto" w:sz="4" w:space="0"/>
              <w:right w:val="single" w:color="auto" w:sz="4" w:space="0"/>
            </w:tcBorders>
            <w:noWrap w:val="0"/>
            <w:vAlign w:val="center"/>
          </w:tcPr>
          <w:p w14:paraId="426F9400">
            <w:pPr>
              <w:jc w:val="center"/>
              <w:rPr>
                <w:rFonts w:hint="eastAsia" w:ascii="宋体" w:hAnsi="宋体" w:cs="宋体"/>
                <w:color w:val="auto"/>
                <w:szCs w:val="20"/>
                <w:highlight w:val="none"/>
              </w:rPr>
            </w:pPr>
            <w:r>
              <w:rPr>
                <w:rFonts w:hint="eastAsia" w:ascii="宋体" w:hAnsi="宋体" w:cs="宋体"/>
                <w:color w:val="auto"/>
                <w:szCs w:val="20"/>
                <w:highlight w:val="none"/>
              </w:rPr>
              <w:t>1</w:t>
            </w:r>
          </w:p>
        </w:tc>
        <w:tc>
          <w:tcPr>
            <w:tcW w:w="2380" w:type="dxa"/>
            <w:tcBorders>
              <w:top w:val="single" w:color="auto" w:sz="4" w:space="0"/>
              <w:left w:val="single" w:color="auto" w:sz="4" w:space="0"/>
              <w:bottom w:val="single" w:color="auto" w:sz="4" w:space="0"/>
              <w:right w:val="single" w:color="auto" w:sz="4" w:space="0"/>
            </w:tcBorders>
            <w:noWrap w:val="0"/>
            <w:vAlign w:val="top"/>
          </w:tcPr>
          <w:p w14:paraId="404B8551">
            <w:pPr>
              <w:rPr>
                <w:rFonts w:hint="eastAsia" w:ascii="宋体" w:hAnsi="宋体" w:cs="宋体"/>
                <w:color w:val="auto"/>
                <w:szCs w:val="20"/>
                <w:highlight w:val="none"/>
              </w:rPr>
            </w:pPr>
            <w:r>
              <w:rPr>
                <w:rFonts w:hint="eastAsia" w:ascii="宋体" w:hAnsi="宋体" w:cs="宋体"/>
                <w:color w:val="auto"/>
                <w:szCs w:val="20"/>
                <w:highlight w:val="none"/>
              </w:rPr>
              <w:t>设备或配置名称1</w:t>
            </w:r>
          </w:p>
        </w:tc>
        <w:tc>
          <w:tcPr>
            <w:tcW w:w="1388" w:type="dxa"/>
            <w:tcBorders>
              <w:top w:val="single" w:color="auto" w:sz="4" w:space="0"/>
              <w:left w:val="single" w:color="auto" w:sz="4" w:space="0"/>
              <w:bottom w:val="single" w:color="auto" w:sz="4" w:space="0"/>
              <w:right w:val="single" w:color="auto" w:sz="4" w:space="0"/>
            </w:tcBorders>
            <w:noWrap w:val="0"/>
            <w:vAlign w:val="top"/>
          </w:tcPr>
          <w:p w14:paraId="7A9C57FC">
            <w:pPr>
              <w:rPr>
                <w:rFonts w:hint="eastAsia" w:ascii="宋体" w:hAnsi="宋体" w:cs="宋体"/>
                <w:color w:val="auto"/>
                <w:szCs w:val="20"/>
                <w:highlight w:val="none"/>
              </w:rPr>
            </w:pPr>
          </w:p>
        </w:tc>
        <w:tc>
          <w:tcPr>
            <w:tcW w:w="1302" w:type="dxa"/>
            <w:tcBorders>
              <w:top w:val="single" w:color="auto" w:sz="4" w:space="0"/>
              <w:left w:val="single" w:color="auto" w:sz="4" w:space="0"/>
              <w:bottom w:val="single" w:color="auto" w:sz="4" w:space="0"/>
              <w:right w:val="single" w:color="auto" w:sz="4" w:space="0"/>
            </w:tcBorders>
            <w:noWrap w:val="0"/>
            <w:vAlign w:val="top"/>
          </w:tcPr>
          <w:p w14:paraId="27AC8589">
            <w:pPr>
              <w:rPr>
                <w:rFonts w:hint="eastAsia" w:ascii="宋体" w:hAnsi="宋体" w:cs="宋体"/>
                <w:color w:val="auto"/>
                <w:szCs w:val="20"/>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top"/>
          </w:tcPr>
          <w:p w14:paraId="4DB2F4D4">
            <w:pPr>
              <w:rPr>
                <w:rFonts w:hint="eastAsia" w:ascii="宋体" w:hAnsi="宋体" w:cs="宋体"/>
                <w:color w:val="auto"/>
                <w:szCs w:val="20"/>
                <w:highlight w:val="none"/>
              </w:rPr>
            </w:pPr>
          </w:p>
        </w:tc>
        <w:tc>
          <w:tcPr>
            <w:tcW w:w="1874" w:type="dxa"/>
            <w:tcBorders>
              <w:top w:val="single" w:color="auto" w:sz="4" w:space="0"/>
              <w:left w:val="single" w:color="auto" w:sz="4" w:space="0"/>
              <w:bottom w:val="single" w:color="auto" w:sz="4" w:space="0"/>
              <w:right w:val="single" w:color="auto" w:sz="4" w:space="0"/>
            </w:tcBorders>
            <w:noWrap w:val="0"/>
            <w:vAlign w:val="top"/>
          </w:tcPr>
          <w:p w14:paraId="7E6CC42F">
            <w:pPr>
              <w:rPr>
                <w:rFonts w:hint="eastAsia" w:ascii="宋体" w:hAnsi="宋体" w:cs="宋体"/>
                <w:color w:val="auto"/>
                <w:szCs w:val="20"/>
                <w:highlight w:val="none"/>
              </w:rPr>
            </w:pPr>
          </w:p>
        </w:tc>
        <w:tc>
          <w:tcPr>
            <w:tcW w:w="1406" w:type="dxa"/>
            <w:tcBorders>
              <w:top w:val="single" w:color="auto" w:sz="4" w:space="0"/>
              <w:left w:val="single" w:color="auto" w:sz="4" w:space="0"/>
              <w:bottom w:val="single" w:color="auto" w:sz="4" w:space="0"/>
              <w:right w:val="single" w:color="auto" w:sz="4" w:space="0"/>
            </w:tcBorders>
            <w:noWrap w:val="0"/>
            <w:vAlign w:val="top"/>
          </w:tcPr>
          <w:p w14:paraId="755444E6">
            <w:pPr>
              <w:rPr>
                <w:rFonts w:hint="eastAsia" w:ascii="宋体" w:hAnsi="宋体" w:cs="宋体"/>
                <w:color w:val="auto"/>
                <w:szCs w:val="20"/>
                <w:highlight w:val="none"/>
              </w:rPr>
            </w:pPr>
          </w:p>
        </w:tc>
      </w:tr>
      <w:tr w14:paraId="73AB66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395" w:type="dxa"/>
            <w:tcBorders>
              <w:top w:val="single" w:color="auto" w:sz="4" w:space="0"/>
              <w:left w:val="single" w:color="auto" w:sz="4" w:space="0"/>
              <w:bottom w:val="single" w:color="auto" w:sz="4" w:space="0"/>
              <w:right w:val="single" w:color="auto" w:sz="4" w:space="0"/>
            </w:tcBorders>
            <w:noWrap w:val="0"/>
            <w:vAlign w:val="center"/>
          </w:tcPr>
          <w:p w14:paraId="5AED4B2B">
            <w:pPr>
              <w:jc w:val="center"/>
              <w:rPr>
                <w:rFonts w:hint="eastAsia" w:ascii="宋体" w:hAnsi="宋体" w:cs="宋体"/>
                <w:color w:val="auto"/>
                <w:szCs w:val="20"/>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472A08A7">
            <w:pPr>
              <w:rPr>
                <w:rFonts w:hint="eastAsia" w:ascii="宋体" w:hAnsi="宋体" w:cs="宋体"/>
                <w:color w:val="auto"/>
                <w:szCs w:val="20"/>
                <w:highlight w:val="none"/>
              </w:rPr>
            </w:pPr>
            <w:r>
              <w:rPr>
                <w:rFonts w:hint="eastAsia" w:ascii="宋体" w:hAnsi="宋体" w:cs="宋体"/>
                <w:color w:val="auto"/>
                <w:szCs w:val="20"/>
                <w:highlight w:val="none"/>
              </w:rPr>
              <w:t xml:space="preserve">         参数名称1</w:t>
            </w:r>
          </w:p>
        </w:tc>
        <w:tc>
          <w:tcPr>
            <w:tcW w:w="1388" w:type="dxa"/>
            <w:tcBorders>
              <w:top w:val="single" w:color="auto" w:sz="4" w:space="0"/>
              <w:left w:val="single" w:color="auto" w:sz="4" w:space="0"/>
              <w:bottom w:val="single" w:color="auto" w:sz="4" w:space="0"/>
              <w:right w:val="single" w:color="auto" w:sz="4" w:space="0"/>
            </w:tcBorders>
            <w:noWrap w:val="0"/>
            <w:vAlign w:val="top"/>
          </w:tcPr>
          <w:p w14:paraId="2BCA8808">
            <w:pPr>
              <w:rPr>
                <w:rFonts w:hint="eastAsia" w:ascii="宋体" w:hAnsi="宋体" w:cs="宋体"/>
                <w:color w:val="auto"/>
                <w:szCs w:val="20"/>
                <w:highlight w:val="none"/>
              </w:rPr>
            </w:pPr>
          </w:p>
        </w:tc>
        <w:tc>
          <w:tcPr>
            <w:tcW w:w="1302" w:type="dxa"/>
            <w:tcBorders>
              <w:top w:val="single" w:color="auto" w:sz="4" w:space="0"/>
              <w:left w:val="single" w:color="auto" w:sz="4" w:space="0"/>
              <w:bottom w:val="single" w:color="auto" w:sz="4" w:space="0"/>
              <w:right w:val="single" w:color="auto" w:sz="4" w:space="0"/>
            </w:tcBorders>
            <w:noWrap w:val="0"/>
            <w:vAlign w:val="top"/>
          </w:tcPr>
          <w:p w14:paraId="6FC52704">
            <w:pPr>
              <w:rPr>
                <w:rFonts w:hint="eastAsia" w:ascii="宋体" w:hAnsi="宋体" w:cs="宋体"/>
                <w:color w:val="auto"/>
                <w:szCs w:val="20"/>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top"/>
          </w:tcPr>
          <w:p w14:paraId="45E59E89">
            <w:pPr>
              <w:rPr>
                <w:rFonts w:hint="eastAsia" w:ascii="宋体" w:hAnsi="宋体" w:cs="宋体"/>
                <w:color w:val="auto"/>
                <w:szCs w:val="20"/>
                <w:highlight w:val="none"/>
              </w:rPr>
            </w:pPr>
          </w:p>
        </w:tc>
        <w:tc>
          <w:tcPr>
            <w:tcW w:w="1874" w:type="dxa"/>
            <w:tcBorders>
              <w:top w:val="single" w:color="auto" w:sz="4" w:space="0"/>
              <w:left w:val="single" w:color="auto" w:sz="4" w:space="0"/>
              <w:bottom w:val="single" w:color="auto" w:sz="4" w:space="0"/>
              <w:right w:val="single" w:color="auto" w:sz="4" w:space="0"/>
            </w:tcBorders>
            <w:noWrap w:val="0"/>
            <w:vAlign w:val="top"/>
          </w:tcPr>
          <w:p w14:paraId="63BF9096">
            <w:pPr>
              <w:rPr>
                <w:rFonts w:hint="eastAsia" w:ascii="宋体" w:hAnsi="宋体" w:cs="宋体"/>
                <w:color w:val="auto"/>
                <w:szCs w:val="20"/>
                <w:highlight w:val="none"/>
              </w:rPr>
            </w:pPr>
          </w:p>
        </w:tc>
        <w:tc>
          <w:tcPr>
            <w:tcW w:w="1406" w:type="dxa"/>
            <w:tcBorders>
              <w:top w:val="single" w:color="auto" w:sz="4" w:space="0"/>
              <w:left w:val="single" w:color="auto" w:sz="4" w:space="0"/>
              <w:bottom w:val="single" w:color="auto" w:sz="4" w:space="0"/>
              <w:right w:val="single" w:color="auto" w:sz="4" w:space="0"/>
            </w:tcBorders>
            <w:noWrap w:val="0"/>
            <w:vAlign w:val="top"/>
          </w:tcPr>
          <w:p w14:paraId="4E43D6CF">
            <w:pPr>
              <w:rPr>
                <w:rFonts w:hint="eastAsia" w:ascii="宋体" w:hAnsi="宋体" w:cs="宋体"/>
                <w:color w:val="auto"/>
                <w:szCs w:val="20"/>
                <w:highlight w:val="none"/>
              </w:rPr>
            </w:pPr>
          </w:p>
        </w:tc>
      </w:tr>
      <w:tr w14:paraId="7E82B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395" w:type="dxa"/>
            <w:tcBorders>
              <w:top w:val="single" w:color="auto" w:sz="4" w:space="0"/>
              <w:left w:val="single" w:color="auto" w:sz="4" w:space="0"/>
              <w:bottom w:val="single" w:color="auto" w:sz="4" w:space="0"/>
              <w:right w:val="single" w:color="auto" w:sz="4" w:space="0"/>
            </w:tcBorders>
            <w:noWrap w:val="0"/>
            <w:vAlign w:val="center"/>
          </w:tcPr>
          <w:p w14:paraId="1F765D8A">
            <w:pPr>
              <w:jc w:val="center"/>
              <w:rPr>
                <w:rFonts w:hint="eastAsia" w:ascii="宋体" w:hAnsi="宋体" w:cs="宋体"/>
                <w:color w:val="auto"/>
                <w:szCs w:val="20"/>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220610D4">
            <w:pPr>
              <w:rPr>
                <w:rFonts w:hint="eastAsia" w:ascii="宋体" w:hAnsi="宋体" w:cs="宋体"/>
                <w:color w:val="auto"/>
                <w:szCs w:val="20"/>
                <w:highlight w:val="none"/>
              </w:rPr>
            </w:pPr>
            <w:r>
              <w:rPr>
                <w:rFonts w:hint="eastAsia" w:ascii="宋体" w:hAnsi="宋体" w:cs="宋体"/>
                <w:color w:val="auto"/>
                <w:szCs w:val="20"/>
                <w:highlight w:val="none"/>
              </w:rPr>
              <w:t xml:space="preserve">         参数名称2</w:t>
            </w:r>
          </w:p>
        </w:tc>
        <w:tc>
          <w:tcPr>
            <w:tcW w:w="1388" w:type="dxa"/>
            <w:tcBorders>
              <w:top w:val="single" w:color="auto" w:sz="4" w:space="0"/>
              <w:left w:val="single" w:color="auto" w:sz="4" w:space="0"/>
              <w:bottom w:val="single" w:color="auto" w:sz="4" w:space="0"/>
              <w:right w:val="single" w:color="auto" w:sz="4" w:space="0"/>
            </w:tcBorders>
            <w:noWrap w:val="0"/>
            <w:vAlign w:val="top"/>
          </w:tcPr>
          <w:p w14:paraId="727C95B5">
            <w:pPr>
              <w:rPr>
                <w:rFonts w:hint="eastAsia" w:ascii="宋体" w:hAnsi="宋体" w:cs="宋体"/>
                <w:color w:val="auto"/>
                <w:szCs w:val="20"/>
                <w:highlight w:val="none"/>
              </w:rPr>
            </w:pPr>
          </w:p>
        </w:tc>
        <w:tc>
          <w:tcPr>
            <w:tcW w:w="1302" w:type="dxa"/>
            <w:tcBorders>
              <w:top w:val="single" w:color="auto" w:sz="4" w:space="0"/>
              <w:left w:val="single" w:color="auto" w:sz="4" w:space="0"/>
              <w:bottom w:val="single" w:color="auto" w:sz="4" w:space="0"/>
              <w:right w:val="single" w:color="auto" w:sz="4" w:space="0"/>
            </w:tcBorders>
            <w:noWrap w:val="0"/>
            <w:vAlign w:val="top"/>
          </w:tcPr>
          <w:p w14:paraId="5DB6C183">
            <w:pPr>
              <w:rPr>
                <w:rFonts w:hint="eastAsia" w:ascii="宋体" w:hAnsi="宋体" w:cs="宋体"/>
                <w:color w:val="auto"/>
                <w:szCs w:val="20"/>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top"/>
          </w:tcPr>
          <w:p w14:paraId="38906343">
            <w:pPr>
              <w:rPr>
                <w:rFonts w:hint="eastAsia" w:ascii="宋体" w:hAnsi="宋体" w:cs="宋体"/>
                <w:color w:val="auto"/>
                <w:szCs w:val="20"/>
                <w:highlight w:val="none"/>
              </w:rPr>
            </w:pPr>
          </w:p>
        </w:tc>
        <w:tc>
          <w:tcPr>
            <w:tcW w:w="1874" w:type="dxa"/>
            <w:tcBorders>
              <w:top w:val="single" w:color="auto" w:sz="4" w:space="0"/>
              <w:left w:val="single" w:color="auto" w:sz="4" w:space="0"/>
              <w:bottom w:val="single" w:color="auto" w:sz="4" w:space="0"/>
              <w:right w:val="single" w:color="auto" w:sz="4" w:space="0"/>
            </w:tcBorders>
            <w:noWrap w:val="0"/>
            <w:vAlign w:val="top"/>
          </w:tcPr>
          <w:p w14:paraId="692D22E6">
            <w:pPr>
              <w:rPr>
                <w:rFonts w:hint="eastAsia" w:ascii="宋体" w:hAnsi="宋体" w:cs="宋体"/>
                <w:color w:val="auto"/>
                <w:szCs w:val="20"/>
                <w:highlight w:val="none"/>
              </w:rPr>
            </w:pPr>
          </w:p>
        </w:tc>
        <w:tc>
          <w:tcPr>
            <w:tcW w:w="1406" w:type="dxa"/>
            <w:tcBorders>
              <w:top w:val="single" w:color="auto" w:sz="4" w:space="0"/>
              <w:left w:val="single" w:color="auto" w:sz="4" w:space="0"/>
              <w:bottom w:val="single" w:color="auto" w:sz="4" w:space="0"/>
              <w:right w:val="single" w:color="auto" w:sz="4" w:space="0"/>
            </w:tcBorders>
            <w:noWrap w:val="0"/>
            <w:vAlign w:val="top"/>
          </w:tcPr>
          <w:p w14:paraId="56F9599B">
            <w:pPr>
              <w:rPr>
                <w:rFonts w:hint="eastAsia" w:ascii="宋体" w:hAnsi="宋体" w:cs="宋体"/>
                <w:color w:val="auto"/>
                <w:szCs w:val="20"/>
                <w:highlight w:val="none"/>
              </w:rPr>
            </w:pPr>
          </w:p>
        </w:tc>
      </w:tr>
      <w:tr w14:paraId="42E85B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395" w:type="dxa"/>
            <w:tcBorders>
              <w:top w:val="single" w:color="auto" w:sz="4" w:space="0"/>
              <w:left w:val="single" w:color="auto" w:sz="4" w:space="0"/>
              <w:bottom w:val="single" w:color="auto" w:sz="4" w:space="0"/>
              <w:right w:val="single" w:color="auto" w:sz="4" w:space="0"/>
            </w:tcBorders>
            <w:noWrap w:val="0"/>
            <w:vAlign w:val="center"/>
          </w:tcPr>
          <w:p w14:paraId="0977B247">
            <w:pPr>
              <w:jc w:val="center"/>
              <w:rPr>
                <w:rFonts w:hint="eastAsia" w:ascii="宋体" w:hAnsi="宋体" w:cs="宋体"/>
                <w:color w:val="auto"/>
                <w:szCs w:val="20"/>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4BF9E5AE">
            <w:pPr>
              <w:rPr>
                <w:rFonts w:hint="eastAsia" w:ascii="宋体" w:hAnsi="宋体" w:cs="宋体"/>
                <w:color w:val="auto"/>
                <w:szCs w:val="20"/>
                <w:highlight w:val="none"/>
              </w:rPr>
            </w:pPr>
            <w:r>
              <w:rPr>
                <w:rFonts w:hint="eastAsia" w:ascii="宋体" w:hAnsi="宋体" w:cs="宋体"/>
                <w:color w:val="auto"/>
                <w:szCs w:val="20"/>
                <w:highlight w:val="none"/>
              </w:rPr>
              <w:t xml:space="preserve">         ……</w:t>
            </w:r>
          </w:p>
        </w:tc>
        <w:tc>
          <w:tcPr>
            <w:tcW w:w="1388" w:type="dxa"/>
            <w:tcBorders>
              <w:top w:val="single" w:color="auto" w:sz="4" w:space="0"/>
              <w:left w:val="single" w:color="auto" w:sz="4" w:space="0"/>
              <w:bottom w:val="single" w:color="auto" w:sz="4" w:space="0"/>
              <w:right w:val="single" w:color="auto" w:sz="4" w:space="0"/>
            </w:tcBorders>
            <w:noWrap w:val="0"/>
            <w:vAlign w:val="top"/>
          </w:tcPr>
          <w:p w14:paraId="7E3E3AA6">
            <w:pPr>
              <w:rPr>
                <w:rFonts w:hint="eastAsia" w:ascii="宋体" w:hAnsi="宋体" w:cs="宋体"/>
                <w:color w:val="auto"/>
                <w:szCs w:val="20"/>
                <w:highlight w:val="none"/>
              </w:rPr>
            </w:pPr>
          </w:p>
        </w:tc>
        <w:tc>
          <w:tcPr>
            <w:tcW w:w="1302" w:type="dxa"/>
            <w:tcBorders>
              <w:top w:val="single" w:color="auto" w:sz="4" w:space="0"/>
              <w:left w:val="single" w:color="auto" w:sz="4" w:space="0"/>
              <w:bottom w:val="single" w:color="auto" w:sz="4" w:space="0"/>
              <w:right w:val="single" w:color="auto" w:sz="4" w:space="0"/>
            </w:tcBorders>
            <w:noWrap w:val="0"/>
            <w:vAlign w:val="top"/>
          </w:tcPr>
          <w:p w14:paraId="082C2E5A">
            <w:pPr>
              <w:rPr>
                <w:rFonts w:hint="eastAsia" w:ascii="宋体" w:hAnsi="宋体" w:cs="宋体"/>
                <w:color w:val="auto"/>
                <w:szCs w:val="20"/>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top"/>
          </w:tcPr>
          <w:p w14:paraId="797F0DD6">
            <w:pPr>
              <w:rPr>
                <w:rFonts w:hint="eastAsia" w:ascii="宋体" w:hAnsi="宋体" w:cs="宋体"/>
                <w:color w:val="auto"/>
                <w:szCs w:val="20"/>
                <w:highlight w:val="none"/>
              </w:rPr>
            </w:pPr>
          </w:p>
        </w:tc>
        <w:tc>
          <w:tcPr>
            <w:tcW w:w="1874" w:type="dxa"/>
            <w:tcBorders>
              <w:top w:val="single" w:color="auto" w:sz="4" w:space="0"/>
              <w:left w:val="single" w:color="auto" w:sz="4" w:space="0"/>
              <w:bottom w:val="single" w:color="auto" w:sz="4" w:space="0"/>
              <w:right w:val="single" w:color="auto" w:sz="4" w:space="0"/>
            </w:tcBorders>
            <w:noWrap w:val="0"/>
            <w:vAlign w:val="top"/>
          </w:tcPr>
          <w:p w14:paraId="5FDC0417">
            <w:pPr>
              <w:rPr>
                <w:rFonts w:hint="eastAsia" w:ascii="宋体" w:hAnsi="宋体" w:cs="宋体"/>
                <w:color w:val="auto"/>
                <w:szCs w:val="20"/>
                <w:highlight w:val="none"/>
              </w:rPr>
            </w:pPr>
          </w:p>
        </w:tc>
        <w:tc>
          <w:tcPr>
            <w:tcW w:w="1406" w:type="dxa"/>
            <w:tcBorders>
              <w:top w:val="single" w:color="auto" w:sz="4" w:space="0"/>
              <w:left w:val="single" w:color="auto" w:sz="4" w:space="0"/>
              <w:bottom w:val="single" w:color="auto" w:sz="4" w:space="0"/>
              <w:right w:val="single" w:color="auto" w:sz="4" w:space="0"/>
            </w:tcBorders>
            <w:noWrap w:val="0"/>
            <w:vAlign w:val="top"/>
          </w:tcPr>
          <w:p w14:paraId="6BBB2423">
            <w:pPr>
              <w:rPr>
                <w:rFonts w:hint="eastAsia" w:ascii="宋体" w:hAnsi="宋体" w:cs="宋体"/>
                <w:color w:val="auto"/>
                <w:szCs w:val="20"/>
                <w:highlight w:val="none"/>
              </w:rPr>
            </w:pPr>
          </w:p>
        </w:tc>
      </w:tr>
      <w:tr w14:paraId="5C5B7E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395" w:type="dxa"/>
            <w:tcBorders>
              <w:top w:val="single" w:color="auto" w:sz="4" w:space="0"/>
              <w:left w:val="single" w:color="auto" w:sz="4" w:space="0"/>
              <w:bottom w:val="single" w:color="auto" w:sz="4" w:space="0"/>
              <w:right w:val="single" w:color="auto" w:sz="4" w:space="0"/>
            </w:tcBorders>
            <w:noWrap w:val="0"/>
            <w:vAlign w:val="center"/>
          </w:tcPr>
          <w:p w14:paraId="6BAECBBE">
            <w:pPr>
              <w:jc w:val="center"/>
              <w:rPr>
                <w:rFonts w:hint="eastAsia" w:ascii="宋体" w:hAnsi="宋体" w:cs="宋体"/>
                <w:color w:val="auto"/>
                <w:szCs w:val="20"/>
                <w:highlight w:val="none"/>
              </w:rPr>
            </w:pPr>
            <w:r>
              <w:rPr>
                <w:rFonts w:hint="eastAsia" w:ascii="宋体" w:hAnsi="宋体" w:cs="宋体"/>
                <w:color w:val="auto"/>
                <w:szCs w:val="20"/>
                <w:highlight w:val="none"/>
              </w:rPr>
              <w:t>2</w:t>
            </w:r>
          </w:p>
        </w:tc>
        <w:tc>
          <w:tcPr>
            <w:tcW w:w="2380" w:type="dxa"/>
            <w:tcBorders>
              <w:top w:val="single" w:color="auto" w:sz="4" w:space="0"/>
              <w:left w:val="single" w:color="auto" w:sz="4" w:space="0"/>
              <w:bottom w:val="single" w:color="auto" w:sz="4" w:space="0"/>
              <w:right w:val="single" w:color="auto" w:sz="4" w:space="0"/>
            </w:tcBorders>
            <w:noWrap w:val="0"/>
            <w:vAlign w:val="top"/>
          </w:tcPr>
          <w:p w14:paraId="63AB65F3">
            <w:pPr>
              <w:rPr>
                <w:rFonts w:hint="eastAsia" w:ascii="宋体" w:hAnsi="宋体" w:cs="宋体"/>
                <w:color w:val="auto"/>
                <w:szCs w:val="20"/>
                <w:highlight w:val="none"/>
              </w:rPr>
            </w:pPr>
            <w:r>
              <w:rPr>
                <w:rFonts w:hint="eastAsia" w:ascii="宋体" w:hAnsi="宋体" w:cs="宋体"/>
                <w:color w:val="auto"/>
                <w:szCs w:val="20"/>
                <w:highlight w:val="none"/>
              </w:rPr>
              <w:t>设备或配置名称1</w:t>
            </w:r>
          </w:p>
        </w:tc>
        <w:tc>
          <w:tcPr>
            <w:tcW w:w="1388" w:type="dxa"/>
            <w:tcBorders>
              <w:top w:val="single" w:color="auto" w:sz="4" w:space="0"/>
              <w:left w:val="single" w:color="auto" w:sz="4" w:space="0"/>
              <w:bottom w:val="single" w:color="auto" w:sz="4" w:space="0"/>
              <w:right w:val="single" w:color="auto" w:sz="4" w:space="0"/>
            </w:tcBorders>
            <w:noWrap w:val="0"/>
            <w:vAlign w:val="top"/>
          </w:tcPr>
          <w:p w14:paraId="6D74453B">
            <w:pPr>
              <w:rPr>
                <w:rFonts w:hint="eastAsia" w:ascii="宋体" w:hAnsi="宋体" w:cs="宋体"/>
                <w:color w:val="auto"/>
                <w:szCs w:val="20"/>
                <w:highlight w:val="none"/>
              </w:rPr>
            </w:pPr>
          </w:p>
        </w:tc>
        <w:tc>
          <w:tcPr>
            <w:tcW w:w="1302" w:type="dxa"/>
            <w:tcBorders>
              <w:top w:val="single" w:color="auto" w:sz="4" w:space="0"/>
              <w:left w:val="single" w:color="auto" w:sz="4" w:space="0"/>
              <w:bottom w:val="single" w:color="auto" w:sz="4" w:space="0"/>
              <w:right w:val="single" w:color="auto" w:sz="4" w:space="0"/>
            </w:tcBorders>
            <w:noWrap w:val="0"/>
            <w:vAlign w:val="top"/>
          </w:tcPr>
          <w:p w14:paraId="766D2B8C">
            <w:pPr>
              <w:rPr>
                <w:rFonts w:hint="eastAsia" w:ascii="宋体" w:hAnsi="宋体" w:cs="宋体"/>
                <w:color w:val="auto"/>
                <w:szCs w:val="20"/>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top"/>
          </w:tcPr>
          <w:p w14:paraId="7E4303E5">
            <w:pPr>
              <w:rPr>
                <w:rFonts w:hint="eastAsia" w:ascii="宋体" w:hAnsi="宋体" w:cs="宋体"/>
                <w:color w:val="auto"/>
                <w:szCs w:val="20"/>
                <w:highlight w:val="none"/>
              </w:rPr>
            </w:pPr>
          </w:p>
        </w:tc>
        <w:tc>
          <w:tcPr>
            <w:tcW w:w="1874" w:type="dxa"/>
            <w:tcBorders>
              <w:top w:val="single" w:color="auto" w:sz="4" w:space="0"/>
              <w:left w:val="single" w:color="auto" w:sz="4" w:space="0"/>
              <w:bottom w:val="single" w:color="auto" w:sz="4" w:space="0"/>
              <w:right w:val="single" w:color="auto" w:sz="4" w:space="0"/>
            </w:tcBorders>
            <w:noWrap w:val="0"/>
            <w:vAlign w:val="top"/>
          </w:tcPr>
          <w:p w14:paraId="54723150">
            <w:pPr>
              <w:rPr>
                <w:rFonts w:hint="eastAsia" w:ascii="宋体" w:hAnsi="宋体" w:cs="宋体"/>
                <w:color w:val="auto"/>
                <w:szCs w:val="20"/>
                <w:highlight w:val="none"/>
              </w:rPr>
            </w:pPr>
          </w:p>
        </w:tc>
        <w:tc>
          <w:tcPr>
            <w:tcW w:w="1406" w:type="dxa"/>
            <w:tcBorders>
              <w:top w:val="single" w:color="auto" w:sz="4" w:space="0"/>
              <w:left w:val="single" w:color="auto" w:sz="4" w:space="0"/>
              <w:bottom w:val="single" w:color="auto" w:sz="4" w:space="0"/>
              <w:right w:val="single" w:color="auto" w:sz="4" w:space="0"/>
            </w:tcBorders>
            <w:noWrap w:val="0"/>
            <w:vAlign w:val="top"/>
          </w:tcPr>
          <w:p w14:paraId="7E616579">
            <w:pPr>
              <w:rPr>
                <w:rFonts w:hint="eastAsia" w:ascii="宋体" w:hAnsi="宋体" w:cs="宋体"/>
                <w:color w:val="auto"/>
                <w:szCs w:val="20"/>
                <w:highlight w:val="none"/>
              </w:rPr>
            </w:pPr>
          </w:p>
        </w:tc>
      </w:tr>
      <w:tr w14:paraId="38AF0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395" w:type="dxa"/>
            <w:tcBorders>
              <w:top w:val="single" w:color="auto" w:sz="4" w:space="0"/>
              <w:left w:val="single" w:color="auto" w:sz="4" w:space="0"/>
              <w:bottom w:val="single" w:color="auto" w:sz="4" w:space="0"/>
              <w:right w:val="single" w:color="auto" w:sz="4" w:space="0"/>
            </w:tcBorders>
            <w:noWrap w:val="0"/>
            <w:vAlign w:val="center"/>
          </w:tcPr>
          <w:p w14:paraId="50EA673A">
            <w:pPr>
              <w:jc w:val="center"/>
              <w:rPr>
                <w:rFonts w:hint="eastAsia" w:ascii="宋体" w:hAnsi="宋体" w:cs="宋体"/>
                <w:color w:val="auto"/>
                <w:szCs w:val="20"/>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5C2A45D5">
            <w:pPr>
              <w:rPr>
                <w:rFonts w:hint="eastAsia" w:ascii="宋体" w:hAnsi="宋体" w:cs="宋体"/>
                <w:color w:val="auto"/>
                <w:szCs w:val="20"/>
                <w:highlight w:val="none"/>
              </w:rPr>
            </w:pPr>
            <w:r>
              <w:rPr>
                <w:rFonts w:hint="eastAsia" w:ascii="宋体" w:hAnsi="宋体" w:cs="宋体"/>
                <w:color w:val="auto"/>
                <w:szCs w:val="20"/>
                <w:highlight w:val="none"/>
              </w:rPr>
              <w:t xml:space="preserve">         参数名称1</w:t>
            </w:r>
          </w:p>
        </w:tc>
        <w:tc>
          <w:tcPr>
            <w:tcW w:w="1388" w:type="dxa"/>
            <w:tcBorders>
              <w:top w:val="single" w:color="auto" w:sz="4" w:space="0"/>
              <w:left w:val="single" w:color="auto" w:sz="4" w:space="0"/>
              <w:bottom w:val="single" w:color="auto" w:sz="4" w:space="0"/>
              <w:right w:val="single" w:color="auto" w:sz="4" w:space="0"/>
            </w:tcBorders>
            <w:noWrap w:val="0"/>
            <w:vAlign w:val="top"/>
          </w:tcPr>
          <w:p w14:paraId="0AB957C7">
            <w:pPr>
              <w:rPr>
                <w:rFonts w:hint="eastAsia" w:ascii="宋体" w:hAnsi="宋体" w:cs="宋体"/>
                <w:color w:val="auto"/>
                <w:szCs w:val="20"/>
                <w:highlight w:val="none"/>
              </w:rPr>
            </w:pPr>
          </w:p>
        </w:tc>
        <w:tc>
          <w:tcPr>
            <w:tcW w:w="1302" w:type="dxa"/>
            <w:tcBorders>
              <w:top w:val="single" w:color="auto" w:sz="4" w:space="0"/>
              <w:left w:val="single" w:color="auto" w:sz="4" w:space="0"/>
              <w:bottom w:val="single" w:color="auto" w:sz="4" w:space="0"/>
              <w:right w:val="single" w:color="auto" w:sz="4" w:space="0"/>
            </w:tcBorders>
            <w:noWrap w:val="0"/>
            <w:vAlign w:val="top"/>
          </w:tcPr>
          <w:p w14:paraId="74BDCAA7">
            <w:pPr>
              <w:rPr>
                <w:rFonts w:hint="eastAsia" w:ascii="宋体" w:hAnsi="宋体" w:cs="宋体"/>
                <w:color w:val="auto"/>
                <w:szCs w:val="20"/>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top"/>
          </w:tcPr>
          <w:p w14:paraId="7A6DB213">
            <w:pPr>
              <w:rPr>
                <w:rFonts w:hint="eastAsia" w:ascii="宋体" w:hAnsi="宋体" w:cs="宋体"/>
                <w:color w:val="auto"/>
                <w:szCs w:val="20"/>
                <w:highlight w:val="none"/>
              </w:rPr>
            </w:pPr>
          </w:p>
        </w:tc>
        <w:tc>
          <w:tcPr>
            <w:tcW w:w="1874" w:type="dxa"/>
            <w:tcBorders>
              <w:top w:val="single" w:color="auto" w:sz="4" w:space="0"/>
              <w:left w:val="single" w:color="auto" w:sz="4" w:space="0"/>
              <w:bottom w:val="single" w:color="auto" w:sz="4" w:space="0"/>
              <w:right w:val="single" w:color="auto" w:sz="4" w:space="0"/>
            </w:tcBorders>
            <w:noWrap w:val="0"/>
            <w:vAlign w:val="top"/>
          </w:tcPr>
          <w:p w14:paraId="1839026B">
            <w:pPr>
              <w:rPr>
                <w:rFonts w:hint="eastAsia" w:ascii="宋体" w:hAnsi="宋体" w:cs="宋体"/>
                <w:color w:val="auto"/>
                <w:szCs w:val="20"/>
                <w:highlight w:val="none"/>
              </w:rPr>
            </w:pPr>
          </w:p>
        </w:tc>
        <w:tc>
          <w:tcPr>
            <w:tcW w:w="1406" w:type="dxa"/>
            <w:tcBorders>
              <w:top w:val="single" w:color="auto" w:sz="4" w:space="0"/>
              <w:left w:val="single" w:color="auto" w:sz="4" w:space="0"/>
              <w:bottom w:val="single" w:color="auto" w:sz="4" w:space="0"/>
              <w:right w:val="single" w:color="auto" w:sz="4" w:space="0"/>
            </w:tcBorders>
            <w:noWrap w:val="0"/>
            <w:vAlign w:val="top"/>
          </w:tcPr>
          <w:p w14:paraId="64E0063B">
            <w:pPr>
              <w:rPr>
                <w:rFonts w:hint="eastAsia" w:ascii="宋体" w:hAnsi="宋体" w:cs="宋体"/>
                <w:color w:val="auto"/>
                <w:szCs w:val="20"/>
                <w:highlight w:val="none"/>
              </w:rPr>
            </w:pPr>
          </w:p>
        </w:tc>
      </w:tr>
      <w:tr w14:paraId="710CC0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395" w:type="dxa"/>
            <w:tcBorders>
              <w:top w:val="single" w:color="auto" w:sz="4" w:space="0"/>
              <w:left w:val="single" w:color="auto" w:sz="4" w:space="0"/>
              <w:bottom w:val="single" w:color="auto" w:sz="4" w:space="0"/>
              <w:right w:val="single" w:color="auto" w:sz="4" w:space="0"/>
            </w:tcBorders>
            <w:noWrap w:val="0"/>
            <w:vAlign w:val="center"/>
          </w:tcPr>
          <w:p w14:paraId="4B1BEC9B">
            <w:pPr>
              <w:jc w:val="center"/>
              <w:rPr>
                <w:rFonts w:hint="eastAsia" w:ascii="宋体" w:hAnsi="宋体" w:cs="宋体"/>
                <w:color w:val="auto"/>
                <w:szCs w:val="20"/>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2CE7B0D9">
            <w:pPr>
              <w:rPr>
                <w:rFonts w:hint="eastAsia" w:ascii="宋体" w:hAnsi="宋体" w:cs="宋体"/>
                <w:color w:val="auto"/>
                <w:szCs w:val="20"/>
                <w:highlight w:val="none"/>
              </w:rPr>
            </w:pPr>
            <w:r>
              <w:rPr>
                <w:rFonts w:hint="eastAsia" w:ascii="宋体" w:hAnsi="宋体" w:cs="宋体"/>
                <w:color w:val="auto"/>
                <w:szCs w:val="20"/>
                <w:highlight w:val="none"/>
              </w:rPr>
              <w:t xml:space="preserve">         参数名称2</w:t>
            </w:r>
          </w:p>
        </w:tc>
        <w:tc>
          <w:tcPr>
            <w:tcW w:w="1388" w:type="dxa"/>
            <w:tcBorders>
              <w:top w:val="single" w:color="auto" w:sz="4" w:space="0"/>
              <w:left w:val="single" w:color="auto" w:sz="4" w:space="0"/>
              <w:bottom w:val="single" w:color="auto" w:sz="4" w:space="0"/>
              <w:right w:val="single" w:color="auto" w:sz="4" w:space="0"/>
            </w:tcBorders>
            <w:noWrap w:val="0"/>
            <w:vAlign w:val="top"/>
          </w:tcPr>
          <w:p w14:paraId="246CA2F7">
            <w:pPr>
              <w:rPr>
                <w:rFonts w:hint="eastAsia" w:ascii="宋体" w:hAnsi="宋体" w:cs="宋体"/>
                <w:color w:val="auto"/>
                <w:szCs w:val="20"/>
                <w:highlight w:val="none"/>
              </w:rPr>
            </w:pPr>
          </w:p>
        </w:tc>
        <w:tc>
          <w:tcPr>
            <w:tcW w:w="1302" w:type="dxa"/>
            <w:tcBorders>
              <w:top w:val="single" w:color="auto" w:sz="4" w:space="0"/>
              <w:left w:val="single" w:color="auto" w:sz="4" w:space="0"/>
              <w:bottom w:val="single" w:color="auto" w:sz="4" w:space="0"/>
              <w:right w:val="single" w:color="auto" w:sz="4" w:space="0"/>
            </w:tcBorders>
            <w:noWrap w:val="0"/>
            <w:vAlign w:val="top"/>
          </w:tcPr>
          <w:p w14:paraId="33D55B9A">
            <w:pPr>
              <w:rPr>
                <w:rFonts w:hint="eastAsia" w:ascii="宋体" w:hAnsi="宋体" w:cs="宋体"/>
                <w:color w:val="auto"/>
                <w:szCs w:val="20"/>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top"/>
          </w:tcPr>
          <w:p w14:paraId="5D869285">
            <w:pPr>
              <w:rPr>
                <w:rFonts w:hint="eastAsia" w:ascii="宋体" w:hAnsi="宋体" w:cs="宋体"/>
                <w:color w:val="auto"/>
                <w:szCs w:val="20"/>
                <w:highlight w:val="none"/>
              </w:rPr>
            </w:pPr>
          </w:p>
        </w:tc>
        <w:tc>
          <w:tcPr>
            <w:tcW w:w="1874" w:type="dxa"/>
            <w:tcBorders>
              <w:top w:val="single" w:color="auto" w:sz="4" w:space="0"/>
              <w:left w:val="single" w:color="auto" w:sz="4" w:space="0"/>
              <w:bottom w:val="single" w:color="auto" w:sz="4" w:space="0"/>
              <w:right w:val="single" w:color="auto" w:sz="4" w:space="0"/>
            </w:tcBorders>
            <w:noWrap w:val="0"/>
            <w:vAlign w:val="top"/>
          </w:tcPr>
          <w:p w14:paraId="614B554C">
            <w:pPr>
              <w:rPr>
                <w:rFonts w:hint="eastAsia" w:ascii="宋体" w:hAnsi="宋体" w:cs="宋体"/>
                <w:color w:val="auto"/>
                <w:szCs w:val="20"/>
                <w:highlight w:val="none"/>
              </w:rPr>
            </w:pPr>
          </w:p>
        </w:tc>
        <w:tc>
          <w:tcPr>
            <w:tcW w:w="1406" w:type="dxa"/>
            <w:tcBorders>
              <w:top w:val="single" w:color="auto" w:sz="4" w:space="0"/>
              <w:left w:val="single" w:color="auto" w:sz="4" w:space="0"/>
              <w:bottom w:val="single" w:color="auto" w:sz="4" w:space="0"/>
              <w:right w:val="single" w:color="auto" w:sz="4" w:space="0"/>
            </w:tcBorders>
            <w:noWrap w:val="0"/>
            <w:vAlign w:val="top"/>
          </w:tcPr>
          <w:p w14:paraId="018263D1">
            <w:pPr>
              <w:rPr>
                <w:rFonts w:hint="eastAsia" w:ascii="宋体" w:hAnsi="宋体" w:cs="宋体"/>
                <w:color w:val="auto"/>
                <w:szCs w:val="20"/>
                <w:highlight w:val="none"/>
              </w:rPr>
            </w:pPr>
          </w:p>
        </w:tc>
      </w:tr>
      <w:tr w14:paraId="2C60A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7" w:hRule="atLeast"/>
          <w:jc w:val="center"/>
        </w:trPr>
        <w:tc>
          <w:tcPr>
            <w:tcW w:w="395" w:type="dxa"/>
            <w:tcBorders>
              <w:top w:val="single" w:color="auto" w:sz="4" w:space="0"/>
              <w:left w:val="single" w:color="auto" w:sz="4" w:space="0"/>
              <w:bottom w:val="single" w:color="auto" w:sz="4" w:space="0"/>
              <w:right w:val="single" w:color="auto" w:sz="4" w:space="0"/>
            </w:tcBorders>
            <w:noWrap w:val="0"/>
            <w:vAlign w:val="center"/>
          </w:tcPr>
          <w:p w14:paraId="3312D544">
            <w:pPr>
              <w:jc w:val="center"/>
              <w:rPr>
                <w:rFonts w:hint="eastAsia" w:ascii="宋体" w:hAnsi="宋体" w:cs="宋体"/>
                <w:color w:val="auto"/>
                <w:szCs w:val="20"/>
                <w:highlight w:val="none"/>
              </w:rPr>
            </w:pPr>
          </w:p>
        </w:tc>
        <w:tc>
          <w:tcPr>
            <w:tcW w:w="2380" w:type="dxa"/>
            <w:tcBorders>
              <w:top w:val="single" w:color="auto" w:sz="4" w:space="0"/>
              <w:left w:val="single" w:color="auto" w:sz="4" w:space="0"/>
              <w:bottom w:val="single" w:color="auto" w:sz="4" w:space="0"/>
              <w:right w:val="single" w:color="auto" w:sz="4" w:space="0"/>
            </w:tcBorders>
            <w:noWrap w:val="0"/>
            <w:vAlign w:val="top"/>
          </w:tcPr>
          <w:p w14:paraId="4AD3C94F">
            <w:pPr>
              <w:rPr>
                <w:rFonts w:hint="eastAsia" w:ascii="宋体" w:hAnsi="宋体" w:cs="宋体"/>
                <w:color w:val="auto"/>
                <w:szCs w:val="20"/>
                <w:highlight w:val="none"/>
              </w:rPr>
            </w:pPr>
            <w:r>
              <w:rPr>
                <w:rFonts w:hint="eastAsia" w:ascii="宋体" w:hAnsi="宋体" w:cs="宋体"/>
                <w:color w:val="auto"/>
                <w:szCs w:val="20"/>
                <w:highlight w:val="none"/>
              </w:rPr>
              <w:t xml:space="preserve">         ……</w:t>
            </w:r>
          </w:p>
        </w:tc>
        <w:tc>
          <w:tcPr>
            <w:tcW w:w="1388" w:type="dxa"/>
            <w:tcBorders>
              <w:top w:val="single" w:color="auto" w:sz="4" w:space="0"/>
              <w:left w:val="single" w:color="auto" w:sz="4" w:space="0"/>
              <w:bottom w:val="single" w:color="auto" w:sz="4" w:space="0"/>
              <w:right w:val="single" w:color="auto" w:sz="4" w:space="0"/>
            </w:tcBorders>
            <w:noWrap w:val="0"/>
            <w:vAlign w:val="top"/>
          </w:tcPr>
          <w:p w14:paraId="1182263B">
            <w:pPr>
              <w:rPr>
                <w:rFonts w:hint="eastAsia" w:ascii="宋体" w:hAnsi="宋体" w:cs="宋体"/>
                <w:color w:val="auto"/>
                <w:szCs w:val="20"/>
                <w:highlight w:val="none"/>
              </w:rPr>
            </w:pPr>
          </w:p>
        </w:tc>
        <w:tc>
          <w:tcPr>
            <w:tcW w:w="1302" w:type="dxa"/>
            <w:tcBorders>
              <w:top w:val="single" w:color="auto" w:sz="4" w:space="0"/>
              <w:left w:val="single" w:color="auto" w:sz="4" w:space="0"/>
              <w:bottom w:val="single" w:color="auto" w:sz="4" w:space="0"/>
              <w:right w:val="single" w:color="auto" w:sz="4" w:space="0"/>
            </w:tcBorders>
            <w:noWrap w:val="0"/>
            <w:vAlign w:val="top"/>
          </w:tcPr>
          <w:p w14:paraId="4FE72980">
            <w:pPr>
              <w:rPr>
                <w:rFonts w:hint="eastAsia" w:ascii="宋体" w:hAnsi="宋体" w:cs="宋体"/>
                <w:color w:val="auto"/>
                <w:szCs w:val="20"/>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top"/>
          </w:tcPr>
          <w:p w14:paraId="5BD0CCED">
            <w:pPr>
              <w:rPr>
                <w:rFonts w:hint="eastAsia" w:ascii="宋体" w:hAnsi="宋体" w:cs="宋体"/>
                <w:color w:val="auto"/>
                <w:szCs w:val="20"/>
                <w:highlight w:val="none"/>
              </w:rPr>
            </w:pPr>
          </w:p>
        </w:tc>
        <w:tc>
          <w:tcPr>
            <w:tcW w:w="1874" w:type="dxa"/>
            <w:tcBorders>
              <w:top w:val="single" w:color="auto" w:sz="4" w:space="0"/>
              <w:left w:val="single" w:color="auto" w:sz="4" w:space="0"/>
              <w:bottom w:val="single" w:color="auto" w:sz="4" w:space="0"/>
              <w:right w:val="single" w:color="auto" w:sz="4" w:space="0"/>
            </w:tcBorders>
            <w:noWrap w:val="0"/>
            <w:vAlign w:val="top"/>
          </w:tcPr>
          <w:p w14:paraId="2BE491CE">
            <w:pPr>
              <w:rPr>
                <w:rFonts w:hint="eastAsia" w:ascii="宋体" w:hAnsi="宋体" w:cs="宋体"/>
                <w:color w:val="auto"/>
                <w:szCs w:val="20"/>
                <w:highlight w:val="none"/>
              </w:rPr>
            </w:pPr>
          </w:p>
        </w:tc>
        <w:tc>
          <w:tcPr>
            <w:tcW w:w="1406" w:type="dxa"/>
            <w:tcBorders>
              <w:top w:val="single" w:color="auto" w:sz="4" w:space="0"/>
              <w:left w:val="single" w:color="auto" w:sz="4" w:space="0"/>
              <w:bottom w:val="single" w:color="auto" w:sz="4" w:space="0"/>
              <w:right w:val="single" w:color="auto" w:sz="4" w:space="0"/>
            </w:tcBorders>
            <w:noWrap w:val="0"/>
            <w:vAlign w:val="top"/>
          </w:tcPr>
          <w:p w14:paraId="1B8E1059">
            <w:pPr>
              <w:rPr>
                <w:rFonts w:hint="eastAsia" w:ascii="宋体" w:hAnsi="宋体" w:cs="宋体"/>
                <w:color w:val="auto"/>
                <w:szCs w:val="20"/>
                <w:highlight w:val="none"/>
              </w:rPr>
            </w:pPr>
          </w:p>
        </w:tc>
      </w:tr>
      <w:tr w14:paraId="1D1139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9" w:hRule="atLeast"/>
          <w:jc w:val="center"/>
        </w:trPr>
        <w:tc>
          <w:tcPr>
            <w:tcW w:w="395" w:type="dxa"/>
            <w:tcBorders>
              <w:top w:val="single" w:color="auto" w:sz="4" w:space="0"/>
              <w:left w:val="single" w:color="auto" w:sz="4" w:space="0"/>
              <w:bottom w:val="single" w:color="auto" w:sz="4" w:space="0"/>
              <w:right w:val="single" w:color="auto" w:sz="4" w:space="0"/>
            </w:tcBorders>
            <w:noWrap w:val="0"/>
            <w:vAlign w:val="top"/>
          </w:tcPr>
          <w:p w14:paraId="62F2E294">
            <w:pPr>
              <w:rPr>
                <w:rFonts w:hint="eastAsia" w:ascii="宋体" w:hAnsi="宋体" w:cs="宋体"/>
                <w:color w:val="auto"/>
                <w:szCs w:val="20"/>
                <w:highlight w:val="none"/>
              </w:rPr>
            </w:pPr>
            <w:r>
              <w:rPr>
                <w:rFonts w:hint="eastAsia" w:ascii="宋体" w:hAnsi="宋体" w:cs="宋体"/>
                <w:color w:val="auto"/>
                <w:szCs w:val="20"/>
                <w:highlight w:val="none"/>
              </w:rPr>
              <w:t>3</w:t>
            </w:r>
          </w:p>
        </w:tc>
        <w:tc>
          <w:tcPr>
            <w:tcW w:w="2380" w:type="dxa"/>
            <w:tcBorders>
              <w:top w:val="single" w:color="auto" w:sz="4" w:space="0"/>
              <w:left w:val="single" w:color="auto" w:sz="4" w:space="0"/>
              <w:bottom w:val="single" w:color="auto" w:sz="4" w:space="0"/>
              <w:right w:val="single" w:color="auto" w:sz="4" w:space="0"/>
            </w:tcBorders>
            <w:noWrap w:val="0"/>
            <w:vAlign w:val="top"/>
          </w:tcPr>
          <w:p w14:paraId="1E1874E4">
            <w:pPr>
              <w:rPr>
                <w:rFonts w:hint="eastAsia" w:ascii="宋体" w:hAnsi="宋体" w:cs="宋体"/>
                <w:color w:val="auto"/>
                <w:szCs w:val="20"/>
                <w:highlight w:val="none"/>
              </w:rPr>
            </w:pPr>
          </w:p>
        </w:tc>
        <w:tc>
          <w:tcPr>
            <w:tcW w:w="1388" w:type="dxa"/>
            <w:tcBorders>
              <w:top w:val="single" w:color="auto" w:sz="4" w:space="0"/>
              <w:left w:val="single" w:color="auto" w:sz="4" w:space="0"/>
              <w:bottom w:val="single" w:color="auto" w:sz="4" w:space="0"/>
              <w:right w:val="single" w:color="auto" w:sz="4" w:space="0"/>
            </w:tcBorders>
            <w:noWrap w:val="0"/>
            <w:vAlign w:val="top"/>
          </w:tcPr>
          <w:p w14:paraId="56924005">
            <w:pPr>
              <w:rPr>
                <w:rFonts w:hint="eastAsia" w:ascii="宋体" w:hAnsi="宋体" w:cs="宋体"/>
                <w:color w:val="auto"/>
                <w:szCs w:val="20"/>
                <w:highlight w:val="none"/>
              </w:rPr>
            </w:pPr>
          </w:p>
        </w:tc>
        <w:tc>
          <w:tcPr>
            <w:tcW w:w="1302" w:type="dxa"/>
            <w:tcBorders>
              <w:top w:val="single" w:color="auto" w:sz="4" w:space="0"/>
              <w:left w:val="single" w:color="auto" w:sz="4" w:space="0"/>
              <w:bottom w:val="single" w:color="auto" w:sz="4" w:space="0"/>
              <w:right w:val="single" w:color="auto" w:sz="4" w:space="0"/>
            </w:tcBorders>
            <w:noWrap w:val="0"/>
            <w:vAlign w:val="top"/>
          </w:tcPr>
          <w:p w14:paraId="499BCC25">
            <w:pPr>
              <w:rPr>
                <w:rFonts w:hint="eastAsia" w:ascii="宋体" w:hAnsi="宋体" w:cs="宋体"/>
                <w:color w:val="auto"/>
                <w:szCs w:val="20"/>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top"/>
          </w:tcPr>
          <w:p w14:paraId="088BD194">
            <w:pPr>
              <w:rPr>
                <w:rFonts w:hint="eastAsia" w:ascii="宋体" w:hAnsi="宋体" w:cs="宋体"/>
                <w:color w:val="auto"/>
                <w:szCs w:val="20"/>
                <w:highlight w:val="none"/>
              </w:rPr>
            </w:pPr>
          </w:p>
        </w:tc>
        <w:tc>
          <w:tcPr>
            <w:tcW w:w="1874" w:type="dxa"/>
            <w:tcBorders>
              <w:top w:val="single" w:color="auto" w:sz="4" w:space="0"/>
              <w:left w:val="single" w:color="auto" w:sz="4" w:space="0"/>
              <w:bottom w:val="single" w:color="auto" w:sz="4" w:space="0"/>
              <w:right w:val="single" w:color="auto" w:sz="4" w:space="0"/>
            </w:tcBorders>
            <w:noWrap w:val="0"/>
            <w:vAlign w:val="top"/>
          </w:tcPr>
          <w:p w14:paraId="11DF7146">
            <w:pPr>
              <w:rPr>
                <w:rFonts w:hint="eastAsia" w:ascii="宋体" w:hAnsi="宋体" w:cs="宋体"/>
                <w:color w:val="auto"/>
                <w:szCs w:val="20"/>
                <w:highlight w:val="none"/>
              </w:rPr>
            </w:pPr>
          </w:p>
        </w:tc>
        <w:tc>
          <w:tcPr>
            <w:tcW w:w="1406" w:type="dxa"/>
            <w:tcBorders>
              <w:top w:val="single" w:color="auto" w:sz="4" w:space="0"/>
              <w:left w:val="single" w:color="auto" w:sz="4" w:space="0"/>
              <w:bottom w:val="single" w:color="auto" w:sz="4" w:space="0"/>
              <w:right w:val="single" w:color="auto" w:sz="4" w:space="0"/>
            </w:tcBorders>
            <w:noWrap w:val="0"/>
            <w:vAlign w:val="top"/>
          </w:tcPr>
          <w:p w14:paraId="11A0A93B">
            <w:pPr>
              <w:rPr>
                <w:rFonts w:hint="eastAsia" w:ascii="宋体" w:hAnsi="宋体" w:cs="宋体"/>
                <w:color w:val="auto"/>
                <w:szCs w:val="20"/>
                <w:highlight w:val="none"/>
              </w:rPr>
            </w:pPr>
          </w:p>
        </w:tc>
      </w:tr>
    </w:tbl>
    <w:p w14:paraId="0149C3BF">
      <w:pPr>
        <w:pStyle w:val="30"/>
        <w:pageBreakBefore w:val="0"/>
        <w:tabs>
          <w:tab w:val="left" w:pos="851"/>
        </w:tabs>
        <w:overflowPunct/>
        <w:topLinePunct w:val="0"/>
        <w:autoSpaceDE w:val="0"/>
        <w:autoSpaceDN w:val="0"/>
        <w:bidi w:val="0"/>
        <w:spacing w:after="0" w:line="360" w:lineRule="auto"/>
        <w:rPr>
          <w:rFonts w:hint="eastAsia" w:asciiTheme="minorEastAsia" w:hAnsiTheme="minorEastAsia" w:eastAsiaTheme="minorEastAsia" w:cstheme="minorEastAsia"/>
          <w:color w:val="auto"/>
          <w:sz w:val="21"/>
          <w:szCs w:val="21"/>
          <w:highlight w:val="none"/>
        </w:rPr>
      </w:pPr>
    </w:p>
    <w:p w14:paraId="1BFF80A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说明：</w:t>
      </w:r>
    </w:p>
    <w:p w14:paraId="4149139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1.上述此表中的“招标</w:t>
      </w:r>
      <w:r>
        <w:rPr>
          <w:rFonts w:hint="eastAsia" w:ascii="宋体" w:hAnsi="宋体" w:cs="宋体"/>
          <w:color w:val="auto"/>
          <w:szCs w:val="20"/>
          <w:highlight w:val="none"/>
        </w:rPr>
        <w:t>文件</w:t>
      </w:r>
      <w:r>
        <w:rPr>
          <w:rFonts w:hint="eastAsia" w:ascii="宋体" w:hAnsi="宋体" w:cs="宋体"/>
          <w:color w:val="auto"/>
          <w:highlight w:val="none"/>
        </w:rPr>
        <w:t>”或“投标</w:t>
      </w:r>
      <w:r>
        <w:rPr>
          <w:rFonts w:hint="eastAsia" w:ascii="宋体" w:hAnsi="宋体" w:cs="宋体"/>
          <w:color w:val="auto"/>
          <w:szCs w:val="20"/>
          <w:highlight w:val="none"/>
        </w:rPr>
        <w:t>文件</w:t>
      </w:r>
      <w:r>
        <w:rPr>
          <w:rFonts w:hint="eastAsia" w:ascii="宋体" w:hAnsi="宋体" w:cs="宋体"/>
          <w:color w:val="auto"/>
          <w:highlight w:val="none"/>
        </w:rPr>
        <w:t>”内容不得空缺，否则视为未如实、完整填写本表，对其投标按拒绝处理；</w:t>
      </w:r>
    </w:p>
    <w:p w14:paraId="39C414A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2.本表货物序号须与招标文件第</w:t>
      </w:r>
      <w:r>
        <w:rPr>
          <w:rFonts w:hint="eastAsia" w:ascii="宋体" w:hAnsi="宋体" w:cs="宋体"/>
          <w:color w:val="auto"/>
          <w:highlight w:val="none"/>
          <w:lang w:val="en-US" w:eastAsia="zh-CN"/>
        </w:rPr>
        <w:t>三</w:t>
      </w:r>
      <w:r>
        <w:rPr>
          <w:rFonts w:hint="eastAsia" w:ascii="宋体" w:hAnsi="宋体" w:cs="宋体"/>
          <w:color w:val="auto"/>
          <w:highlight w:val="none"/>
        </w:rPr>
        <w:t>章“货物需求表”对应；</w:t>
      </w:r>
    </w:p>
    <w:p w14:paraId="191D5136">
      <w:pPr>
        <w:spacing w:line="360" w:lineRule="auto"/>
        <w:ind w:firstLine="420" w:firstLineChars="200"/>
        <w:rPr>
          <w:rFonts w:hint="eastAsia" w:ascii="宋体" w:hAnsi="宋体" w:cs="宋体"/>
          <w:color w:val="auto"/>
          <w:szCs w:val="20"/>
          <w:highlight w:val="none"/>
        </w:rPr>
      </w:pPr>
      <w:r>
        <w:rPr>
          <w:rFonts w:hint="eastAsia" w:ascii="宋体" w:hAnsi="宋体" w:cs="宋体"/>
          <w:color w:val="auto"/>
          <w:szCs w:val="20"/>
          <w:highlight w:val="none"/>
        </w:rPr>
        <w:t>3.请按采购编号填写此表</w:t>
      </w:r>
      <w:r>
        <w:rPr>
          <w:rFonts w:hint="eastAsia" w:ascii="宋体" w:hAnsi="宋体" w:cs="宋体"/>
          <w:color w:val="auto"/>
          <w:highlight w:val="none"/>
        </w:rPr>
        <w:t>。</w:t>
      </w:r>
    </w:p>
    <w:p w14:paraId="0BB1A2A1">
      <w:pPr>
        <w:spacing w:line="360" w:lineRule="auto"/>
        <w:ind w:firstLine="420" w:firstLineChars="200"/>
        <w:rPr>
          <w:rFonts w:hint="eastAsia" w:ascii="宋体" w:hAnsi="宋体" w:cs="宋体"/>
          <w:color w:val="auto"/>
          <w:szCs w:val="20"/>
          <w:highlight w:val="none"/>
        </w:rPr>
      </w:pPr>
      <w:r>
        <w:rPr>
          <w:rFonts w:hint="eastAsia" w:ascii="宋体" w:hAnsi="宋体" w:cs="宋体"/>
          <w:color w:val="auto"/>
          <w:szCs w:val="20"/>
          <w:highlight w:val="none"/>
        </w:rPr>
        <w:t>4.此偏差表投标书中出现招标文件要求的语言语句（例如：“要求供应商”、“ 要求不大于或不小于”、“供应商须出具、供应商提供…..”）等类似字、词，将被评标委员会视为照抄复制招标文件，从而作出不利于贵公司的评审。</w:t>
      </w:r>
    </w:p>
    <w:p w14:paraId="6970F7E9">
      <w:pPr>
        <w:spacing w:line="360" w:lineRule="auto"/>
        <w:ind w:firstLine="420" w:firstLineChars="200"/>
        <w:rPr>
          <w:rFonts w:hint="eastAsia" w:ascii="宋体" w:hAnsi="宋体" w:cs="宋体"/>
          <w:color w:val="auto"/>
          <w:highlight w:val="none"/>
        </w:rPr>
      </w:pPr>
      <w:r>
        <w:rPr>
          <w:rFonts w:hint="eastAsia" w:ascii="宋体" w:hAnsi="宋体" w:cs="宋体"/>
          <w:color w:val="auto"/>
          <w:szCs w:val="20"/>
          <w:highlight w:val="none"/>
        </w:rPr>
        <w:t xml:space="preserve"> 5.</w:t>
      </w:r>
      <w:r>
        <w:rPr>
          <w:rFonts w:hint="eastAsia" w:ascii="宋体" w:hAnsi="宋体" w:cs="宋体"/>
          <w:color w:val="auto"/>
          <w:highlight w:val="none"/>
        </w:rPr>
        <w:t>依据《财政部 国家发展改革委员会关于印发&lt;节能产品政府采购实施意见&gt;的通知》财库〔2004〕185号、《国务院办公厅关于建立政府强制采购节能产品制度的通知》国办发〔2007〕51号、《财政部 国家发展改革委员会关于调整公布（最新）一期节能产品政府采购清单的通知》文件要求，“其中，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具体品目以“★”标注），其他品目为政府优先采购的节能产品”。各潜在供应商在本次投标活动中，投标货物中如有涉及到上述强制节能产品时”，根据财库〔2019〕9号规定，提供国家确定的认证机构出具的、处于有效期之内的节能产品、环境标志产品认证证书，对获得证书的产品实施政府优先采购或强制采购。并将节能证书放入投标文件中。</w:t>
      </w:r>
    </w:p>
    <w:p w14:paraId="5E33032C">
      <w:pPr>
        <w:pStyle w:val="13"/>
        <w:pageBreakBefore w:val="0"/>
        <w:overflowPunct/>
        <w:topLinePunct w:val="0"/>
        <w:autoSpaceDE w:val="0"/>
        <w:autoSpaceDN w:val="0"/>
        <w:bidi w:val="0"/>
        <w:spacing w:before="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宋体" w:hAnsi="宋体" w:cs="宋体"/>
          <w:color w:val="auto"/>
          <w:highlight w:val="none"/>
        </w:rPr>
        <w:t>6.本次招标所涉及的产品，若有中国强制性认证（CCC）产品，需提供须提供有效期内的强制性产品认证证书（主管部门规定可采用自我声明评价方式的，须提供全国认证认可信息公共服务平台（http://cx.cnca.cn/CertECloud/index/index/page）网页查询截图及强制性认证产品符合性自我声明）</w:t>
      </w:r>
      <w:bookmarkEnd w:id="254"/>
    </w:p>
    <w:p w14:paraId="46FE8A4D">
      <w:pPr>
        <w:pageBreakBefore w:val="0"/>
        <w:overflowPunct/>
        <w:topLinePunct w:val="0"/>
        <w:autoSpaceDE w:val="0"/>
        <w:autoSpaceDN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1DFDDF23">
      <w:pPr>
        <w:pStyle w:val="13"/>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p w14:paraId="5B8D62E5">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2D644E4A">
      <w:pPr>
        <w:pStyle w:val="13"/>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p w14:paraId="02DEBEED">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2E80247F">
      <w:pPr>
        <w:pStyle w:val="13"/>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p w14:paraId="409BA821">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684D644B">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5411DEA5">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38AA9168">
      <w:pPr>
        <w:pageBreakBefore w:val="0"/>
        <w:overflowPunct/>
        <w:topLinePunct w:val="0"/>
        <w:bidi w:val="0"/>
        <w:spacing w:line="360" w:lineRule="auto"/>
        <w:rPr>
          <w:rFonts w:hint="eastAsia" w:asciiTheme="minorEastAsia" w:hAnsiTheme="minorEastAsia" w:eastAsiaTheme="minorEastAsia" w:cstheme="minorEastAsia"/>
          <w:color w:val="auto"/>
          <w:sz w:val="28"/>
          <w:szCs w:val="28"/>
          <w:highlight w:val="none"/>
        </w:rPr>
      </w:pPr>
    </w:p>
    <w:p w14:paraId="6F7A5D2B">
      <w:pPr>
        <w:pageBreakBefore w:val="0"/>
        <w:overflowPunct/>
        <w:topLinePunct w:val="0"/>
        <w:bidi w:val="0"/>
        <w:spacing w:line="240" w:lineRule="auto"/>
        <w:ind w:firstLine="0"/>
        <w:jc w:val="left"/>
        <w:rPr>
          <w:rFonts w:hint="eastAsia" w:asciiTheme="minorEastAsia" w:hAnsiTheme="minorEastAsia" w:eastAsiaTheme="minorEastAsia" w:cstheme="minorEastAsia"/>
          <w:b/>
          <w:color w:val="auto"/>
          <w:kern w:val="0"/>
          <w:sz w:val="28"/>
          <w:szCs w:val="28"/>
          <w:highlight w:val="none"/>
          <w:lang w:bidi="zh-CN"/>
        </w:rPr>
      </w:pPr>
      <w:r>
        <w:rPr>
          <w:rFonts w:hint="eastAsia" w:asciiTheme="minorEastAsia" w:hAnsiTheme="minorEastAsia" w:eastAsiaTheme="minorEastAsia" w:cstheme="minorEastAsia"/>
          <w:b/>
          <w:color w:val="auto"/>
          <w:kern w:val="0"/>
          <w:sz w:val="28"/>
          <w:szCs w:val="28"/>
          <w:highlight w:val="none"/>
          <w:lang w:bidi="zh-CN"/>
        </w:rPr>
        <w:br w:type="page"/>
      </w:r>
    </w:p>
    <w:p w14:paraId="1AD3114D">
      <w:pPr>
        <w:pStyle w:val="6"/>
        <w:spacing w:before="42" w:line="360" w:lineRule="auto"/>
        <w:ind w:right="439" w:firstLine="602"/>
        <w:jc w:val="center"/>
        <w:rPr>
          <w:rStyle w:val="41"/>
          <w:rFonts w:hint="eastAsia" w:asciiTheme="minorEastAsia" w:hAnsiTheme="minorEastAsia" w:eastAsiaTheme="minorEastAsia" w:cstheme="minorEastAsia"/>
          <w:b/>
          <w:bCs w:val="0"/>
          <w:color w:val="auto"/>
          <w:sz w:val="28"/>
          <w:szCs w:val="28"/>
          <w:highlight w:val="none"/>
          <w:lang w:bidi="zh-CN"/>
        </w:rPr>
      </w:pPr>
      <w:r>
        <w:rPr>
          <w:rStyle w:val="41"/>
          <w:rFonts w:hint="eastAsia" w:asciiTheme="minorEastAsia" w:hAnsiTheme="minorEastAsia" w:eastAsiaTheme="minorEastAsia" w:cstheme="minorEastAsia"/>
          <w:b/>
          <w:bCs w:val="0"/>
          <w:color w:val="auto"/>
          <w:sz w:val="28"/>
          <w:szCs w:val="28"/>
          <w:highlight w:val="none"/>
          <w:lang w:val="en-US" w:bidi="zh-CN"/>
        </w:rPr>
        <w:t>七、</w:t>
      </w:r>
      <w:r>
        <w:rPr>
          <w:rStyle w:val="41"/>
          <w:rFonts w:hint="eastAsia" w:asciiTheme="minorEastAsia" w:hAnsiTheme="minorEastAsia" w:eastAsiaTheme="minorEastAsia" w:cstheme="minorEastAsia"/>
          <w:b/>
          <w:bCs w:val="0"/>
          <w:color w:val="auto"/>
          <w:sz w:val="28"/>
          <w:szCs w:val="28"/>
          <w:highlight w:val="none"/>
          <w:lang w:bidi="zh-CN"/>
        </w:rPr>
        <w:t>商务条款偏离表</w:t>
      </w:r>
    </w:p>
    <w:p w14:paraId="0E9E15CA">
      <w:pPr>
        <w:pStyle w:val="19"/>
        <w:tabs>
          <w:tab w:val="left" w:pos="5580"/>
        </w:tabs>
        <w:spacing w:before="120" w:line="360" w:lineRule="auto"/>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项目名称</w:t>
      </w:r>
      <w:r>
        <w:rPr>
          <w:rFonts w:ascii="Times New Roman" w:hAnsi="Times New Roman" w:eastAsia="宋体"/>
          <w:bCs/>
          <w:color w:val="auto"/>
          <w:sz w:val="24"/>
          <w:szCs w:val="24"/>
          <w:highlight w:val="none"/>
          <w:u w:val="single"/>
        </w:rPr>
        <w:t xml:space="preserve">          </w:t>
      </w:r>
      <w:r>
        <w:rPr>
          <w:rFonts w:hint="eastAsia" w:ascii="Times New Roman" w:hAnsi="Times New Roman" w:eastAsia="宋体"/>
          <w:bCs/>
          <w:color w:val="auto"/>
          <w:sz w:val="24"/>
          <w:szCs w:val="24"/>
          <w:highlight w:val="none"/>
          <w:u w:val="single"/>
        </w:rPr>
        <w:t xml:space="preserve">         </w:t>
      </w:r>
      <w:r>
        <w:rPr>
          <w:rFonts w:hint="eastAsia" w:ascii="Times New Roman" w:hAnsi="Times New Roman" w:eastAsia="宋体"/>
          <w:bCs/>
          <w:color w:val="auto"/>
          <w:sz w:val="24"/>
          <w:szCs w:val="24"/>
          <w:highlight w:val="none"/>
        </w:rPr>
        <w:t xml:space="preserve">        </w:t>
      </w:r>
      <w:r>
        <w:rPr>
          <w:rFonts w:ascii="Times New Roman" w:hAnsi="Times New Roman" w:eastAsia="宋体"/>
          <w:bCs/>
          <w:color w:val="auto"/>
          <w:sz w:val="24"/>
          <w:szCs w:val="24"/>
          <w:highlight w:val="none"/>
        </w:rPr>
        <w:t xml:space="preserve"> </w:t>
      </w:r>
      <w:r>
        <w:rPr>
          <w:rFonts w:hint="eastAsia" w:ascii="Times New Roman" w:hAnsi="Times New Roman" w:eastAsia="宋体"/>
          <w:bCs/>
          <w:color w:val="auto"/>
          <w:sz w:val="24"/>
          <w:szCs w:val="24"/>
          <w:highlight w:val="none"/>
        </w:rPr>
        <w:t>采购编号</w:t>
      </w:r>
      <w:r>
        <w:rPr>
          <w:rFonts w:ascii="Times New Roman" w:hAnsi="Times New Roman" w:eastAsia="宋体"/>
          <w:bCs/>
          <w:color w:val="auto"/>
          <w:sz w:val="24"/>
          <w:szCs w:val="24"/>
          <w:highlight w:val="none"/>
          <w:u w:val="single"/>
        </w:rPr>
        <w:t xml:space="preserve">              </w:t>
      </w:r>
      <w:r>
        <w:rPr>
          <w:rFonts w:ascii="Times New Roman" w:hAnsi="Times New Roman" w:eastAsia="宋体"/>
          <w:bCs/>
          <w:color w:val="auto"/>
          <w:sz w:val="24"/>
          <w:szCs w:val="24"/>
          <w:highlight w:val="none"/>
        </w:rPr>
        <w:t xml:space="preserve"> </w:t>
      </w:r>
      <w:r>
        <w:rPr>
          <w:rFonts w:hint="eastAsia" w:ascii="Times New Roman" w:hAnsi="Times New Roman" w:eastAsia="宋体"/>
          <w:bCs/>
          <w:color w:val="auto"/>
          <w:sz w:val="24"/>
          <w:szCs w:val="24"/>
          <w:highlight w:val="none"/>
          <w:u w:val="single"/>
        </w:rPr>
        <w:t xml:space="preserve"> </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409"/>
        <w:gridCol w:w="1283"/>
        <w:gridCol w:w="1275"/>
        <w:gridCol w:w="1447"/>
        <w:gridCol w:w="1685"/>
      </w:tblGrid>
      <w:tr w14:paraId="55EE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138E594F">
            <w:pPr>
              <w:jc w:val="center"/>
              <w:rPr>
                <w:rFonts w:hint="eastAsia" w:ascii="宋体" w:hAnsi="宋体" w:cs="宋体"/>
                <w:color w:val="auto"/>
                <w:highlight w:val="none"/>
              </w:rPr>
            </w:pPr>
            <w:r>
              <w:rPr>
                <w:rFonts w:hint="eastAsia" w:ascii="宋体" w:hAnsi="宋体" w:cs="宋体"/>
                <w:color w:val="auto"/>
                <w:highlight w:val="none"/>
              </w:rPr>
              <w:t>序号</w:t>
            </w:r>
          </w:p>
        </w:tc>
        <w:tc>
          <w:tcPr>
            <w:tcW w:w="2409" w:type="dxa"/>
            <w:noWrap w:val="0"/>
            <w:vAlign w:val="top"/>
          </w:tcPr>
          <w:p w14:paraId="2E696C03">
            <w:pPr>
              <w:rPr>
                <w:rFonts w:hint="eastAsia" w:ascii="宋体" w:hAnsi="宋体" w:cs="宋体"/>
                <w:color w:val="auto"/>
                <w:highlight w:val="none"/>
              </w:rPr>
            </w:pPr>
            <w:r>
              <w:rPr>
                <w:rFonts w:hint="eastAsia" w:ascii="宋体" w:hAnsi="宋体" w:cs="宋体"/>
                <w:color w:val="auto"/>
                <w:highlight w:val="none"/>
              </w:rPr>
              <w:t>项目</w:t>
            </w:r>
          </w:p>
        </w:tc>
        <w:tc>
          <w:tcPr>
            <w:tcW w:w="1283" w:type="dxa"/>
            <w:noWrap w:val="0"/>
            <w:vAlign w:val="top"/>
          </w:tcPr>
          <w:p w14:paraId="187AD02B">
            <w:pPr>
              <w:rPr>
                <w:rFonts w:hint="eastAsia" w:ascii="宋体" w:hAnsi="宋体" w:cs="宋体"/>
                <w:color w:val="auto"/>
                <w:highlight w:val="none"/>
              </w:rPr>
            </w:pPr>
            <w:r>
              <w:rPr>
                <w:rFonts w:hint="eastAsia" w:ascii="宋体" w:hAnsi="宋体" w:cs="宋体"/>
                <w:color w:val="auto"/>
                <w:highlight w:val="none"/>
              </w:rPr>
              <w:t>标书要求</w:t>
            </w:r>
          </w:p>
        </w:tc>
        <w:tc>
          <w:tcPr>
            <w:tcW w:w="1275" w:type="dxa"/>
            <w:noWrap w:val="0"/>
            <w:vAlign w:val="top"/>
          </w:tcPr>
          <w:p w14:paraId="0E13ED78">
            <w:pPr>
              <w:rPr>
                <w:rFonts w:hint="eastAsia" w:ascii="宋体" w:hAnsi="宋体" w:cs="宋体"/>
                <w:color w:val="auto"/>
                <w:highlight w:val="none"/>
              </w:rPr>
            </w:pPr>
            <w:r>
              <w:rPr>
                <w:rFonts w:hint="eastAsia" w:ascii="宋体" w:hAnsi="宋体" w:cs="宋体"/>
                <w:color w:val="auto"/>
                <w:highlight w:val="none"/>
              </w:rPr>
              <w:t>投标响应</w:t>
            </w:r>
          </w:p>
        </w:tc>
        <w:tc>
          <w:tcPr>
            <w:tcW w:w="1447" w:type="dxa"/>
            <w:noWrap w:val="0"/>
            <w:vAlign w:val="top"/>
          </w:tcPr>
          <w:p w14:paraId="1E3F384F">
            <w:pPr>
              <w:rPr>
                <w:rFonts w:hint="eastAsia" w:ascii="宋体" w:hAnsi="宋体" w:cs="宋体"/>
                <w:color w:val="auto"/>
                <w:highlight w:val="none"/>
              </w:rPr>
            </w:pPr>
            <w:r>
              <w:rPr>
                <w:rFonts w:hint="eastAsia" w:ascii="宋体" w:hAnsi="宋体" w:cs="宋体"/>
                <w:color w:val="auto"/>
                <w:highlight w:val="none"/>
              </w:rPr>
              <w:t>是否偏离</w:t>
            </w:r>
          </w:p>
        </w:tc>
        <w:tc>
          <w:tcPr>
            <w:tcW w:w="1685" w:type="dxa"/>
            <w:noWrap w:val="0"/>
            <w:vAlign w:val="top"/>
          </w:tcPr>
          <w:p w14:paraId="17B3C931">
            <w:pPr>
              <w:rPr>
                <w:rFonts w:hint="eastAsia" w:ascii="宋体" w:hAnsi="宋体" w:cs="宋体"/>
                <w:color w:val="auto"/>
                <w:highlight w:val="none"/>
              </w:rPr>
            </w:pPr>
            <w:r>
              <w:rPr>
                <w:rFonts w:hint="eastAsia" w:ascii="宋体" w:hAnsi="宋体" w:cs="宋体"/>
                <w:color w:val="auto"/>
                <w:highlight w:val="none"/>
              </w:rPr>
              <w:t>备注</w:t>
            </w:r>
          </w:p>
        </w:tc>
      </w:tr>
      <w:tr w14:paraId="6305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18" w:type="dxa"/>
            <w:noWrap w:val="0"/>
            <w:vAlign w:val="top"/>
          </w:tcPr>
          <w:p w14:paraId="2ACD9A04">
            <w:pPr>
              <w:jc w:val="center"/>
              <w:rPr>
                <w:rFonts w:hint="eastAsia" w:ascii="宋体" w:hAnsi="宋体" w:cs="宋体"/>
                <w:color w:val="auto"/>
                <w:highlight w:val="none"/>
              </w:rPr>
            </w:pPr>
            <w:r>
              <w:rPr>
                <w:rFonts w:hint="eastAsia" w:ascii="宋体" w:hAnsi="宋体" w:cs="宋体"/>
                <w:color w:val="auto"/>
                <w:highlight w:val="none"/>
              </w:rPr>
              <w:t>1</w:t>
            </w:r>
          </w:p>
        </w:tc>
        <w:tc>
          <w:tcPr>
            <w:tcW w:w="2409" w:type="dxa"/>
            <w:noWrap w:val="0"/>
            <w:vAlign w:val="top"/>
          </w:tcPr>
          <w:p w14:paraId="13B7DE93">
            <w:pPr>
              <w:rPr>
                <w:rFonts w:hint="eastAsia" w:ascii="宋体" w:hAnsi="宋体"/>
                <w:color w:val="auto"/>
                <w:szCs w:val="21"/>
                <w:highlight w:val="none"/>
              </w:rPr>
            </w:pPr>
            <w:r>
              <w:rPr>
                <w:rFonts w:hint="eastAsia" w:ascii="宋体" w:hAnsi="宋体"/>
                <w:color w:val="auto"/>
                <w:szCs w:val="21"/>
                <w:highlight w:val="none"/>
                <w:lang w:val="en-US" w:eastAsia="zh-CN"/>
              </w:rPr>
              <w:t>响应</w:t>
            </w:r>
            <w:r>
              <w:rPr>
                <w:rFonts w:hint="eastAsia" w:ascii="宋体" w:hAnsi="宋体"/>
                <w:color w:val="auto"/>
                <w:szCs w:val="21"/>
                <w:highlight w:val="none"/>
              </w:rPr>
              <w:t>范围</w:t>
            </w:r>
          </w:p>
          <w:p w14:paraId="36089C0A">
            <w:pPr>
              <w:rPr>
                <w:rFonts w:hint="eastAsia" w:ascii="宋体" w:hAnsi="宋体" w:cs="宋体"/>
                <w:color w:val="auto"/>
                <w:highlight w:val="none"/>
              </w:rPr>
            </w:pPr>
            <w:r>
              <w:rPr>
                <w:rFonts w:hint="eastAsia" w:ascii="宋体" w:hAnsi="宋体"/>
                <w:color w:val="auto"/>
                <w:szCs w:val="21"/>
                <w:highlight w:val="none"/>
              </w:rPr>
              <w:t>（投标内容）</w:t>
            </w:r>
          </w:p>
        </w:tc>
        <w:tc>
          <w:tcPr>
            <w:tcW w:w="1283" w:type="dxa"/>
            <w:noWrap w:val="0"/>
            <w:vAlign w:val="top"/>
          </w:tcPr>
          <w:p w14:paraId="17412DC1">
            <w:pPr>
              <w:rPr>
                <w:rFonts w:hint="eastAsia" w:ascii="宋体" w:hAnsi="宋体" w:cs="宋体"/>
                <w:color w:val="auto"/>
                <w:highlight w:val="none"/>
              </w:rPr>
            </w:pPr>
          </w:p>
        </w:tc>
        <w:tc>
          <w:tcPr>
            <w:tcW w:w="1275" w:type="dxa"/>
            <w:noWrap w:val="0"/>
            <w:vAlign w:val="top"/>
          </w:tcPr>
          <w:p w14:paraId="46D17574">
            <w:pPr>
              <w:rPr>
                <w:rFonts w:hint="eastAsia" w:ascii="宋体" w:hAnsi="宋体" w:cs="宋体"/>
                <w:color w:val="auto"/>
                <w:highlight w:val="none"/>
              </w:rPr>
            </w:pPr>
          </w:p>
        </w:tc>
        <w:tc>
          <w:tcPr>
            <w:tcW w:w="1447" w:type="dxa"/>
            <w:noWrap w:val="0"/>
            <w:vAlign w:val="top"/>
          </w:tcPr>
          <w:p w14:paraId="6C6F801E">
            <w:pPr>
              <w:rPr>
                <w:rFonts w:hint="eastAsia" w:ascii="宋体" w:hAnsi="宋体" w:cs="宋体"/>
                <w:color w:val="auto"/>
                <w:highlight w:val="none"/>
              </w:rPr>
            </w:pPr>
          </w:p>
        </w:tc>
        <w:tc>
          <w:tcPr>
            <w:tcW w:w="1685" w:type="dxa"/>
            <w:noWrap w:val="0"/>
            <w:vAlign w:val="top"/>
          </w:tcPr>
          <w:p w14:paraId="4394F305">
            <w:pPr>
              <w:jc w:val="center"/>
              <w:rPr>
                <w:rFonts w:hint="eastAsia" w:ascii="宋体" w:hAnsi="宋体" w:cs="宋体"/>
                <w:color w:val="auto"/>
                <w:highlight w:val="none"/>
              </w:rPr>
            </w:pPr>
            <w:r>
              <w:rPr>
                <w:rFonts w:hint="eastAsia" w:ascii="宋体" w:hAnsi="宋体" w:cs="宋体"/>
                <w:color w:val="auto"/>
                <w:highlight w:val="none"/>
              </w:rPr>
              <w:t>标注所在页码</w:t>
            </w:r>
          </w:p>
        </w:tc>
      </w:tr>
      <w:tr w14:paraId="59D1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52B70BF7">
            <w:pPr>
              <w:jc w:val="center"/>
              <w:rPr>
                <w:rFonts w:hint="eastAsia" w:ascii="宋体" w:hAnsi="宋体" w:cs="宋体"/>
                <w:color w:val="auto"/>
                <w:highlight w:val="none"/>
              </w:rPr>
            </w:pPr>
            <w:r>
              <w:rPr>
                <w:rFonts w:hint="eastAsia" w:ascii="宋体" w:hAnsi="宋体" w:cs="宋体"/>
                <w:color w:val="auto"/>
                <w:highlight w:val="none"/>
              </w:rPr>
              <w:t>2</w:t>
            </w:r>
          </w:p>
        </w:tc>
        <w:tc>
          <w:tcPr>
            <w:tcW w:w="2409" w:type="dxa"/>
            <w:noWrap w:val="0"/>
            <w:vAlign w:val="top"/>
          </w:tcPr>
          <w:p w14:paraId="29D27C60">
            <w:pPr>
              <w:rPr>
                <w:rFonts w:hint="eastAsia" w:ascii="宋体" w:hAnsi="宋体" w:cs="宋体"/>
                <w:color w:val="auto"/>
                <w:highlight w:val="none"/>
              </w:rPr>
            </w:pPr>
            <w:r>
              <w:rPr>
                <w:rFonts w:hint="eastAsia" w:ascii="宋体" w:hAnsi="宋体"/>
                <w:color w:val="auto"/>
                <w:szCs w:val="21"/>
                <w:highlight w:val="none"/>
                <w:lang w:val="en-US" w:eastAsia="zh-CN"/>
              </w:rPr>
              <w:t>交货</w:t>
            </w:r>
            <w:r>
              <w:rPr>
                <w:rFonts w:hint="eastAsia" w:ascii="宋体" w:hAnsi="宋体"/>
                <w:color w:val="auto"/>
                <w:szCs w:val="21"/>
                <w:highlight w:val="none"/>
              </w:rPr>
              <w:t>期</w:t>
            </w:r>
          </w:p>
        </w:tc>
        <w:tc>
          <w:tcPr>
            <w:tcW w:w="1283" w:type="dxa"/>
            <w:noWrap w:val="0"/>
            <w:vAlign w:val="top"/>
          </w:tcPr>
          <w:p w14:paraId="12DA9273">
            <w:pPr>
              <w:rPr>
                <w:rFonts w:hint="eastAsia" w:ascii="宋体" w:hAnsi="宋体" w:cs="宋体"/>
                <w:color w:val="auto"/>
                <w:highlight w:val="none"/>
              </w:rPr>
            </w:pPr>
          </w:p>
        </w:tc>
        <w:tc>
          <w:tcPr>
            <w:tcW w:w="1275" w:type="dxa"/>
            <w:noWrap w:val="0"/>
            <w:vAlign w:val="top"/>
          </w:tcPr>
          <w:p w14:paraId="2D7B84BB">
            <w:pPr>
              <w:rPr>
                <w:rFonts w:hint="eastAsia" w:ascii="宋体" w:hAnsi="宋体" w:cs="宋体"/>
                <w:color w:val="auto"/>
                <w:highlight w:val="none"/>
              </w:rPr>
            </w:pPr>
          </w:p>
        </w:tc>
        <w:tc>
          <w:tcPr>
            <w:tcW w:w="1447" w:type="dxa"/>
            <w:noWrap w:val="0"/>
            <w:vAlign w:val="top"/>
          </w:tcPr>
          <w:p w14:paraId="7A2A8507">
            <w:pPr>
              <w:rPr>
                <w:rFonts w:hint="eastAsia" w:ascii="宋体" w:hAnsi="宋体" w:cs="宋体"/>
                <w:color w:val="auto"/>
                <w:highlight w:val="none"/>
              </w:rPr>
            </w:pPr>
          </w:p>
        </w:tc>
        <w:tc>
          <w:tcPr>
            <w:tcW w:w="1685" w:type="dxa"/>
            <w:noWrap w:val="0"/>
            <w:vAlign w:val="top"/>
          </w:tcPr>
          <w:p w14:paraId="0776609F">
            <w:pPr>
              <w:jc w:val="center"/>
              <w:rPr>
                <w:rFonts w:hint="eastAsia" w:ascii="宋体" w:hAnsi="宋体" w:cs="宋体"/>
                <w:color w:val="auto"/>
                <w:highlight w:val="none"/>
              </w:rPr>
            </w:pPr>
            <w:r>
              <w:rPr>
                <w:rFonts w:hint="eastAsia" w:ascii="宋体" w:hAnsi="宋体" w:cs="宋体"/>
                <w:color w:val="auto"/>
                <w:highlight w:val="none"/>
              </w:rPr>
              <w:t>标注所在页码</w:t>
            </w:r>
          </w:p>
        </w:tc>
      </w:tr>
      <w:tr w14:paraId="7514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1410D8C4">
            <w:pPr>
              <w:jc w:val="center"/>
              <w:rPr>
                <w:rFonts w:hint="eastAsia" w:ascii="宋体" w:hAnsi="宋体" w:cs="宋体"/>
                <w:color w:val="auto"/>
                <w:highlight w:val="none"/>
              </w:rPr>
            </w:pPr>
            <w:r>
              <w:rPr>
                <w:rFonts w:hint="eastAsia" w:ascii="宋体" w:hAnsi="宋体" w:cs="宋体"/>
                <w:color w:val="auto"/>
                <w:highlight w:val="none"/>
              </w:rPr>
              <w:t>3</w:t>
            </w:r>
          </w:p>
        </w:tc>
        <w:tc>
          <w:tcPr>
            <w:tcW w:w="2409" w:type="dxa"/>
            <w:noWrap w:val="0"/>
            <w:vAlign w:val="top"/>
          </w:tcPr>
          <w:p w14:paraId="0850581A">
            <w:pPr>
              <w:rPr>
                <w:rFonts w:hint="eastAsia" w:ascii="宋体" w:hAnsi="宋体" w:cs="宋体"/>
                <w:color w:val="auto"/>
                <w:highlight w:val="none"/>
              </w:rPr>
            </w:pPr>
            <w:r>
              <w:rPr>
                <w:rFonts w:hint="eastAsia" w:ascii="宋体" w:hAnsi="宋体"/>
                <w:color w:val="auto"/>
                <w:szCs w:val="21"/>
                <w:highlight w:val="none"/>
              </w:rPr>
              <w:t>交货地点</w:t>
            </w:r>
          </w:p>
        </w:tc>
        <w:tc>
          <w:tcPr>
            <w:tcW w:w="1283" w:type="dxa"/>
            <w:noWrap w:val="0"/>
            <w:vAlign w:val="top"/>
          </w:tcPr>
          <w:p w14:paraId="42644C1B">
            <w:pPr>
              <w:rPr>
                <w:rFonts w:hint="eastAsia" w:ascii="宋体" w:hAnsi="宋体" w:cs="宋体"/>
                <w:color w:val="auto"/>
                <w:highlight w:val="none"/>
              </w:rPr>
            </w:pPr>
          </w:p>
        </w:tc>
        <w:tc>
          <w:tcPr>
            <w:tcW w:w="1275" w:type="dxa"/>
            <w:noWrap w:val="0"/>
            <w:vAlign w:val="top"/>
          </w:tcPr>
          <w:p w14:paraId="2769C510">
            <w:pPr>
              <w:rPr>
                <w:rFonts w:hint="eastAsia" w:ascii="宋体" w:hAnsi="宋体" w:cs="宋体"/>
                <w:color w:val="auto"/>
                <w:highlight w:val="none"/>
              </w:rPr>
            </w:pPr>
          </w:p>
        </w:tc>
        <w:tc>
          <w:tcPr>
            <w:tcW w:w="1447" w:type="dxa"/>
            <w:noWrap w:val="0"/>
            <w:vAlign w:val="top"/>
          </w:tcPr>
          <w:p w14:paraId="2EF07750">
            <w:pPr>
              <w:rPr>
                <w:rFonts w:hint="eastAsia" w:ascii="宋体" w:hAnsi="宋体" w:cs="宋体"/>
                <w:color w:val="auto"/>
                <w:highlight w:val="none"/>
              </w:rPr>
            </w:pPr>
          </w:p>
        </w:tc>
        <w:tc>
          <w:tcPr>
            <w:tcW w:w="1685" w:type="dxa"/>
            <w:noWrap w:val="0"/>
            <w:vAlign w:val="top"/>
          </w:tcPr>
          <w:p w14:paraId="3CA34561">
            <w:pPr>
              <w:jc w:val="center"/>
              <w:rPr>
                <w:rFonts w:hint="eastAsia" w:ascii="宋体" w:hAnsi="宋体" w:cs="宋体"/>
                <w:color w:val="auto"/>
                <w:highlight w:val="none"/>
              </w:rPr>
            </w:pPr>
            <w:r>
              <w:rPr>
                <w:rFonts w:hint="eastAsia" w:ascii="宋体" w:hAnsi="宋体" w:cs="宋体"/>
                <w:color w:val="auto"/>
                <w:highlight w:val="none"/>
              </w:rPr>
              <w:t>标注所在页码</w:t>
            </w:r>
          </w:p>
        </w:tc>
      </w:tr>
      <w:tr w14:paraId="44C3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4C6C3E8E">
            <w:pPr>
              <w:jc w:val="center"/>
              <w:rPr>
                <w:rFonts w:hint="eastAsia" w:ascii="宋体" w:hAnsi="宋体" w:cs="宋体"/>
                <w:color w:val="auto"/>
                <w:highlight w:val="none"/>
              </w:rPr>
            </w:pPr>
            <w:r>
              <w:rPr>
                <w:rFonts w:hint="eastAsia" w:ascii="宋体" w:hAnsi="宋体" w:cs="宋体"/>
                <w:color w:val="auto"/>
                <w:highlight w:val="none"/>
              </w:rPr>
              <w:t>4</w:t>
            </w:r>
          </w:p>
        </w:tc>
        <w:tc>
          <w:tcPr>
            <w:tcW w:w="2409" w:type="dxa"/>
            <w:noWrap w:val="0"/>
            <w:vAlign w:val="top"/>
          </w:tcPr>
          <w:p w14:paraId="26B7BEED">
            <w:pPr>
              <w:rPr>
                <w:rFonts w:hint="eastAsia" w:ascii="宋体" w:hAnsi="宋体" w:cs="宋体"/>
                <w:color w:val="auto"/>
                <w:highlight w:val="none"/>
              </w:rPr>
            </w:pPr>
            <w:r>
              <w:rPr>
                <w:rFonts w:hint="eastAsia" w:ascii="宋体" w:hAnsi="宋体"/>
                <w:color w:val="auto"/>
                <w:szCs w:val="21"/>
                <w:highlight w:val="none"/>
              </w:rPr>
              <w:t>质保期</w:t>
            </w:r>
          </w:p>
        </w:tc>
        <w:tc>
          <w:tcPr>
            <w:tcW w:w="1283" w:type="dxa"/>
            <w:noWrap w:val="0"/>
            <w:vAlign w:val="top"/>
          </w:tcPr>
          <w:p w14:paraId="066DEA37">
            <w:pPr>
              <w:rPr>
                <w:rFonts w:hint="eastAsia" w:ascii="宋体" w:hAnsi="宋体" w:cs="宋体"/>
                <w:color w:val="auto"/>
                <w:highlight w:val="none"/>
              </w:rPr>
            </w:pPr>
          </w:p>
        </w:tc>
        <w:tc>
          <w:tcPr>
            <w:tcW w:w="1275" w:type="dxa"/>
            <w:noWrap w:val="0"/>
            <w:vAlign w:val="top"/>
          </w:tcPr>
          <w:p w14:paraId="77F0A6B7">
            <w:pPr>
              <w:rPr>
                <w:rFonts w:hint="eastAsia" w:ascii="宋体" w:hAnsi="宋体" w:cs="宋体"/>
                <w:color w:val="auto"/>
                <w:highlight w:val="none"/>
              </w:rPr>
            </w:pPr>
          </w:p>
        </w:tc>
        <w:tc>
          <w:tcPr>
            <w:tcW w:w="1447" w:type="dxa"/>
            <w:noWrap w:val="0"/>
            <w:vAlign w:val="top"/>
          </w:tcPr>
          <w:p w14:paraId="1993A568">
            <w:pPr>
              <w:rPr>
                <w:rFonts w:hint="eastAsia" w:ascii="宋体" w:hAnsi="宋体" w:cs="宋体"/>
                <w:color w:val="auto"/>
                <w:highlight w:val="none"/>
              </w:rPr>
            </w:pPr>
          </w:p>
        </w:tc>
        <w:tc>
          <w:tcPr>
            <w:tcW w:w="1685" w:type="dxa"/>
            <w:noWrap w:val="0"/>
            <w:vAlign w:val="top"/>
          </w:tcPr>
          <w:p w14:paraId="4420C70C">
            <w:pPr>
              <w:jc w:val="center"/>
              <w:rPr>
                <w:rFonts w:hint="eastAsia" w:ascii="宋体" w:hAnsi="宋体" w:cs="宋体"/>
                <w:color w:val="auto"/>
                <w:highlight w:val="none"/>
              </w:rPr>
            </w:pPr>
            <w:r>
              <w:rPr>
                <w:rFonts w:hint="eastAsia" w:ascii="宋体" w:hAnsi="宋体" w:cs="宋体"/>
                <w:color w:val="auto"/>
                <w:highlight w:val="none"/>
              </w:rPr>
              <w:t>标注所在页码</w:t>
            </w:r>
          </w:p>
        </w:tc>
      </w:tr>
      <w:tr w14:paraId="256F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40629748">
            <w:pPr>
              <w:jc w:val="center"/>
              <w:rPr>
                <w:rFonts w:hint="eastAsia" w:ascii="宋体" w:hAnsi="宋体" w:cs="宋体"/>
                <w:color w:val="auto"/>
                <w:highlight w:val="none"/>
              </w:rPr>
            </w:pPr>
            <w:r>
              <w:rPr>
                <w:rFonts w:hint="eastAsia" w:ascii="宋体" w:hAnsi="宋体" w:cs="宋体"/>
                <w:color w:val="auto"/>
                <w:highlight w:val="none"/>
              </w:rPr>
              <w:t>5</w:t>
            </w:r>
          </w:p>
        </w:tc>
        <w:tc>
          <w:tcPr>
            <w:tcW w:w="2409" w:type="dxa"/>
            <w:noWrap w:val="0"/>
            <w:vAlign w:val="top"/>
          </w:tcPr>
          <w:p w14:paraId="1CF6949F">
            <w:pPr>
              <w:rPr>
                <w:rFonts w:hint="eastAsia" w:ascii="宋体" w:hAnsi="宋体" w:cs="宋体"/>
                <w:color w:val="auto"/>
                <w:highlight w:val="none"/>
              </w:rPr>
            </w:pPr>
            <w:r>
              <w:rPr>
                <w:rFonts w:hint="eastAsia" w:ascii="宋体" w:hAnsi="宋体"/>
                <w:color w:val="auto"/>
                <w:szCs w:val="21"/>
                <w:highlight w:val="none"/>
              </w:rPr>
              <w:t>质量标准</w:t>
            </w:r>
          </w:p>
        </w:tc>
        <w:tc>
          <w:tcPr>
            <w:tcW w:w="1283" w:type="dxa"/>
            <w:noWrap w:val="0"/>
            <w:vAlign w:val="top"/>
          </w:tcPr>
          <w:p w14:paraId="4159A915">
            <w:pPr>
              <w:rPr>
                <w:rFonts w:hint="eastAsia" w:ascii="宋体" w:hAnsi="宋体" w:cs="宋体"/>
                <w:color w:val="auto"/>
                <w:highlight w:val="none"/>
              </w:rPr>
            </w:pPr>
          </w:p>
        </w:tc>
        <w:tc>
          <w:tcPr>
            <w:tcW w:w="1275" w:type="dxa"/>
            <w:noWrap w:val="0"/>
            <w:vAlign w:val="top"/>
          </w:tcPr>
          <w:p w14:paraId="617FB353">
            <w:pPr>
              <w:rPr>
                <w:rFonts w:hint="eastAsia" w:ascii="宋体" w:hAnsi="宋体" w:cs="宋体"/>
                <w:color w:val="auto"/>
                <w:highlight w:val="none"/>
              </w:rPr>
            </w:pPr>
          </w:p>
        </w:tc>
        <w:tc>
          <w:tcPr>
            <w:tcW w:w="1447" w:type="dxa"/>
            <w:noWrap w:val="0"/>
            <w:vAlign w:val="top"/>
          </w:tcPr>
          <w:p w14:paraId="60C28239">
            <w:pPr>
              <w:rPr>
                <w:rFonts w:hint="eastAsia" w:ascii="宋体" w:hAnsi="宋体" w:cs="宋体"/>
                <w:color w:val="auto"/>
                <w:highlight w:val="none"/>
              </w:rPr>
            </w:pPr>
          </w:p>
        </w:tc>
        <w:tc>
          <w:tcPr>
            <w:tcW w:w="1685" w:type="dxa"/>
            <w:noWrap w:val="0"/>
            <w:vAlign w:val="top"/>
          </w:tcPr>
          <w:p w14:paraId="0036BD1E">
            <w:pPr>
              <w:jc w:val="center"/>
              <w:rPr>
                <w:rFonts w:hint="eastAsia" w:ascii="宋体" w:hAnsi="宋体" w:cs="宋体"/>
                <w:color w:val="auto"/>
                <w:highlight w:val="none"/>
              </w:rPr>
            </w:pPr>
            <w:r>
              <w:rPr>
                <w:rFonts w:hint="eastAsia" w:ascii="宋体" w:hAnsi="宋体" w:cs="宋体"/>
                <w:color w:val="auto"/>
                <w:highlight w:val="none"/>
              </w:rPr>
              <w:t>标注所在页码</w:t>
            </w:r>
          </w:p>
        </w:tc>
      </w:tr>
      <w:tr w14:paraId="52AF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7C9F823F">
            <w:pPr>
              <w:jc w:val="center"/>
              <w:rPr>
                <w:rFonts w:hint="eastAsia" w:ascii="宋体" w:hAnsi="宋体" w:cs="宋体"/>
                <w:color w:val="auto"/>
                <w:highlight w:val="none"/>
              </w:rPr>
            </w:pPr>
            <w:r>
              <w:rPr>
                <w:rFonts w:hint="eastAsia" w:ascii="宋体" w:hAnsi="宋体" w:cs="宋体"/>
                <w:color w:val="auto"/>
                <w:highlight w:val="none"/>
              </w:rPr>
              <w:t>6</w:t>
            </w:r>
          </w:p>
        </w:tc>
        <w:tc>
          <w:tcPr>
            <w:tcW w:w="2409" w:type="dxa"/>
            <w:noWrap w:val="0"/>
            <w:vAlign w:val="top"/>
          </w:tcPr>
          <w:p w14:paraId="5A5FD7BF">
            <w:pPr>
              <w:rPr>
                <w:rFonts w:hint="eastAsia" w:ascii="宋体" w:hAnsi="宋体" w:cs="宋体"/>
                <w:color w:val="auto"/>
                <w:highlight w:val="none"/>
              </w:rPr>
            </w:pPr>
            <w:r>
              <w:rPr>
                <w:rFonts w:hint="eastAsia" w:ascii="宋体" w:hAnsi="宋体"/>
                <w:color w:val="auto"/>
                <w:szCs w:val="21"/>
                <w:highlight w:val="none"/>
              </w:rPr>
              <w:t>投标有效期</w:t>
            </w:r>
          </w:p>
        </w:tc>
        <w:tc>
          <w:tcPr>
            <w:tcW w:w="1283" w:type="dxa"/>
            <w:noWrap w:val="0"/>
            <w:vAlign w:val="top"/>
          </w:tcPr>
          <w:p w14:paraId="4DB7A5F3">
            <w:pPr>
              <w:rPr>
                <w:rFonts w:hint="eastAsia" w:ascii="宋体" w:hAnsi="宋体" w:cs="宋体"/>
                <w:color w:val="auto"/>
                <w:highlight w:val="none"/>
              </w:rPr>
            </w:pPr>
          </w:p>
        </w:tc>
        <w:tc>
          <w:tcPr>
            <w:tcW w:w="1275" w:type="dxa"/>
            <w:noWrap w:val="0"/>
            <w:vAlign w:val="top"/>
          </w:tcPr>
          <w:p w14:paraId="71CDF33C">
            <w:pPr>
              <w:rPr>
                <w:rFonts w:hint="eastAsia" w:ascii="宋体" w:hAnsi="宋体" w:cs="宋体"/>
                <w:color w:val="auto"/>
                <w:highlight w:val="none"/>
              </w:rPr>
            </w:pPr>
          </w:p>
        </w:tc>
        <w:tc>
          <w:tcPr>
            <w:tcW w:w="1447" w:type="dxa"/>
            <w:noWrap w:val="0"/>
            <w:vAlign w:val="top"/>
          </w:tcPr>
          <w:p w14:paraId="5A574510">
            <w:pPr>
              <w:rPr>
                <w:rFonts w:hint="eastAsia" w:ascii="宋体" w:hAnsi="宋体" w:cs="宋体"/>
                <w:color w:val="auto"/>
                <w:highlight w:val="none"/>
              </w:rPr>
            </w:pPr>
          </w:p>
        </w:tc>
        <w:tc>
          <w:tcPr>
            <w:tcW w:w="1685" w:type="dxa"/>
            <w:noWrap w:val="0"/>
            <w:vAlign w:val="top"/>
          </w:tcPr>
          <w:p w14:paraId="36668665">
            <w:pPr>
              <w:jc w:val="center"/>
              <w:rPr>
                <w:rFonts w:hint="eastAsia" w:ascii="宋体" w:hAnsi="宋体" w:cs="宋体"/>
                <w:color w:val="auto"/>
                <w:highlight w:val="none"/>
              </w:rPr>
            </w:pPr>
            <w:r>
              <w:rPr>
                <w:rFonts w:hint="eastAsia" w:ascii="宋体" w:hAnsi="宋体" w:cs="宋体"/>
                <w:color w:val="auto"/>
                <w:highlight w:val="none"/>
              </w:rPr>
              <w:t>标注所在页码</w:t>
            </w:r>
          </w:p>
        </w:tc>
      </w:tr>
      <w:tr w14:paraId="5D76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39294DD8">
            <w:pPr>
              <w:jc w:val="center"/>
              <w:rPr>
                <w:rFonts w:hint="eastAsia" w:ascii="宋体" w:hAnsi="宋体" w:cs="宋体"/>
                <w:color w:val="auto"/>
                <w:highlight w:val="none"/>
              </w:rPr>
            </w:pPr>
            <w:r>
              <w:rPr>
                <w:rFonts w:hint="eastAsia" w:ascii="宋体" w:hAnsi="宋体" w:cs="宋体"/>
                <w:color w:val="auto"/>
                <w:highlight w:val="none"/>
              </w:rPr>
              <w:t>7</w:t>
            </w:r>
          </w:p>
        </w:tc>
        <w:tc>
          <w:tcPr>
            <w:tcW w:w="2409" w:type="dxa"/>
            <w:noWrap w:val="0"/>
            <w:vAlign w:val="top"/>
          </w:tcPr>
          <w:p w14:paraId="75805D97">
            <w:pPr>
              <w:rPr>
                <w:rFonts w:hint="eastAsia" w:ascii="宋体" w:hAnsi="宋体" w:cs="宋体"/>
                <w:color w:val="auto"/>
                <w:highlight w:val="none"/>
              </w:rPr>
            </w:pPr>
            <w:r>
              <w:rPr>
                <w:rFonts w:hint="eastAsia" w:ascii="宋体" w:hAnsi="宋体"/>
                <w:color w:val="auto"/>
                <w:szCs w:val="21"/>
                <w:highlight w:val="none"/>
              </w:rPr>
              <w:t>履约保证金</w:t>
            </w:r>
          </w:p>
        </w:tc>
        <w:tc>
          <w:tcPr>
            <w:tcW w:w="1283" w:type="dxa"/>
            <w:noWrap w:val="0"/>
            <w:vAlign w:val="top"/>
          </w:tcPr>
          <w:p w14:paraId="68EC1527">
            <w:pPr>
              <w:rPr>
                <w:rFonts w:hint="eastAsia" w:ascii="宋体" w:hAnsi="宋体" w:cs="宋体"/>
                <w:color w:val="auto"/>
                <w:highlight w:val="none"/>
              </w:rPr>
            </w:pPr>
          </w:p>
        </w:tc>
        <w:tc>
          <w:tcPr>
            <w:tcW w:w="1275" w:type="dxa"/>
            <w:noWrap w:val="0"/>
            <w:vAlign w:val="top"/>
          </w:tcPr>
          <w:p w14:paraId="0F571B0E">
            <w:pPr>
              <w:rPr>
                <w:rFonts w:hint="eastAsia" w:ascii="宋体" w:hAnsi="宋体" w:cs="宋体"/>
                <w:color w:val="auto"/>
                <w:highlight w:val="none"/>
              </w:rPr>
            </w:pPr>
          </w:p>
        </w:tc>
        <w:tc>
          <w:tcPr>
            <w:tcW w:w="1447" w:type="dxa"/>
            <w:noWrap w:val="0"/>
            <w:vAlign w:val="top"/>
          </w:tcPr>
          <w:p w14:paraId="05FC9CE6">
            <w:pPr>
              <w:rPr>
                <w:rFonts w:hint="eastAsia" w:ascii="宋体" w:hAnsi="宋体" w:cs="宋体"/>
                <w:color w:val="auto"/>
                <w:highlight w:val="none"/>
              </w:rPr>
            </w:pPr>
          </w:p>
        </w:tc>
        <w:tc>
          <w:tcPr>
            <w:tcW w:w="1685" w:type="dxa"/>
            <w:noWrap w:val="0"/>
            <w:vAlign w:val="top"/>
          </w:tcPr>
          <w:p w14:paraId="2389A224">
            <w:pPr>
              <w:jc w:val="center"/>
              <w:rPr>
                <w:rFonts w:hint="eastAsia" w:ascii="宋体" w:hAnsi="宋体" w:cs="宋体"/>
                <w:color w:val="auto"/>
                <w:highlight w:val="none"/>
              </w:rPr>
            </w:pPr>
            <w:r>
              <w:rPr>
                <w:rFonts w:hint="eastAsia" w:ascii="宋体" w:hAnsi="宋体" w:cs="宋体"/>
                <w:color w:val="auto"/>
                <w:highlight w:val="none"/>
              </w:rPr>
              <w:t>/</w:t>
            </w:r>
          </w:p>
        </w:tc>
      </w:tr>
      <w:tr w14:paraId="60DB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7DDCF5F5">
            <w:pPr>
              <w:jc w:val="center"/>
              <w:rPr>
                <w:rFonts w:hint="eastAsia" w:ascii="宋体" w:hAnsi="宋体" w:cs="宋体"/>
                <w:color w:val="auto"/>
                <w:highlight w:val="none"/>
              </w:rPr>
            </w:pPr>
            <w:r>
              <w:rPr>
                <w:rFonts w:hint="eastAsia" w:ascii="宋体" w:hAnsi="宋体" w:cs="宋体"/>
                <w:color w:val="auto"/>
                <w:highlight w:val="none"/>
              </w:rPr>
              <w:t>8</w:t>
            </w:r>
          </w:p>
        </w:tc>
        <w:tc>
          <w:tcPr>
            <w:tcW w:w="2409" w:type="dxa"/>
            <w:noWrap w:val="0"/>
            <w:vAlign w:val="top"/>
          </w:tcPr>
          <w:p w14:paraId="579B70CA">
            <w:pPr>
              <w:rPr>
                <w:rFonts w:hint="eastAsia" w:ascii="宋体" w:hAnsi="宋体"/>
                <w:color w:val="auto"/>
                <w:szCs w:val="21"/>
                <w:highlight w:val="none"/>
              </w:rPr>
            </w:pPr>
            <w:r>
              <w:rPr>
                <w:rFonts w:hint="eastAsia" w:ascii="宋体" w:hAnsi="宋体"/>
                <w:color w:val="auto"/>
                <w:szCs w:val="21"/>
                <w:highlight w:val="none"/>
              </w:rPr>
              <w:t>付款方式</w:t>
            </w:r>
          </w:p>
        </w:tc>
        <w:tc>
          <w:tcPr>
            <w:tcW w:w="1283" w:type="dxa"/>
            <w:noWrap w:val="0"/>
            <w:vAlign w:val="top"/>
          </w:tcPr>
          <w:p w14:paraId="1A56ED48">
            <w:pPr>
              <w:rPr>
                <w:rFonts w:hint="eastAsia" w:ascii="宋体" w:hAnsi="宋体" w:cs="宋体"/>
                <w:color w:val="auto"/>
                <w:highlight w:val="none"/>
              </w:rPr>
            </w:pPr>
          </w:p>
        </w:tc>
        <w:tc>
          <w:tcPr>
            <w:tcW w:w="1275" w:type="dxa"/>
            <w:noWrap w:val="0"/>
            <w:vAlign w:val="top"/>
          </w:tcPr>
          <w:p w14:paraId="3BE1647E">
            <w:pPr>
              <w:rPr>
                <w:rFonts w:hint="eastAsia" w:ascii="宋体" w:hAnsi="宋体" w:cs="宋体"/>
                <w:color w:val="auto"/>
                <w:highlight w:val="none"/>
              </w:rPr>
            </w:pPr>
          </w:p>
        </w:tc>
        <w:tc>
          <w:tcPr>
            <w:tcW w:w="1447" w:type="dxa"/>
            <w:noWrap w:val="0"/>
            <w:vAlign w:val="top"/>
          </w:tcPr>
          <w:p w14:paraId="39D94813">
            <w:pPr>
              <w:rPr>
                <w:rFonts w:hint="eastAsia" w:ascii="宋体" w:hAnsi="宋体" w:cs="宋体"/>
                <w:color w:val="auto"/>
                <w:highlight w:val="none"/>
              </w:rPr>
            </w:pPr>
          </w:p>
        </w:tc>
        <w:tc>
          <w:tcPr>
            <w:tcW w:w="1685" w:type="dxa"/>
            <w:noWrap w:val="0"/>
            <w:vAlign w:val="top"/>
          </w:tcPr>
          <w:p w14:paraId="16B3A947">
            <w:pPr>
              <w:jc w:val="center"/>
              <w:rPr>
                <w:rFonts w:hint="eastAsia" w:ascii="宋体" w:hAnsi="宋体" w:cs="宋体"/>
                <w:color w:val="auto"/>
                <w:highlight w:val="none"/>
              </w:rPr>
            </w:pPr>
            <w:r>
              <w:rPr>
                <w:rFonts w:hint="eastAsia" w:ascii="宋体" w:hAnsi="宋体" w:cs="宋体"/>
                <w:color w:val="auto"/>
                <w:highlight w:val="none"/>
              </w:rPr>
              <w:t>/</w:t>
            </w:r>
          </w:p>
        </w:tc>
      </w:tr>
      <w:tr w14:paraId="163A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3A56AA39">
            <w:pPr>
              <w:jc w:val="center"/>
              <w:rPr>
                <w:rFonts w:hint="eastAsia" w:ascii="宋体" w:hAnsi="宋体" w:cs="宋体"/>
                <w:color w:val="auto"/>
                <w:highlight w:val="none"/>
              </w:rPr>
            </w:pPr>
            <w:r>
              <w:rPr>
                <w:rFonts w:hint="eastAsia" w:ascii="宋体" w:hAnsi="宋体" w:cs="宋体"/>
                <w:color w:val="auto"/>
                <w:highlight w:val="none"/>
              </w:rPr>
              <w:t>9</w:t>
            </w:r>
          </w:p>
        </w:tc>
        <w:tc>
          <w:tcPr>
            <w:tcW w:w="2409" w:type="dxa"/>
            <w:noWrap w:val="0"/>
            <w:vAlign w:val="top"/>
          </w:tcPr>
          <w:p w14:paraId="27AF0629">
            <w:pPr>
              <w:rPr>
                <w:rFonts w:hint="eastAsia" w:ascii="宋体" w:hAnsi="宋体"/>
                <w:color w:val="auto"/>
                <w:szCs w:val="21"/>
                <w:highlight w:val="none"/>
              </w:rPr>
            </w:pPr>
            <w:r>
              <w:rPr>
                <w:rFonts w:hint="eastAsia" w:ascii="宋体" w:hAnsi="宋体"/>
                <w:color w:val="auto"/>
                <w:szCs w:val="21"/>
                <w:highlight w:val="none"/>
              </w:rPr>
              <w:t>业绩</w:t>
            </w:r>
          </w:p>
        </w:tc>
        <w:tc>
          <w:tcPr>
            <w:tcW w:w="1283" w:type="dxa"/>
            <w:noWrap w:val="0"/>
            <w:vAlign w:val="top"/>
          </w:tcPr>
          <w:p w14:paraId="55D9A984">
            <w:pPr>
              <w:rPr>
                <w:rFonts w:hint="eastAsia" w:ascii="宋体" w:hAnsi="宋体" w:cs="宋体"/>
                <w:color w:val="auto"/>
                <w:highlight w:val="none"/>
              </w:rPr>
            </w:pPr>
          </w:p>
        </w:tc>
        <w:tc>
          <w:tcPr>
            <w:tcW w:w="1275" w:type="dxa"/>
            <w:noWrap w:val="0"/>
            <w:vAlign w:val="top"/>
          </w:tcPr>
          <w:p w14:paraId="63C59743">
            <w:pPr>
              <w:rPr>
                <w:rFonts w:hint="eastAsia" w:ascii="宋体" w:hAnsi="宋体" w:cs="宋体"/>
                <w:color w:val="auto"/>
                <w:highlight w:val="none"/>
              </w:rPr>
            </w:pPr>
          </w:p>
        </w:tc>
        <w:tc>
          <w:tcPr>
            <w:tcW w:w="1447" w:type="dxa"/>
            <w:noWrap w:val="0"/>
            <w:vAlign w:val="top"/>
          </w:tcPr>
          <w:p w14:paraId="3A157A4D">
            <w:pPr>
              <w:rPr>
                <w:rFonts w:hint="eastAsia" w:ascii="宋体" w:hAnsi="宋体" w:cs="宋体"/>
                <w:color w:val="auto"/>
                <w:highlight w:val="none"/>
              </w:rPr>
            </w:pPr>
          </w:p>
        </w:tc>
        <w:tc>
          <w:tcPr>
            <w:tcW w:w="1685" w:type="dxa"/>
            <w:noWrap w:val="0"/>
            <w:vAlign w:val="top"/>
          </w:tcPr>
          <w:p w14:paraId="17BAE20D">
            <w:pPr>
              <w:jc w:val="center"/>
              <w:rPr>
                <w:rFonts w:hint="eastAsia" w:ascii="宋体" w:hAnsi="宋体" w:cs="宋体"/>
                <w:color w:val="auto"/>
                <w:highlight w:val="none"/>
              </w:rPr>
            </w:pPr>
            <w:r>
              <w:rPr>
                <w:rFonts w:hint="eastAsia" w:ascii="宋体" w:hAnsi="宋体" w:cs="宋体"/>
                <w:color w:val="auto"/>
                <w:highlight w:val="none"/>
              </w:rPr>
              <w:t>标注所在页码</w:t>
            </w:r>
          </w:p>
        </w:tc>
      </w:tr>
      <w:tr w14:paraId="1FB6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8" w:type="dxa"/>
            <w:noWrap w:val="0"/>
            <w:vAlign w:val="top"/>
          </w:tcPr>
          <w:p w14:paraId="708C8F6B">
            <w:pPr>
              <w:jc w:val="center"/>
              <w:rPr>
                <w:rFonts w:hint="eastAsia" w:ascii="宋体" w:hAnsi="宋体" w:cs="宋体"/>
                <w:color w:val="auto"/>
                <w:highlight w:val="none"/>
              </w:rPr>
            </w:pPr>
            <w:r>
              <w:rPr>
                <w:rFonts w:hint="eastAsia" w:ascii="宋体" w:hAnsi="宋体" w:cs="宋体"/>
                <w:color w:val="auto"/>
                <w:highlight w:val="none"/>
              </w:rPr>
              <w:t>10</w:t>
            </w:r>
          </w:p>
        </w:tc>
        <w:tc>
          <w:tcPr>
            <w:tcW w:w="2409" w:type="dxa"/>
            <w:noWrap w:val="0"/>
            <w:vAlign w:val="top"/>
          </w:tcPr>
          <w:p w14:paraId="392F3E23">
            <w:pPr>
              <w:rPr>
                <w:rFonts w:hint="eastAsia" w:ascii="宋体" w:hAnsi="宋体"/>
                <w:color w:val="auto"/>
                <w:szCs w:val="21"/>
                <w:highlight w:val="none"/>
              </w:rPr>
            </w:pPr>
            <w:r>
              <w:rPr>
                <w:rFonts w:hint="eastAsia" w:ascii="宋体" w:hAnsi="宋体"/>
                <w:color w:val="auto"/>
                <w:szCs w:val="21"/>
                <w:highlight w:val="none"/>
              </w:rPr>
              <w:t>合同履行期限</w:t>
            </w:r>
          </w:p>
        </w:tc>
        <w:tc>
          <w:tcPr>
            <w:tcW w:w="1283" w:type="dxa"/>
            <w:noWrap w:val="0"/>
            <w:vAlign w:val="top"/>
          </w:tcPr>
          <w:p w14:paraId="1762F4C5">
            <w:pPr>
              <w:rPr>
                <w:rFonts w:hint="eastAsia" w:ascii="宋体" w:hAnsi="宋体" w:cs="宋体"/>
                <w:color w:val="auto"/>
                <w:highlight w:val="none"/>
              </w:rPr>
            </w:pPr>
          </w:p>
        </w:tc>
        <w:tc>
          <w:tcPr>
            <w:tcW w:w="1275" w:type="dxa"/>
            <w:noWrap w:val="0"/>
            <w:vAlign w:val="top"/>
          </w:tcPr>
          <w:p w14:paraId="301D9154">
            <w:pPr>
              <w:rPr>
                <w:rFonts w:hint="eastAsia" w:ascii="宋体" w:hAnsi="宋体" w:cs="宋体"/>
                <w:color w:val="auto"/>
                <w:highlight w:val="none"/>
              </w:rPr>
            </w:pPr>
          </w:p>
        </w:tc>
        <w:tc>
          <w:tcPr>
            <w:tcW w:w="1447" w:type="dxa"/>
            <w:noWrap w:val="0"/>
            <w:vAlign w:val="top"/>
          </w:tcPr>
          <w:p w14:paraId="36968927">
            <w:pPr>
              <w:rPr>
                <w:rFonts w:hint="eastAsia" w:ascii="宋体" w:hAnsi="宋体" w:cs="宋体"/>
                <w:color w:val="auto"/>
                <w:highlight w:val="none"/>
              </w:rPr>
            </w:pPr>
          </w:p>
        </w:tc>
        <w:tc>
          <w:tcPr>
            <w:tcW w:w="1685" w:type="dxa"/>
            <w:noWrap w:val="0"/>
            <w:vAlign w:val="top"/>
          </w:tcPr>
          <w:p w14:paraId="396949B8">
            <w:pPr>
              <w:jc w:val="center"/>
              <w:rPr>
                <w:rFonts w:hint="eastAsia" w:ascii="宋体" w:hAnsi="宋体" w:cs="宋体"/>
                <w:color w:val="auto"/>
                <w:highlight w:val="none"/>
              </w:rPr>
            </w:pPr>
            <w:r>
              <w:rPr>
                <w:rFonts w:hint="eastAsia" w:ascii="宋体" w:hAnsi="宋体" w:cs="宋体"/>
                <w:color w:val="auto"/>
                <w:highlight w:val="none"/>
              </w:rPr>
              <w:t>/</w:t>
            </w:r>
          </w:p>
        </w:tc>
      </w:tr>
      <w:tr w14:paraId="47FC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18" w:type="dxa"/>
            <w:noWrap w:val="0"/>
            <w:vAlign w:val="top"/>
          </w:tcPr>
          <w:p w14:paraId="79237A8C">
            <w:pPr>
              <w:jc w:val="center"/>
              <w:rPr>
                <w:rFonts w:hint="eastAsia" w:ascii="宋体" w:hAnsi="宋体" w:cs="宋体"/>
                <w:color w:val="auto"/>
                <w:highlight w:val="none"/>
              </w:rPr>
            </w:pPr>
            <w:r>
              <w:rPr>
                <w:rFonts w:hint="eastAsia" w:ascii="宋体" w:hAnsi="宋体" w:cs="宋体"/>
                <w:color w:val="auto"/>
                <w:highlight w:val="none"/>
              </w:rPr>
              <w:t>11</w:t>
            </w:r>
          </w:p>
        </w:tc>
        <w:tc>
          <w:tcPr>
            <w:tcW w:w="2409" w:type="dxa"/>
            <w:noWrap w:val="0"/>
            <w:vAlign w:val="top"/>
          </w:tcPr>
          <w:p w14:paraId="3EE2E027">
            <w:pPr>
              <w:rPr>
                <w:rFonts w:hint="eastAsia" w:ascii="宋体" w:hAnsi="宋体" w:cs="宋体"/>
                <w:color w:val="auto"/>
                <w:highlight w:val="none"/>
              </w:rPr>
            </w:pPr>
            <w:r>
              <w:rPr>
                <w:rFonts w:hint="eastAsia" w:ascii="宋体" w:hAnsi="宋体" w:cs="宋体"/>
                <w:color w:val="auto"/>
                <w:highlight w:val="none"/>
              </w:rPr>
              <w:t>其它</w:t>
            </w:r>
          </w:p>
        </w:tc>
        <w:tc>
          <w:tcPr>
            <w:tcW w:w="1283" w:type="dxa"/>
            <w:noWrap w:val="0"/>
            <w:vAlign w:val="top"/>
          </w:tcPr>
          <w:p w14:paraId="668568F2">
            <w:pPr>
              <w:rPr>
                <w:rFonts w:hint="eastAsia" w:ascii="宋体" w:hAnsi="宋体" w:cs="宋体"/>
                <w:color w:val="auto"/>
                <w:highlight w:val="none"/>
              </w:rPr>
            </w:pPr>
          </w:p>
        </w:tc>
        <w:tc>
          <w:tcPr>
            <w:tcW w:w="1275" w:type="dxa"/>
            <w:noWrap w:val="0"/>
            <w:vAlign w:val="top"/>
          </w:tcPr>
          <w:p w14:paraId="6256E72C">
            <w:pPr>
              <w:rPr>
                <w:rFonts w:hint="eastAsia" w:ascii="宋体" w:hAnsi="宋体" w:cs="宋体"/>
                <w:color w:val="auto"/>
                <w:highlight w:val="none"/>
              </w:rPr>
            </w:pPr>
          </w:p>
        </w:tc>
        <w:tc>
          <w:tcPr>
            <w:tcW w:w="1447" w:type="dxa"/>
            <w:noWrap w:val="0"/>
            <w:vAlign w:val="top"/>
          </w:tcPr>
          <w:p w14:paraId="17757BE1">
            <w:pPr>
              <w:rPr>
                <w:rFonts w:hint="eastAsia" w:ascii="宋体" w:hAnsi="宋体" w:cs="宋体"/>
                <w:color w:val="auto"/>
                <w:highlight w:val="none"/>
              </w:rPr>
            </w:pPr>
          </w:p>
        </w:tc>
        <w:tc>
          <w:tcPr>
            <w:tcW w:w="1685" w:type="dxa"/>
            <w:noWrap w:val="0"/>
            <w:vAlign w:val="top"/>
          </w:tcPr>
          <w:p w14:paraId="67CFC58D">
            <w:pPr>
              <w:jc w:val="center"/>
              <w:rPr>
                <w:rFonts w:hint="eastAsia" w:ascii="宋体" w:hAnsi="宋体" w:cs="宋体"/>
                <w:color w:val="auto"/>
                <w:highlight w:val="none"/>
              </w:rPr>
            </w:pPr>
            <w:r>
              <w:rPr>
                <w:rFonts w:hint="eastAsia" w:ascii="宋体" w:hAnsi="宋体" w:cs="宋体"/>
                <w:color w:val="auto"/>
                <w:highlight w:val="none"/>
              </w:rPr>
              <w:t>标注所在页码</w:t>
            </w:r>
          </w:p>
        </w:tc>
      </w:tr>
    </w:tbl>
    <w:p w14:paraId="69AE2290">
      <w:pPr>
        <w:pStyle w:val="19"/>
        <w:spacing w:line="360" w:lineRule="auto"/>
        <w:ind w:left="1080" w:leftChars="257" w:hanging="540"/>
        <w:rPr>
          <w:rFonts w:hint="eastAsia" w:hAnsi="宋体"/>
          <w:color w:val="auto"/>
          <w:sz w:val="24"/>
          <w:highlight w:val="none"/>
        </w:rPr>
      </w:pPr>
    </w:p>
    <w:p w14:paraId="6D4B9BAE">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（盖企业电子章）</w:t>
      </w:r>
    </w:p>
    <w:p w14:paraId="4B1F755D">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（签字或盖章或电子签章）</w:t>
      </w:r>
    </w:p>
    <w:p w14:paraId="5F464721">
      <w:pPr>
        <w:pStyle w:val="19"/>
        <w:spacing w:line="360" w:lineRule="auto"/>
        <w:rPr>
          <w:rStyle w:val="133"/>
          <w:rFonts w:ascii="Times New Roman" w:hAnsi="Times New Roman" w:eastAsia="宋体" w:cs="Times New Roman"/>
          <w:color w:val="auto"/>
          <w:szCs w:val="21"/>
          <w:highlight w:val="none"/>
        </w:rPr>
      </w:pPr>
      <w:r>
        <w:rPr>
          <w:rFonts w:hint="eastAsia" w:asciiTheme="minorEastAsia" w:hAnsiTheme="minorEastAsia" w:eastAsiaTheme="minorEastAsia" w:cstheme="minorEastAsia"/>
          <w:color w:val="auto"/>
          <w:sz w:val="21"/>
          <w:szCs w:val="21"/>
          <w:highlight w:val="none"/>
        </w:rPr>
        <w:t>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日</w:t>
      </w:r>
    </w:p>
    <w:p w14:paraId="02098EE3">
      <w:pPr>
        <w:pStyle w:val="19"/>
        <w:spacing w:line="360" w:lineRule="auto"/>
        <w:rPr>
          <w:rStyle w:val="133"/>
          <w:rFonts w:hint="eastAsia" w:ascii="Times New Roman" w:hAnsi="Times New Roman" w:eastAsia="宋体" w:cs="Times New Roman"/>
          <w:color w:val="auto"/>
          <w:szCs w:val="21"/>
          <w:highlight w:val="none"/>
        </w:rPr>
      </w:pPr>
    </w:p>
    <w:p w14:paraId="0190BE32">
      <w:pPr>
        <w:pStyle w:val="19"/>
        <w:spacing w:line="360" w:lineRule="auto"/>
        <w:rPr>
          <w:rStyle w:val="133"/>
          <w:rFonts w:ascii="Times New Roman" w:hAnsi="Times New Roman" w:eastAsia="宋体" w:cs="Times New Roman"/>
          <w:color w:val="auto"/>
          <w:szCs w:val="21"/>
          <w:highlight w:val="none"/>
        </w:rPr>
      </w:pPr>
      <w:r>
        <w:rPr>
          <w:rStyle w:val="133"/>
          <w:rFonts w:hint="eastAsia" w:ascii="Times New Roman" w:hAnsi="Times New Roman" w:eastAsia="宋体" w:cs="Times New Roman"/>
          <w:color w:val="auto"/>
          <w:szCs w:val="21"/>
          <w:highlight w:val="none"/>
        </w:rPr>
        <w:t>说明：</w:t>
      </w:r>
    </w:p>
    <w:p w14:paraId="4F527F24">
      <w:pPr>
        <w:numPr>
          <w:ilvl w:val="0"/>
          <w:numId w:val="9"/>
        </w:numPr>
        <w:adjustRightInd w:val="0"/>
        <w:spacing w:line="360" w:lineRule="auto"/>
        <w:ind w:firstLine="630" w:firstLineChars="300"/>
        <w:jc w:val="left"/>
        <w:textAlignment w:val="baseline"/>
        <w:rPr>
          <w:rFonts w:hint="eastAsia" w:ascii="宋体" w:hAnsi="宋体" w:cs="宋体"/>
          <w:color w:val="auto"/>
          <w:kern w:val="0"/>
          <w:highlight w:val="none"/>
        </w:rPr>
      </w:pPr>
      <w:r>
        <w:rPr>
          <w:rFonts w:hint="eastAsia" w:ascii="宋体" w:hAnsi="宋体" w:cs="宋体"/>
          <w:color w:val="auto"/>
          <w:kern w:val="0"/>
          <w:highlight w:val="none"/>
        </w:rPr>
        <w:t>商务条款存在偏差的必须如实、完整填写本表，否则可能导致投标被拒绝。</w:t>
      </w:r>
    </w:p>
    <w:p w14:paraId="0FABD032">
      <w:pPr>
        <w:numPr>
          <w:ilvl w:val="0"/>
          <w:numId w:val="9"/>
        </w:numPr>
        <w:adjustRightInd w:val="0"/>
        <w:spacing w:line="360" w:lineRule="auto"/>
        <w:ind w:firstLine="630" w:firstLineChars="300"/>
        <w:jc w:val="left"/>
        <w:textAlignment w:val="baseline"/>
        <w:rPr>
          <w:rFonts w:hint="eastAsia" w:ascii="宋体" w:hAnsi="宋体" w:cs="宋体"/>
          <w:color w:val="auto"/>
          <w:highlight w:val="none"/>
        </w:rPr>
      </w:pPr>
      <w:r>
        <w:rPr>
          <w:rFonts w:hint="eastAsia" w:ascii="宋体" w:hAnsi="宋体" w:cs="宋体"/>
          <w:color w:val="auto"/>
          <w:highlight w:val="none"/>
        </w:rPr>
        <w:t>附件1：有效业绩合同</w:t>
      </w:r>
    </w:p>
    <w:tbl>
      <w:tblPr>
        <w:tblStyle w:val="38"/>
        <w:tblW w:w="0" w:type="auto"/>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3157"/>
        <w:gridCol w:w="5115"/>
      </w:tblGrid>
      <w:tr w14:paraId="4ABA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43" w:type="dxa"/>
            <w:noWrap w:val="0"/>
            <w:vAlign w:val="top"/>
          </w:tcPr>
          <w:p w14:paraId="107C7623">
            <w:pPr>
              <w:spacing w:line="360" w:lineRule="auto"/>
              <w:rPr>
                <w:rFonts w:hint="eastAsia" w:ascii="宋体" w:hAnsi="宋体" w:cs="宋体"/>
                <w:color w:val="auto"/>
                <w:highlight w:val="none"/>
              </w:rPr>
            </w:pPr>
            <w:r>
              <w:rPr>
                <w:rFonts w:hint="eastAsia" w:ascii="宋体" w:hAnsi="宋体" w:cs="宋体"/>
                <w:color w:val="auto"/>
                <w:highlight w:val="none"/>
              </w:rPr>
              <w:t>序号</w:t>
            </w:r>
          </w:p>
        </w:tc>
        <w:tc>
          <w:tcPr>
            <w:tcW w:w="3157" w:type="dxa"/>
            <w:noWrap w:val="0"/>
            <w:vAlign w:val="top"/>
          </w:tcPr>
          <w:p w14:paraId="4CA25CB6">
            <w:pPr>
              <w:spacing w:line="360" w:lineRule="auto"/>
              <w:jc w:val="center"/>
              <w:rPr>
                <w:rFonts w:hint="eastAsia" w:ascii="宋体" w:hAnsi="宋体" w:cs="宋体"/>
                <w:color w:val="auto"/>
                <w:highlight w:val="none"/>
              </w:rPr>
            </w:pPr>
            <w:r>
              <w:rPr>
                <w:rFonts w:hint="eastAsia" w:ascii="宋体" w:hAnsi="宋体" w:cs="宋体"/>
                <w:color w:val="auto"/>
                <w:highlight w:val="none"/>
              </w:rPr>
              <w:t>中标（成交）项目名称</w:t>
            </w:r>
          </w:p>
        </w:tc>
        <w:tc>
          <w:tcPr>
            <w:tcW w:w="5115" w:type="dxa"/>
            <w:noWrap w:val="0"/>
            <w:vAlign w:val="top"/>
          </w:tcPr>
          <w:p w14:paraId="1F1B0C25">
            <w:pPr>
              <w:spacing w:line="360" w:lineRule="auto"/>
              <w:jc w:val="center"/>
              <w:rPr>
                <w:rFonts w:hint="eastAsia" w:ascii="宋体" w:hAnsi="宋体" w:cs="宋体"/>
                <w:color w:val="auto"/>
                <w:highlight w:val="none"/>
              </w:rPr>
            </w:pPr>
            <w:r>
              <w:rPr>
                <w:rFonts w:hint="eastAsia" w:ascii="宋体" w:hAnsi="宋体" w:cs="宋体"/>
                <w:color w:val="auto"/>
                <w:highlight w:val="none"/>
              </w:rPr>
              <w:t>中标（成交）公告网址，便于核查</w:t>
            </w:r>
          </w:p>
        </w:tc>
      </w:tr>
      <w:tr w14:paraId="08A6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43" w:type="dxa"/>
            <w:noWrap w:val="0"/>
            <w:vAlign w:val="top"/>
          </w:tcPr>
          <w:p w14:paraId="68BDBED4">
            <w:pPr>
              <w:spacing w:line="360" w:lineRule="auto"/>
              <w:jc w:val="center"/>
              <w:rPr>
                <w:rFonts w:hint="eastAsia" w:ascii="宋体" w:hAnsi="宋体" w:cs="宋体"/>
                <w:color w:val="auto"/>
                <w:highlight w:val="none"/>
              </w:rPr>
            </w:pPr>
            <w:r>
              <w:rPr>
                <w:rFonts w:hint="eastAsia" w:ascii="宋体" w:hAnsi="宋体" w:cs="宋体"/>
                <w:color w:val="auto"/>
                <w:highlight w:val="none"/>
              </w:rPr>
              <w:t>1</w:t>
            </w:r>
          </w:p>
        </w:tc>
        <w:tc>
          <w:tcPr>
            <w:tcW w:w="3157" w:type="dxa"/>
            <w:noWrap w:val="0"/>
            <w:vAlign w:val="top"/>
          </w:tcPr>
          <w:p w14:paraId="2E3E83B8">
            <w:pPr>
              <w:spacing w:line="360" w:lineRule="auto"/>
              <w:jc w:val="center"/>
              <w:rPr>
                <w:rFonts w:hint="eastAsia" w:ascii="宋体" w:hAnsi="宋体" w:cs="宋体"/>
                <w:color w:val="auto"/>
                <w:highlight w:val="none"/>
              </w:rPr>
            </w:pPr>
          </w:p>
        </w:tc>
        <w:tc>
          <w:tcPr>
            <w:tcW w:w="5115" w:type="dxa"/>
            <w:noWrap w:val="0"/>
            <w:vAlign w:val="top"/>
          </w:tcPr>
          <w:p w14:paraId="40CF6893">
            <w:pPr>
              <w:spacing w:line="360" w:lineRule="auto"/>
              <w:jc w:val="center"/>
              <w:rPr>
                <w:rFonts w:hint="eastAsia" w:ascii="宋体" w:hAnsi="宋体" w:cs="宋体"/>
                <w:color w:val="auto"/>
                <w:highlight w:val="none"/>
              </w:rPr>
            </w:pPr>
          </w:p>
        </w:tc>
      </w:tr>
      <w:tr w14:paraId="7388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43" w:type="dxa"/>
            <w:noWrap w:val="0"/>
            <w:vAlign w:val="top"/>
          </w:tcPr>
          <w:p w14:paraId="22DCCAFF">
            <w:pPr>
              <w:spacing w:line="360" w:lineRule="auto"/>
              <w:jc w:val="center"/>
              <w:rPr>
                <w:rFonts w:hint="eastAsia" w:ascii="宋体" w:hAnsi="宋体" w:cs="宋体"/>
                <w:color w:val="auto"/>
                <w:highlight w:val="none"/>
              </w:rPr>
            </w:pPr>
            <w:r>
              <w:rPr>
                <w:rFonts w:hint="eastAsia" w:ascii="宋体" w:hAnsi="宋体" w:cs="宋体"/>
                <w:color w:val="auto"/>
                <w:highlight w:val="none"/>
              </w:rPr>
              <w:t>2</w:t>
            </w:r>
          </w:p>
        </w:tc>
        <w:tc>
          <w:tcPr>
            <w:tcW w:w="3157" w:type="dxa"/>
            <w:noWrap w:val="0"/>
            <w:vAlign w:val="top"/>
          </w:tcPr>
          <w:p w14:paraId="0B56FC59">
            <w:pPr>
              <w:spacing w:line="360" w:lineRule="auto"/>
              <w:jc w:val="center"/>
              <w:rPr>
                <w:rFonts w:hint="eastAsia" w:ascii="宋体" w:hAnsi="宋体" w:cs="宋体"/>
                <w:color w:val="auto"/>
                <w:highlight w:val="none"/>
              </w:rPr>
            </w:pPr>
          </w:p>
        </w:tc>
        <w:tc>
          <w:tcPr>
            <w:tcW w:w="5115" w:type="dxa"/>
            <w:noWrap w:val="0"/>
            <w:vAlign w:val="top"/>
          </w:tcPr>
          <w:p w14:paraId="1AE17FF8">
            <w:pPr>
              <w:spacing w:line="360" w:lineRule="auto"/>
              <w:jc w:val="center"/>
              <w:rPr>
                <w:rFonts w:hint="eastAsia" w:ascii="宋体" w:hAnsi="宋体" w:cs="宋体"/>
                <w:color w:val="auto"/>
                <w:highlight w:val="none"/>
              </w:rPr>
            </w:pPr>
          </w:p>
        </w:tc>
      </w:tr>
      <w:tr w14:paraId="3A0E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43" w:type="dxa"/>
            <w:noWrap w:val="0"/>
            <w:vAlign w:val="top"/>
          </w:tcPr>
          <w:p w14:paraId="0467797A">
            <w:pPr>
              <w:spacing w:line="360" w:lineRule="auto"/>
              <w:jc w:val="center"/>
              <w:rPr>
                <w:rFonts w:hint="eastAsia" w:ascii="宋体" w:hAnsi="宋体" w:cs="宋体"/>
                <w:color w:val="auto"/>
                <w:highlight w:val="none"/>
              </w:rPr>
            </w:pPr>
            <w:r>
              <w:rPr>
                <w:rFonts w:hint="eastAsia" w:ascii="宋体" w:hAnsi="宋体" w:cs="宋体"/>
                <w:color w:val="auto"/>
                <w:highlight w:val="none"/>
              </w:rPr>
              <w:t>…</w:t>
            </w:r>
          </w:p>
        </w:tc>
        <w:tc>
          <w:tcPr>
            <w:tcW w:w="3157" w:type="dxa"/>
            <w:noWrap w:val="0"/>
            <w:vAlign w:val="top"/>
          </w:tcPr>
          <w:p w14:paraId="4884699D">
            <w:pPr>
              <w:spacing w:line="360" w:lineRule="auto"/>
              <w:jc w:val="center"/>
              <w:rPr>
                <w:rFonts w:hint="eastAsia" w:ascii="宋体" w:hAnsi="宋体" w:cs="宋体"/>
                <w:color w:val="auto"/>
                <w:highlight w:val="none"/>
              </w:rPr>
            </w:pPr>
          </w:p>
        </w:tc>
        <w:tc>
          <w:tcPr>
            <w:tcW w:w="5115" w:type="dxa"/>
            <w:noWrap w:val="0"/>
            <w:vAlign w:val="top"/>
          </w:tcPr>
          <w:p w14:paraId="55F71044">
            <w:pPr>
              <w:spacing w:line="360" w:lineRule="auto"/>
              <w:jc w:val="center"/>
              <w:rPr>
                <w:rFonts w:hint="eastAsia" w:ascii="宋体" w:hAnsi="宋体" w:cs="宋体"/>
                <w:color w:val="auto"/>
                <w:highlight w:val="none"/>
              </w:rPr>
            </w:pPr>
          </w:p>
        </w:tc>
      </w:tr>
    </w:tbl>
    <w:p w14:paraId="5A29ECBA">
      <w:pPr>
        <w:pageBreakBefore w:val="0"/>
        <w:overflowPunct/>
        <w:topLinePunct w:val="0"/>
        <w:bidi w:val="0"/>
        <w:spacing w:line="240" w:lineRule="auto"/>
        <w:ind w:firstLine="0"/>
        <w:jc w:val="left"/>
        <w:rPr>
          <w:rFonts w:hint="eastAsia" w:asciiTheme="minorEastAsia" w:hAnsiTheme="minorEastAsia" w:eastAsiaTheme="minorEastAsia" w:cstheme="minorEastAsia"/>
          <w:b/>
          <w:color w:val="auto"/>
          <w:kern w:val="0"/>
          <w:sz w:val="28"/>
          <w:szCs w:val="28"/>
          <w:highlight w:val="none"/>
          <w:lang w:bidi="zh-CN"/>
        </w:rPr>
      </w:pPr>
      <w:r>
        <w:rPr>
          <w:rFonts w:hint="eastAsia" w:asciiTheme="minorEastAsia" w:hAnsiTheme="minorEastAsia" w:eastAsiaTheme="minorEastAsia" w:cstheme="minorEastAsia"/>
          <w:b/>
          <w:color w:val="auto"/>
          <w:kern w:val="0"/>
          <w:sz w:val="28"/>
          <w:szCs w:val="28"/>
          <w:highlight w:val="none"/>
          <w:lang w:bidi="zh-CN"/>
        </w:rPr>
        <w:br w:type="page"/>
      </w:r>
    </w:p>
    <w:p w14:paraId="449AE3F8">
      <w:pPr>
        <w:pStyle w:val="6"/>
        <w:pageBreakBefore w:val="0"/>
        <w:overflowPunct/>
        <w:topLinePunct w:val="0"/>
        <w:bidi w:val="0"/>
        <w:spacing w:before="42"/>
        <w:ind w:right="439" w:firstLine="602"/>
        <w:jc w:val="center"/>
        <w:rPr>
          <w:rFonts w:hint="eastAsia" w:asciiTheme="minorEastAsia" w:hAnsiTheme="minorEastAsia" w:eastAsiaTheme="minorEastAsia" w:cstheme="minorEastAsia"/>
          <w:bCs w:val="0"/>
          <w:color w:val="auto"/>
          <w:sz w:val="28"/>
          <w:szCs w:val="28"/>
          <w:highlight w:val="none"/>
          <w:lang w:val="en-US" w:bidi="zh-CN"/>
        </w:rPr>
      </w:pPr>
      <w:r>
        <w:rPr>
          <w:rFonts w:hint="eastAsia" w:asciiTheme="minorEastAsia" w:hAnsiTheme="minorEastAsia" w:eastAsiaTheme="minorEastAsia" w:cstheme="minorEastAsia"/>
          <w:b/>
          <w:color w:val="auto"/>
          <w:kern w:val="0"/>
          <w:sz w:val="28"/>
          <w:szCs w:val="28"/>
          <w:highlight w:val="none"/>
          <w:lang w:val="en-US" w:bidi="zh-CN"/>
        </w:rPr>
        <w:t>八</w:t>
      </w:r>
      <w:r>
        <w:rPr>
          <w:rFonts w:hint="eastAsia" w:asciiTheme="minorEastAsia" w:hAnsiTheme="minorEastAsia" w:eastAsiaTheme="minorEastAsia" w:cstheme="minorEastAsia"/>
          <w:b/>
          <w:color w:val="auto"/>
          <w:kern w:val="0"/>
          <w:sz w:val="28"/>
          <w:szCs w:val="28"/>
          <w:highlight w:val="none"/>
          <w:lang w:bidi="zh-CN"/>
        </w:rPr>
        <w:t>、</w:t>
      </w:r>
      <w:r>
        <w:rPr>
          <w:rFonts w:hint="eastAsia" w:asciiTheme="minorEastAsia" w:hAnsiTheme="minorEastAsia" w:eastAsiaTheme="minorEastAsia" w:cstheme="minorEastAsia"/>
          <w:b/>
          <w:bCs w:val="0"/>
          <w:color w:val="auto"/>
          <w:kern w:val="2"/>
          <w:sz w:val="28"/>
          <w:szCs w:val="28"/>
          <w:highlight w:val="none"/>
          <w:lang w:val="en-US" w:bidi="zh-CN"/>
        </w:rPr>
        <w:t>技术证明文件</w:t>
      </w:r>
    </w:p>
    <w:p w14:paraId="0BF0A93B">
      <w:pPr>
        <w:rPr>
          <w:rFonts w:hint="eastAsia"/>
          <w:color w:val="auto"/>
          <w:highlight w:val="none"/>
        </w:rPr>
      </w:pPr>
    </w:p>
    <w:p w14:paraId="48737B10">
      <w:pPr>
        <w:rPr>
          <w:rFonts w:hint="eastAsia"/>
          <w:color w:val="auto"/>
          <w:highlight w:val="none"/>
        </w:rPr>
      </w:pPr>
    </w:p>
    <w:p w14:paraId="24EDB3F9">
      <w:pPr>
        <w:rPr>
          <w:rFonts w:hint="eastAsia"/>
          <w:color w:val="auto"/>
          <w:highlight w:val="none"/>
        </w:rPr>
      </w:pPr>
    </w:p>
    <w:p w14:paraId="1C8DEA2E">
      <w:pPr>
        <w:rPr>
          <w:rFonts w:hint="eastAsia"/>
          <w:color w:val="auto"/>
          <w:highlight w:val="none"/>
        </w:rPr>
      </w:pPr>
      <w:bookmarkStart w:id="255" w:name="_bookmark41"/>
      <w:bookmarkEnd w:id="255"/>
      <w:bookmarkStart w:id="256" w:name="1.磋商响应函"/>
      <w:bookmarkEnd w:id="256"/>
    </w:p>
    <w:p w14:paraId="6D205001">
      <w:pPr>
        <w:rPr>
          <w:rFonts w:hint="eastAsia"/>
          <w:color w:val="auto"/>
          <w:highlight w:val="none"/>
        </w:rPr>
      </w:pPr>
    </w:p>
    <w:p w14:paraId="0E38669D">
      <w:pPr>
        <w:rPr>
          <w:rFonts w:hint="eastAsia"/>
          <w:color w:val="auto"/>
          <w:highlight w:val="none"/>
        </w:rPr>
      </w:pPr>
    </w:p>
    <w:p w14:paraId="133E2E53">
      <w:pPr>
        <w:rPr>
          <w:rFonts w:hint="eastAsia"/>
          <w:color w:val="auto"/>
          <w:highlight w:val="none"/>
        </w:rPr>
      </w:pPr>
    </w:p>
    <w:p w14:paraId="391BD379">
      <w:pPr>
        <w:rPr>
          <w:rFonts w:hint="eastAsia"/>
          <w:color w:val="auto"/>
          <w:highlight w:val="none"/>
        </w:rPr>
      </w:pPr>
    </w:p>
    <w:p w14:paraId="11FB9E59">
      <w:pPr>
        <w:rPr>
          <w:rFonts w:hint="eastAsia"/>
          <w:color w:val="auto"/>
          <w:highlight w:val="none"/>
        </w:rPr>
      </w:pPr>
    </w:p>
    <w:p w14:paraId="1F5BCA6C">
      <w:pPr>
        <w:rPr>
          <w:rFonts w:hint="eastAsia"/>
          <w:color w:val="auto"/>
          <w:highlight w:val="none"/>
        </w:rPr>
      </w:pPr>
    </w:p>
    <w:p w14:paraId="29818F19">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2B9593AB">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31731EA9">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360FABDA">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7F92288B">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1AF1A1C4">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0319F9CC">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47A37763">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09FAA8B8">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bidi="zh-CN"/>
        </w:rPr>
      </w:pPr>
    </w:p>
    <w:p w14:paraId="63A5EB16">
      <w:pPr>
        <w:pageBreakBefore w:val="0"/>
        <w:overflowPunct/>
        <w:topLinePunct w:val="0"/>
        <w:bidi w:val="0"/>
        <w:spacing w:line="360" w:lineRule="auto"/>
        <w:ind w:firstLine="600"/>
        <w:rPr>
          <w:rFonts w:hint="eastAsia" w:asciiTheme="minorEastAsia" w:hAnsiTheme="minorEastAsia" w:eastAsiaTheme="minorEastAsia" w:cstheme="minorEastAsia"/>
          <w:b/>
          <w:color w:val="auto"/>
          <w:kern w:val="0"/>
          <w:sz w:val="21"/>
          <w:szCs w:val="21"/>
          <w:highlight w:val="none"/>
          <w:lang w:val="en-US" w:bidi="zh-CN"/>
        </w:rPr>
      </w:pPr>
    </w:p>
    <w:p w14:paraId="56ABE134">
      <w:pPr>
        <w:pageBreakBefore w:val="0"/>
        <w:overflowPunct/>
        <w:topLinePunct w:val="0"/>
        <w:bidi w:val="0"/>
        <w:spacing w:line="240" w:lineRule="auto"/>
        <w:ind w:firstLine="0"/>
        <w:rPr>
          <w:rFonts w:hint="eastAsia" w:asciiTheme="minorEastAsia" w:hAnsiTheme="minorEastAsia" w:eastAsiaTheme="minorEastAsia" w:cstheme="minorEastAsia"/>
          <w:b/>
          <w:color w:val="auto"/>
          <w:kern w:val="0"/>
          <w:sz w:val="21"/>
          <w:szCs w:val="21"/>
          <w:highlight w:val="none"/>
          <w:lang w:val="en-US" w:bidi="zh-CN"/>
        </w:rPr>
      </w:pPr>
      <w:r>
        <w:rPr>
          <w:rFonts w:hint="eastAsia" w:asciiTheme="minorEastAsia" w:hAnsiTheme="minorEastAsia" w:eastAsiaTheme="minorEastAsia" w:cstheme="minorEastAsia"/>
          <w:b/>
          <w:color w:val="auto"/>
          <w:kern w:val="0"/>
          <w:sz w:val="21"/>
          <w:szCs w:val="21"/>
          <w:highlight w:val="none"/>
          <w:lang w:val="en-US" w:bidi="zh-CN"/>
        </w:rPr>
        <w:br w:type="page"/>
      </w:r>
    </w:p>
    <w:p w14:paraId="7FD3F4D8">
      <w:pPr>
        <w:pStyle w:val="6"/>
        <w:spacing w:before="42"/>
        <w:ind w:right="439" w:firstLine="602"/>
        <w:jc w:val="center"/>
        <w:rPr>
          <w:rStyle w:val="41"/>
          <w:rFonts w:hint="eastAsia" w:asciiTheme="minorEastAsia" w:hAnsiTheme="minorEastAsia" w:eastAsiaTheme="minorEastAsia" w:cstheme="minorEastAsia"/>
          <w:b/>
          <w:bCs w:val="0"/>
          <w:color w:val="auto"/>
          <w:kern w:val="2"/>
          <w:sz w:val="28"/>
          <w:szCs w:val="28"/>
          <w:highlight w:val="none"/>
          <w:lang w:bidi="zh-CN"/>
        </w:rPr>
      </w:pPr>
      <w:r>
        <w:rPr>
          <w:rFonts w:hint="eastAsia" w:asciiTheme="minorEastAsia" w:hAnsiTheme="minorEastAsia" w:eastAsiaTheme="minorEastAsia" w:cstheme="minorEastAsia"/>
          <w:b/>
          <w:bCs w:val="0"/>
          <w:color w:val="auto"/>
          <w:kern w:val="2"/>
          <w:sz w:val="28"/>
          <w:szCs w:val="28"/>
          <w:highlight w:val="none"/>
          <w:lang w:val="en-US" w:bidi="zh-CN"/>
        </w:rPr>
        <w:t>九、</w:t>
      </w:r>
      <w:r>
        <w:rPr>
          <w:rStyle w:val="41"/>
          <w:rFonts w:hint="eastAsia" w:asciiTheme="minorEastAsia" w:hAnsiTheme="minorEastAsia" w:eastAsiaTheme="minorEastAsia" w:cstheme="minorEastAsia"/>
          <w:b/>
          <w:bCs w:val="0"/>
          <w:color w:val="auto"/>
          <w:kern w:val="2"/>
          <w:sz w:val="28"/>
          <w:szCs w:val="28"/>
          <w:highlight w:val="none"/>
          <w:lang w:bidi="zh-CN"/>
        </w:rPr>
        <w:t>类似项目业绩</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592"/>
        <w:gridCol w:w="1220"/>
        <w:gridCol w:w="1220"/>
        <w:gridCol w:w="1521"/>
        <w:gridCol w:w="1220"/>
        <w:gridCol w:w="1186"/>
        <w:gridCol w:w="1216"/>
      </w:tblGrid>
      <w:tr w14:paraId="44EE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7F8837D8">
            <w:pPr>
              <w:jc w:val="center"/>
              <w:rPr>
                <w:rFonts w:ascii="宋体" w:hAnsi="宋体" w:eastAsia="宋体" w:cs="monospace"/>
                <w:color w:val="auto"/>
                <w:szCs w:val="21"/>
                <w:highlight w:val="none"/>
              </w:rPr>
            </w:pPr>
            <w:r>
              <w:rPr>
                <w:rFonts w:ascii="宋体" w:hAnsi="宋体" w:eastAsia="宋体" w:cs="monospace"/>
                <w:bCs/>
                <w:color w:val="auto"/>
                <w:szCs w:val="21"/>
                <w:highlight w:val="none"/>
              </w:rPr>
              <w:t>序号</w:t>
            </w:r>
          </w:p>
        </w:tc>
        <w:tc>
          <w:tcPr>
            <w:tcW w:w="1592" w:type="dxa"/>
            <w:noWrap w:val="0"/>
            <w:vAlign w:val="center"/>
          </w:tcPr>
          <w:p w14:paraId="50B3A738">
            <w:pPr>
              <w:jc w:val="center"/>
              <w:rPr>
                <w:rFonts w:ascii="宋体" w:hAnsi="宋体" w:eastAsia="宋体" w:cs="monospace"/>
                <w:bCs/>
                <w:color w:val="auto"/>
                <w:szCs w:val="21"/>
                <w:highlight w:val="none"/>
              </w:rPr>
            </w:pPr>
            <w:r>
              <w:rPr>
                <w:rFonts w:ascii="宋体" w:hAnsi="宋体" w:eastAsia="宋体" w:cs="monospace"/>
                <w:bCs/>
                <w:color w:val="auto"/>
                <w:szCs w:val="21"/>
                <w:highlight w:val="none"/>
              </w:rPr>
              <w:t>项目名称</w:t>
            </w:r>
          </w:p>
        </w:tc>
        <w:tc>
          <w:tcPr>
            <w:tcW w:w="1220" w:type="dxa"/>
            <w:noWrap w:val="0"/>
            <w:vAlign w:val="center"/>
          </w:tcPr>
          <w:p w14:paraId="3804BAA3">
            <w:pPr>
              <w:jc w:val="center"/>
              <w:rPr>
                <w:rFonts w:ascii="宋体" w:hAnsi="宋体" w:eastAsia="宋体" w:cs="monospace"/>
                <w:bCs/>
                <w:color w:val="auto"/>
                <w:szCs w:val="21"/>
                <w:highlight w:val="none"/>
              </w:rPr>
            </w:pPr>
            <w:r>
              <w:rPr>
                <w:rFonts w:ascii="宋体" w:hAnsi="宋体" w:eastAsia="宋体" w:cs="monospace"/>
                <w:bCs/>
                <w:color w:val="auto"/>
                <w:szCs w:val="21"/>
                <w:highlight w:val="none"/>
              </w:rPr>
              <w:t>项目单位</w:t>
            </w:r>
          </w:p>
        </w:tc>
        <w:tc>
          <w:tcPr>
            <w:tcW w:w="1220" w:type="dxa"/>
            <w:noWrap w:val="0"/>
            <w:vAlign w:val="center"/>
          </w:tcPr>
          <w:p w14:paraId="3FA79795">
            <w:pPr>
              <w:jc w:val="center"/>
              <w:rPr>
                <w:rFonts w:ascii="宋体" w:hAnsi="宋体" w:eastAsia="宋体" w:cs="monospace"/>
                <w:bCs/>
                <w:color w:val="auto"/>
                <w:szCs w:val="21"/>
                <w:highlight w:val="none"/>
              </w:rPr>
            </w:pPr>
            <w:r>
              <w:rPr>
                <w:rFonts w:ascii="宋体" w:hAnsi="宋体" w:eastAsia="宋体" w:cs="monospace"/>
                <w:bCs/>
                <w:color w:val="auto"/>
                <w:szCs w:val="21"/>
                <w:highlight w:val="none"/>
              </w:rPr>
              <w:t>合同金额</w:t>
            </w:r>
          </w:p>
        </w:tc>
        <w:tc>
          <w:tcPr>
            <w:tcW w:w="1521" w:type="dxa"/>
            <w:noWrap w:val="0"/>
            <w:vAlign w:val="center"/>
          </w:tcPr>
          <w:p w14:paraId="789E7B9F">
            <w:pPr>
              <w:jc w:val="center"/>
              <w:rPr>
                <w:rFonts w:ascii="宋体" w:hAnsi="宋体" w:eastAsia="宋体" w:cs="monospace"/>
                <w:bCs/>
                <w:color w:val="auto"/>
                <w:szCs w:val="21"/>
                <w:highlight w:val="none"/>
              </w:rPr>
            </w:pPr>
            <w:r>
              <w:rPr>
                <w:rFonts w:ascii="宋体" w:hAnsi="宋体" w:eastAsia="宋体" w:cs="monospace"/>
                <w:bCs/>
                <w:color w:val="auto"/>
                <w:szCs w:val="21"/>
                <w:highlight w:val="none"/>
              </w:rPr>
              <w:t>合同签订时间</w:t>
            </w:r>
          </w:p>
        </w:tc>
        <w:tc>
          <w:tcPr>
            <w:tcW w:w="1220" w:type="dxa"/>
            <w:noWrap w:val="0"/>
            <w:vAlign w:val="center"/>
          </w:tcPr>
          <w:p w14:paraId="154406EE">
            <w:pPr>
              <w:jc w:val="center"/>
              <w:rPr>
                <w:rFonts w:ascii="宋体" w:hAnsi="宋体" w:eastAsia="宋体" w:cs="monospace"/>
                <w:bCs/>
                <w:color w:val="auto"/>
                <w:szCs w:val="21"/>
                <w:highlight w:val="none"/>
              </w:rPr>
            </w:pPr>
            <w:r>
              <w:rPr>
                <w:rFonts w:ascii="宋体" w:hAnsi="宋体" w:eastAsia="宋体" w:cs="monospace"/>
                <w:bCs/>
                <w:color w:val="auto"/>
                <w:szCs w:val="21"/>
                <w:highlight w:val="none"/>
              </w:rPr>
              <w:t>完成时间</w:t>
            </w:r>
          </w:p>
        </w:tc>
        <w:tc>
          <w:tcPr>
            <w:tcW w:w="1186" w:type="dxa"/>
            <w:noWrap w:val="0"/>
            <w:vAlign w:val="center"/>
          </w:tcPr>
          <w:p w14:paraId="42B85D1D">
            <w:pPr>
              <w:jc w:val="center"/>
              <w:rPr>
                <w:rFonts w:ascii="宋体" w:hAnsi="宋体" w:eastAsia="宋体" w:cs="monospace"/>
                <w:color w:val="auto"/>
                <w:szCs w:val="21"/>
                <w:highlight w:val="none"/>
              </w:rPr>
            </w:pPr>
            <w:r>
              <w:rPr>
                <w:rFonts w:ascii="宋体" w:hAnsi="宋体" w:eastAsia="宋体" w:cs="monospace"/>
                <w:bCs/>
                <w:color w:val="auto"/>
                <w:szCs w:val="21"/>
                <w:highlight w:val="none"/>
              </w:rPr>
              <w:t>联系人</w:t>
            </w:r>
          </w:p>
        </w:tc>
        <w:tc>
          <w:tcPr>
            <w:tcW w:w="1216" w:type="dxa"/>
            <w:noWrap w:val="0"/>
            <w:vAlign w:val="center"/>
          </w:tcPr>
          <w:p w14:paraId="19306ACA">
            <w:pPr>
              <w:jc w:val="center"/>
              <w:rPr>
                <w:rFonts w:ascii="宋体" w:hAnsi="宋体" w:eastAsia="宋体" w:cs="monospace"/>
                <w:bCs/>
                <w:color w:val="auto"/>
                <w:szCs w:val="21"/>
                <w:highlight w:val="none"/>
              </w:rPr>
            </w:pPr>
            <w:r>
              <w:rPr>
                <w:rFonts w:ascii="宋体" w:hAnsi="宋体" w:eastAsia="宋体" w:cs="monospace"/>
                <w:bCs/>
                <w:color w:val="auto"/>
                <w:szCs w:val="21"/>
                <w:highlight w:val="none"/>
              </w:rPr>
              <w:t>联系电话</w:t>
            </w:r>
          </w:p>
        </w:tc>
      </w:tr>
      <w:tr w14:paraId="1960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023ABC5C">
            <w:pPr>
              <w:jc w:val="center"/>
              <w:rPr>
                <w:rFonts w:ascii="宋体" w:hAnsi="宋体" w:eastAsia="宋体" w:cs="monospace"/>
                <w:bCs/>
                <w:color w:val="auto"/>
                <w:szCs w:val="21"/>
                <w:highlight w:val="none"/>
              </w:rPr>
            </w:pPr>
          </w:p>
        </w:tc>
        <w:tc>
          <w:tcPr>
            <w:tcW w:w="1592" w:type="dxa"/>
            <w:noWrap w:val="0"/>
            <w:vAlign w:val="center"/>
          </w:tcPr>
          <w:p w14:paraId="2280E457">
            <w:pPr>
              <w:jc w:val="center"/>
              <w:rPr>
                <w:rFonts w:ascii="宋体" w:hAnsi="宋体" w:eastAsia="宋体" w:cs="monospace"/>
                <w:bCs/>
                <w:color w:val="auto"/>
                <w:szCs w:val="21"/>
                <w:highlight w:val="none"/>
              </w:rPr>
            </w:pPr>
          </w:p>
        </w:tc>
        <w:tc>
          <w:tcPr>
            <w:tcW w:w="1220" w:type="dxa"/>
            <w:noWrap w:val="0"/>
            <w:vAlign w:val="center"/>
          </w:tcPr>
          <w:p w14:paraId="0CDE1E15">
            <w:pPr>
              <w:jc w:val="center"/>
              <w:rPr>
                <w:rFonts w:ascii="宋体" w:hAnsi="宋体" w:eastAsia="宋体" w:cs="monospace"/>
                <w:bCs/>
                <w:color w:val="auto"/>
                <w:szCs w:val="21"/>
                <w:highlight w:val="none"/>
              </w:rPr>
            </w:pPr>
          </w:p>
        </w:tc>
        <w:tc>
          <w:tcPr>
            <w:tcW w:w="1220" w:type="dxa"/>
            <w:noWrap w:val="0"/>
            <w:vAlign w:val="center"/>
          </w:tcPr>
          <w:p w14:paraId="70CD1473">
            <w:pPr>
              <w:jc w:val="center"/>
              <w:rPr>
                <w:rFonts w:ascii="宋体" w:hAnsi="宋体" w:eastAsia="宋体" w:cs="monospace"/>
                <w:bCs/>
                <w:color w:val="auto"/>
                <w:szCs w:val="21"/>
                <w:highlight w:val="none"/>
              </w:rPr>
            </w:pPr>
          </w:p>
        </w:tc>
        <w:tc>
          <w:tcPr>
            <w:tcW w:w="1521" w:type="dxa"/>
            <w:noWrap w:val="0"/>
            <w:vAlign w:val="center"/>
          </w:tcPr>
          <w:p w14:paraId="2D13EE67">
            <w:pPr>
              <w:jc w:val="center"/>
              <w:rPr>
                <w:rFonts w:ascii="宋体" w:hAnsi="宋体" w:eastAsia="宋体" w:cs="monospace"/>
                <w:bCs/>
                <w:color w:val="auto"/>
                <w:szCs w:val="21"/>
                <w:highlight w:val="none"/>
              </w:rPr>
            </w:pPr>
          </w:p>
        </w:tc>
        <w:tc>
          <w:tcPr>
            <w:tcW w:w="1220" w:type="dxa"/>
            <w:noWrap w:val="0"/>
            <w:vAlign w:val="center"/>
          </w:tcPr>
          <w:p w14:paraId="2D966271">
            <w:pPr>
              <w:jc w:val="center"/>
              <w:rPr>
                <w:rFonts w:ascii="宋体" w:hAnsi="宋体" w:eastAsia="宋体" w:cs="monospace"/>
                <w:bCs/>
                <w:color w:val="auto"/>
                <w:szCs w:val="21"/>
                <w:highlight w:val="none"/>
              </w:rPr>
            </w:pPr>
          </w:p>
        </w:tc>
        <w:tc>
          <w:tcPr>
            <w:tcW w:w="1186" w:type="dxa"/>
            <w:noWrap w:val="0"/>
            <w:vAlign w:val="center"/>
          </w:tcPr>
          <w:p w14:paraId="31F47CB4">
            <w:pPr>
              <w:jc w:val="center"/>
              <w:rPr>
                <w:rFonts w:ascii="宋体" w:hAnsi="宋体" w:eastAsia="宋体" w:cs="monospace"/>
                <w:bCs/>
                <w:color w:val="auto"/>
                <w:szCs w:val="21"/>
                <w:highlight w:val="none"/>
              </w:rPr>
            </w:pPr>
          </w:p>
        </w:tc>
        <w:tc>
          <w:tcPr>
            <w:tcW w:w="1216" w:type="dxa"/>
            <w:noWrap w:val="0"/>
            <w:vAlign w:val="center"/>
          </w:tcPr>
          <w:p w14:paraId="65D698FC">
            <w:pPr>
              <w:jc w:val="center"/>
              <w:rPr>
                <w:rFonts w:ascii="宋体" w:hAnsi="宋体" w:eastAsia="宋体" w:cs="monospace"/>
                <w:bCs/>
                <w:color w:val="auto"/>
                <w:szCs w:val="21"/>
                <w:highlight w:val="none"/>
              </w:rPr>
            </w:pPr>
          </w:p>
        </w:tc>
      </w:tr>
      <w:tr w14:paraId="4EC0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1D8790C5">
            <w:pPr>
              <w:jc w:val="center"/>
              <w:rPr>
                <w:rFonts w:ascii="宋体" w:hAnsi="宋体" w:eastAsia="宋体" w:cs="monospace"/>
                <w:bCs/>
                <w:color w:val="auto"/>
                <w:szCs w:val="21"/>
                <w:highlight w:val="none"/>
              </w:rPr>
            </w:pPr>
          </w:p>
        </w:tc>
        <w:tc>
          <w:tcPr>
            <w:tcW w:w="1592" w:type="dxa"/>
            <w:noWrap w:val="0"/>
            <w:vAlign w:val="center"/>
          </w:tcPr>
          <w:p w14:paraId="3F5AEEA9">
            <w:pPr>
              <w:jc w:val="center"/>
              <w:rPr>
                <w:rFonts w:ascii="宋体" w:hAnsi="宋体" w:eastAsia="宋体" w:cs="monospace"/>
                <w:bCs/>
                <w:color w:val="auto"/>
                <w:szCs w:val="21"/>
                <w:highlight w:val="none"/>
              </w:rPr>
            </w:pPr>
          </w:p>
        </w:tc>
        <w:tc>
          <w:tcPr>
            <w:tcW w:w="1220" w:type="dxa"/>
            <w:noWrap w:val="0"/>
            <w:vAlign w:val="center"/>
          </w:tcPr>
          <w:p w14:paraId="294E9A56">
            <w:pPr>
              <w:jc w:val="center"/>
              <w:rPr>
                <w:rFonts w:ascii="宋体" w:hAnsi="宋体" w:eastAsia="宋体" w:cs="monospace"/>
                <w:bCs/>
                <w:color w:val="auto"/>
                <w:szCs w:val="21"/>
                <w:highlight w:val="none"/>
              </w:rPr>
            </w:pPr>
          </w:p>
        </w:tc>
        <w:tc>
          <w:tcPr>
            <w:tcW w:w="1220" w:type="dxa"/>
            <w:noWrap w:val="0"/>
            <w:vAlign w:val="center"/>
          </w:tcPr>
          <w:p w14:paraId="746B0FBF">
            <w:pPr>
              <w:jc w:val="center"/>
              <w:rPr>
                <w:rFonts w:ascii="宋体" w:hAnsi="宋体" w:eastAsia="宋体" w:cs="monospace"/>
                <w:bCs/>
                <w:color w:val="auto"/>
                <w:szCs w:val="21"/>
                <w:highlight w:val="none"/>
              </w:rPr>
            </w:pPr>
          </w:p>
        </w:tc>
        <w:tc>
          <w:tcPr>
            <w:tcW w:w="1521" w:type="dxa"/>
            <w:noWrap w:val="0"/>
            <w:vAlign w:val="center"/>
          </w:tcPr>
          <w:p w14:paraId="1924DA69">
            <w:pPr>
              <w:jc w:val="center"/>
              <w:rPr>
                <w:rFonts w:ascii="宋体" w:hAnsi="宋体" w:eastAsia="宋体" w:cs="monospace"/>
                <w:bCs/>
                <w:color w:val="auto"/>
                <w:szCs w:val="21"/>
                <w:highlight w:val="none"/>
              </w:rPr>
            </w:pPr>
          </w:p>
        </w:tc>
        <w:tc>
          <w:tcPr>
            <w:tcW w:w="1220" w:type="dxa"/>
            <w:noWrap w:val="0"/>
            <w:vAlign w:val="center"/>
          </w:tcPr>
          <w:p w14:paraId="2384B886">
            <w:pPr>
              <w:jc w:val="center"/>
              <w:rPr>
                <w:rFonts w:ascii="宋体" w:hAnsi="宋体" w:eastAsia="宋体" w:cs="monospace"/>
                <w:bCs/>
                <w:color w:val="auto"/>
                <w:szCs w:val="21"/>
                <w:highlight w:val="none"/>
              </w:rPr>
            </w:pPr>
          </w:p>
        </w:tc>
        <w:tc>
          <w:tcPr>
            <w:tcW w:w="1186" w:type="dxa"/>
            <w:noWrap w:val="0"/>
            <w:vAlign w:val="center"/>
          </w:tcPr>
          <w:p w14:paraId="6BEB8C1D">
            <w:pPr>
              <w:jc w:val="center"/>
              <w:rPr>
                <w:rFonts w:ascii="宋体" w:hAnsi="宋体" w:eastAsia="宋体" w:cs="monospace"/>
                <w:bCs/>
                <w:color w:val="auto"/>
                <w:szCs w:val="21"/>
                <w:highlight w:val="none"/>
              </w:rPr>
            </w:pPr>
          </w:p>
        </w:tc>
        <w:tc>
          <w:tcPr>
            <w:tcW w:w="1216" w:type="dxa"/>
            <w:noWrap w:val="0"/>
            <w:vAlign w:val="center"/>
          </w:tcPr>
          <w:p w14:paraId="0E2176CC">
            <w:pPr>
              <w:jc w:val="center"/>
              <w:rPr>
                <w:rFonts w:ascii="宋体" w:hAnsi="宋体" w:eastAsia="宋体" w:cs="monospace"/>
                <w:bCs/>
                <w:color w:val="auto"/>
                <w:szCs w:val="21"/>
                <w:highlight w:val="none"/>
              </w:rPr>
            </w:pPr>
          </w:p>
        </w:tc>
      </w:tr>
      <w:tr w14:paraId="0078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069A8978">
            <w:pPr>
              <w:jc w:val="center"/>
              <w:rPr>
                <w:rFonts w:ascii="宋体" w:hAnsi="宋体" w:eastAsia="宋体" w:cs="monospace"/>
                <w:bCs/>
                <w:color w:val="auto"/>
                <w:szCs w:val="21"/>
                <w:highlight w:val="none"/>
              </w:rPr>
            </w:pPr>
          </w:p>
        </w:tc>
        <w:tc>
          <w:tcPr>
            <w:tcW w:w="1592" w:type="dxa"/>
            <w:noWrap w:val="0"/>
            <w:vAlign w:val="center"/>
          </w:tcPr>
          <w:p w14:paraId="32052FBA">
            <w:pPr>
              <w:jc w:val="center"/>
              <w:rPr>
                <w:rFonts w:ascii="宋体" w:hAnsi="宋体" w:eastAsia="宋体" w:cs="monospace"/>
                <w:bCs/>
                <w:color w:val="auto"/>
                <w:szCs w:val="21"/>
                <w:highlight w:val="none"/>
              </w:rPr>
            </w:pPr>
          </w:p>
        </w:tc>
        <w:tc>
          <w:tcPr>
            <w:tcW w:w="1220" w:type="dxa"/>
            <w:noWrap w:val="0"/>
            <w:vAlign w:val="center"/>
          </w:tcPr>
          <w:p w14:paraId="4C179A62">
            <w:pPr>
              <w:jc w:val="center"/>
              <w:rPr>
                <w:rFonts w:ascii="宋体" w:hAnsi="宋体" w:eastAsia="宋体" w:cs="monospace"/>
                <w:bCs/>
                <w:color w:val="auto"/>
                <w:szCs w:val="21"/>
                <w:highlight w:val="none"/>
              </w:rPr>
            </w:pPr>
          </w:p>
        </w:tc>
        <w:tc>
          <w:tcPr>
            <w:tcW w:w="1220" w:type="dxa"/>
            <w:noWrap w:val="0"/>
            <w:vAlign w:val="center"/>
          </w:tcPr>
          <w:p w14:paraId="6110AF2C">
            <w:pPr>
              <w:jc w:val="center"/>
              <w:rPr>
                <w:rFonts w:ascii="宋体" w:hAnsi="宋体" w:eastAsia="宋体" w:cs="monospace"/>
                <w:bCs/>
                <w:color w:val="auto"/>
                <w:szCs w:val="21"/>
                <w:highlight w:val="none"/>
              </w:rPr>
            </w:pPr>
          </w:p>
        </w:tc>
        <w:tc>
          <w:tcPr>
            <w:tcW w:w="1521" w:type="dxa"/>
            <w:noWrap w:val="0"/>
            <w:vAlign w:val="center"/>
          </w:tcPr>
          <w:p w14:paraId="078DA9B9">
            <w:pPr>
              <w:jc w:val="center"/>
              <w:rPr>
                <w:rFonts w:ascii="宋体" w:hAnsi="宋体" w:eastAsia="宋体" w:cs="monospace"/>
                <w:bCs/>
                <w:color w:val="auto"/>
                <w:szCs w:val="21"/>
                <w:highlight w:val="none"/>
              </w:rPr>
            </w:pPr>
          </w:p>
        </w:tc>
        <w:tc>
          <w:tcPr>
            <w:tcW w:w="1220" w:type="dxa"/>
            <w:noWrap w:val="0"/>
            <w:vAlign w:val="center"/>
          </w:tcPr>
          <w:p w14:paraId="6F362D61">
            <w:pPr>
              <w:jc w:val="center"/>
              <w:rPr>
                <w:rFonts w:ascii="宋体" w:hAnsi="宋体" w:eastAsia="宋体" w:cs="monospace"/>
                <w:bCs/>
                <w:color w:val="auto"/>
                <w:szCs w:val="21"/>
                <w:highlight w:val="none"/>
              </w:rPr>
            </w:pPr>
          </w:p>
        </w:tc>
        <w:tc>
          <w:tcPr>
            <w:tcW w:w="1186" w:type="dxa"/>
            <w:noWrap w:val="0"/>
            <w:vAlign w:val="center"/>
          </w:tcPr>
          <w:p w14:paraId="7E8A2CC1">
            <w:pPr>
              <w:jc w:val="center"/>
              <w:rPr>
                <w:rFonts w:ascii="宋体" w:hAnsi="宋体" w:eastAsia="宋体" w:cs="monospace"/>
                <w:bCs/>
                <w:color w:val="auto"/>
                <w:szCs w:val="21"/>
                <w:highlight w:val="none"/>
              </w:rPr>
            </w:pPr>
          </w:p>
        </w:tc>
        <w:tc>
          <w:tcPr>
            <w:tcW w:w="1216" w:type="dxa"/>
            <w:noWrap w:val="0"/>
            <w:vAlign w:val="center"/>
          </w:tcPr>
          <w:p w14:paraId="77DB3D6E">
            <w:pPr>
              <w:jc w:val="center"/>
              <w:rPr>
                <w:rFonts w:ascii="宋体" w:hAnsi="宋体" w:eastAsia="宋体" w:cs="monospace"/>
                <w:bCs/>
                <w:color w:val="auto"/>
                <w:szCs w:val="21"/>
                <w:highlight w:val="none"/>
              </w:rPr>
            </w:pPr>
          </w:p>
        </w:tc>
      </w:tr>
      <w:tr w14:paraId="4C79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18B1A5F5">
            <w:pPr>
              <w:jc w:val="center"/>
              <w:rPr>
                <w:rFonts w:ascii="宋体" w:hAnsi="宋体" w:eastAsia="宋体" w:cs="monospace"/>
                <w:bCs/>
                <w:color w:val="auto"/>
                <w:szCs w:val="21"/>
                <w:highlight w:val="none"/>
              </w:rPr>
            </w:pPr>
          </w:p>
        </w:tc>
        <w:tc>
          <w:tcPr>
            <w:tcW w:w="1592" w:type="dxa"/>
            <w:noWrap w:val="0"/>
            <w:vAlign w:val="center"/>
          </w:tcPr>
          <w:p w14:paraId="79C1CB46">
            <w:pPr>
              <w:jc w:val="center"/>
              <w:rPr>
                <w:rFonts w:ascii="宋体" w:hAnsi="宋体" w:eastAsia="宋体" w:cs="monospace"/>
                <w:bCs/>
                <w:color w:val="auto"/>
                <w:szCs w:val="21"/>
                <w:highlight w:val="none"/>
              </w:rPr>
            </w:pPr>
          </w:p>
        </w:tc>
        <w:tc>
          <w:tcPr>
            <w:tcW w:w="1220" w:type="dxa"/>
            <w:noWrap w:val="0"/>
            <w:vAlign w:val="center"/>
          </w:tcPr>
          <w:p w14:paraId="2F023FC0">
            <w:pPr>
              <w:jc w:val="center"/>
              <w:rPr>
                <w:rFonts w:ascii="宋体" w:hAnsi="宋体" w:eastAsia="宋体" w:cs="monospace"/>
                <w:bCs/>
                <w:color w:val="auto"/>
                <w:szCs w:val="21"/>
                <w:highlight w:val="none"/>
              </w:rPr>
            </w:pPr>
          </w:p>
        </w:tc>
        <w:tc>
          <w:tcPr>
            <w:tcW w:w="1220" w:type="dxa"/>
            <w:noWrap w:val="0"/>
            <w:vAlign w:val="center"/>
          </w:tcPr>
          <w:p w14:paraId="0A01E528">
            <w:pPr>
              <w:jc w:val="center"/>
              <w:rPr>
                <w:rFonts w:ascii="宋体" w:hAnsi="宋体" w:eastAsia="宋体" w:cs="monospace"/>
                <w:bCs/>
                <w:color w:val="auto"/>
                <w:szCs w:val="21"/>
                <w:highlight w:val="none"/>
              </w:rPr>
            </w:pPr>
          </w:p>
        </w:tc>
        <w:tc>
          <w:tcPr>
            <w:tcW w:w="1521" w:type="dxa"/>
            <w:noWrap w:val="0"/>
            <w:vAlign w:val="center"/>
          </w:tcPr>
          <w:p w14:paraId="59AF5734">
            <w:pPr>
              <w:jc w:val="center"/>
              <w:rPr>
                <w:rFonts w:ascii="宋体" w:hAnsi="宋体" w:eastAsia="宋体" w:cs="monospace"/>
                <w:bCs/>
                <w:color w:val="auto"/>
                <w:szCs w:val="21"/>
                <w:highlight w:val="none"/>
              </w:rPr>
            </w:pPr>
          </w:p>
        </w:tc>
        <w:tc>
          <w:tcPr>
            <w:tcW w:w="1220" w:type="dxa"/>
            <w:noWrap w:val="0"/>
            <w:vAlign w:val="center"/>
          </w:tcPr>
          <w:p w14:paraId="60EC1B66">
            <w:pPr>
              <w:jc w:val="center"/>
              <w:rPr>
                <w:rFonts w:ascii="宋体" w:hAnsi="宋体" w:eastAsia="宋体" w:cs="monospace"/>
                <w:bCs/>
                <w:color w:val="auto"/>
                <w:szCs w:val="21"/>
                <w:highlight w:val="none"/>
              </w:rPr>
            </w:pPr>
          </w:p>
        </w:tc>
        <w:tc>
          <w:tcPr>
            <w:tcW w:w="1186" w:type="dxa"/>
            <w:noWrap w:val="0"/>
            <w:vAlign w:val="center"/>
          </w:tcPr>
          <w:p w14:paraId="0FE59B87">
            <w:pPr>
              <w:jc w:val="center"/>
              <w:rPr>
                <w:rFonts w:ascii="宋体" w:hAnsi="宋体" w:eastAsia="宋体" w:cs="monospace"/>
                <w:bCs/>
                <w:color w:val="auto"/>
                <w:szCs w:val="21"/>
                <w:highlight w:val="none"/>
              </w:rPr>
            </w:pPr>
          </w:p>
        </w:tc>
        <w:tc>
          <w:tcPr>
            <w:tcW w:w="1216" w:type="dxa"/>
            <w:noWrap w:val="0"/>
            <w:vAlign w:val="center"/>
          </w:tcPr>
          <w:p w14:paraId="141A00F7">
            <w:pPr>
              <w:jc w:val="center"/>
              <w:rPr>
                <w:rFonts w:ascii="宋体" w:hAnsi="宋体" w:eastAsia="宋体" w:cs="monospace"/>
                <w:bCs/>
                <w:color w:val="auto"/>
                <w:szCs w:val="21"/>
                <w:highlight w:val="none"/>
              </w:rPr>
            </w:pPr>
          </w:p>
        </w:tc>
      </w:tr>
      <w:tr w14:paraId="1E17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372AB93B">
            <w:pPr>
              <w:jc w:val="center"/>
              <w:rPr>
                <w:rFonts w:ascii="宋体" w:hAnsi="宋体" w:eastAsia="宋体" w:cs="monospace"/>
                <w:bCs/>
                <w:color w:val="auto"/>
                <w:szCs w:val="21"/>
                <w:highlight w:val="none"/>
              </w:rPr>
            </w:pPr>
          </w:p>
        </w:tc>
        <w:tc>
          <w:tcPr>
            <w:tcW w:w="1592" w:type="dxa"/>
            <w:noWrap w:val="0"/>
            <w:vAlign w:val="center"/>
          </w:tcPr>
          <w:p w14:paraId="53081796">
            <w:pPr>
              <w:jc w:val="center"/>
              <w:rPr>
                <w:rFonts w:ascii="宋体" w:hAnsi="宋体" w:eastAsia="宋体" w:cs="monospace"/>
                <w:bCs/>
                <w:color w:val="auto"/>
                <w:szCs w:val="21"/>
                <w:highlight w:val="none"/>
              </w:rPr>
            </w:pPr>
          </w:p>
        </w:tc>
        <w:tc>
          <w:tcPr>
            <w:tcW w:w="1220" w:type="dxa"/>
            <w:noWrap w:val="0"/>
            <w:vAlign w:val="center"/>
          </w:tcPr>
          <w:p w14:paraId="032B836C">
            <w:pPr>
              <w:jc w:val="center"/>
              <w:rPr>
                <w:rFonts w:ascii="宋体" w:hAnsi="宋体" w:eastAsia="宋体" w:cs="monospace"/>
                <w:bCs/>
                <w:color w:val="auto"/>
                <w:szCs w:val="21"/>
                <w:highlight w:val="none"/>
              </w:rPr>
            </w:pPr>
          </w:p>
        </w:tc>
        <w:tc>
          <w:tcPr>
            <w:tcW w:w="1220" w:type="dxa"/>
            <w:noWrap w:val="0"/>
            <w:vAlign w:val="center"/>
          </w:tcPr>
          <w:p w14:paraId="2C9AF612">
            <w:pPr>
              <w:jc w:val="center"/>
              <w:rPr>
                <w:rFonts w:ascii="宋体" w:hAnsi="宋体" w:eastAsia="宋体" w:cs="monospace"/>
                <w:bCs/>
                <w:color w:val="auto"/>
                <w:szCs w:val="21"/>
                <w:highlight w:val="none"/>
              </w:rPr>
            </w:pPr>
          </w:p>
        </w:tc>
        <w:tc>
          <w:tcPr>
            <w:tcW w:w="1521" w:type="dxa"/>
            <w:noWrap w:val="0"/>
            <w:vAlign w:val="center"/>
          </w:tcPr>
          <w:p w14:paraId="454343E7">
            <w:pPr>
              <w:jc w:val="center"/>
              <w:rPr>
                <w:rFonts w:ascii="宋体" w:hAnsi="宋体" w:eastAsia="宋体" w:cs="monospace"/>
                <w:bCs/>
                <w:color w:val="auto"/>
                <w:szCs w:val="21"/>
                <w:highlight w:val="none"/>
              </w:rPr>
            </w:pPr>
          </w:p>
        </w:tc>
        <w:tc>
          <w:tcPr>
            <w:tcW w:w="1220" w:type="dxa"/>
            <w:noWrap w:val="0"/>
            <w:vAlign w:val="center"/>
          </w:tcPr>
          <w:p w14:paraId="3C07A078">
            <w:pPr>
              <w:jc w:val="center"/>
              <w:rPr>
                <w:rFonts w:ascii="宋体" w:hAnsi="宋体" w:eastAsia="宋体" w:cs="monospace"/>
                <w:bCs/>
                <w:color w:val="auto"/>
                <w:szCs w:val="21"/>
                <w:highlight w:val="none"/>
              </w:rPr>
            </w:pPr>
          </w:p>
        </w:tc>
        <w:tc>
          <w:tcPr>
            <w:tcW w:w="1186" w:type="dxa"/>
            <w:noWrap w:val="0"/>
            <w:vAlign w:val="center"/>
          </w:tcPr>
          <w:p w14:paraId="38D439D5">
            <w:pPr>
              <w:jc w:val="center"/>
              <w:rPr>
                <w:rFonts w:ascii="宋体" w:hAnsi="宋体" w:eastAsia="宋体" w:cs="monospace"/>
                <w:bCs/>
                <w:color w:val="auto"/>
                <w:szCs w:val="21"/>
                <w:highlight w:val="none"/>
              </w:rPr>
            </w:pPr>
          </w:p>
        </w:tc>
        <w:tc>
          <w:tcPr>
            <w:tcW w:w="1216" w:type="dxa"/>
            <w:noWrap w:val="0"/>
            <w:vAlign w:val="center"/>
          </w:tcPr>
          <w:p w14:paraId="3B17AD41">
            <w:pPr>
              <w:jc w:val="center"/>
              <w:rPr>
                <w:rFonts w:ascii="宋体" w:hAnsi="宋体" w:eastAsia="宋体" w:cs="monospace"/>
                <w:bCs/>
                <w:color w:val="auto"/>
                <w:szCs w:val="21"/>
                <w:highlight w:val="none"/>
              </w:rPr>
            </w:pPr>
          </w:p>
        </w:tc>
      </w:tr>
      <w:tr w14:paraId="672E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67053911">
            <w:pPr>
              <w:jc w:val="center"/>
              <w:rPr>
                <w:rFonts w:ascii="宋体" w:hAnsi="宋体" w:eastAsia="宋体" w:cs="monospace"/>
                <w:bCs/>
                <w:color w:val="auto"/>
                <w:szCs w:val="21"/>
                <w:highlight w:val="none"/>
              </w:rPr>
            </w:pPr>
          </w:p>
        </w:tc>
        <w:tc>
          <w:tcPr>
            <w:tcW w:w="1592" w:type="dxa"/>
            <w:noWrap w:val="0"/>
            <w:vAlign w:val="center"/>
          </w:tcPr>
          <w:p w14:paraId="19656DC9">
            <w:pPr>
              <w:jc w:val="center"/>
              <w:rPr>
                <w:rFonts w:ascii="宋体" w:hAnsi="宋体" w:eastAsia="宋体" w:cs="monospace"/>
                <w:bCs/>
                <w:color w:val="auto"/>
                <w:szCs w:val="21"/>
                <w:highlight w:val="none"/>
              </w:rPr>
            </w:pPr>
          </w:p>
        </w:tc>
        <w:tc>
          <w:tcPr>
            <w:tcW w:w="1220" w:type="dxa"/>
            <w:noWrap w:val="0"/>
            <w:vAlign w:val="center"/>
          </w:tcPr>
          <w:p w14:paraId="27EB0B82">
            <w:pPr>
              <w:jc w:val="center"/>
              <w:rPr>
                <w:rFonts w:ascii="宋体" w:hAnsi="宋体" w:eastAsia="宋体" w:cs="monospace"/>
                <w:bCs/>
                <w:color w:val="auto"/>
                <w:szCs w:val="21"/>
                <w:highlight w:val="none"/>
              </w:rPr>
            </w:pPr>
          </w:p>
        </w:tc>
        <w:tc>
          <w:tcPr>
            <w:tcW w:w="1220" w:type="dxa"/>
            <w:noWrap w:val="0"/>
            <w:vAlign w:val="center"/>
          </w:tcPr>
          <w:p w14:paraId="44C62431">
            <w:pPr>
              <w:jc w:val="center"/>
              <w:rPr>
                <w:rFonts w:ascii="宋体" w:hAnsi="宋体" w:eastAsia="宋体" w:cs="monospace"/>
                <w:bCs/>
                <w:color w:val="auto"/>
                <w:szCs w:val="21"/>
                <w:highlight w:val="none"/>
              </w:rPr>
            </w:pPr>
          </w:p>
        </w:tc>
        <w:tc>
          <w:tcPr>
            <w:tcW w:w="1521" w:type="dxa"/>
            <w:noWrap w:val="0"/>
            <w:vAlign w:val="center"/>
          </w:tcPr>
          <w:p w14:paraId="413C6D10">
            <w:pPr>
              <w:jc w:val="center"/>
              <w:rPr>
                <w:rFonts w:ascii="宋体" w:hAnsi="宋体" w:eastAsia="宋体" w:cs="monospace"/>
                <w:bCs/>
                <w:color w:val="auto"/>
                <w:szCs w:val="21"/>
                <w:highlight w:val="none"/>
              </w:rPr>
            </w:pPr>
          </w:p>
        </w:tc>
        <w:tc>
          <w:tcPr>
            <w:tcW w:w="1220" w:type="dxa"/>
            <w:noWrap w:val="0"/>
            <w:vAlign w:val="center"/>
          </w:tcPr>
          <w:p w14:paraId="2DDCEAE8">
            <w:pPr>
              <w:jc w:val="center"/>
              <w:rPr>
                <w:rFonts w:ascii="宋体" w:hAnsi="宋体" w:eastAsia="宋体" w:cs="monospace"/>
                <w:bCs/>
                <w:color w:val="auto"/>
                <w:szCs w:val="21"/>
                <w:highlight w:val="none"/>
              </w:rPr>
            </w:pPr>
          </w:p>
        </w:tc>
        <w:tc>
          <w:tcPr>
            <w:tcW w:w="1186" w:type="dxa"/>
            <w:noWrap w:val="0"/>
            <w:vAlign w:val="center"/>
          </w:tcPr>
          <w:p w14:paraId="14B0267B">
            <w:pPr>
              <w:jc w:val="center"/>
              <w:rPr>
                <w:rFonts w:ascii="宋体" w:hAnsi="宋体" w:eastAsia="宋体" w:cs="monospace"/>
                <w:bCs/>
                <w:color w:val="auto"/>
                <w:szCs w:val="21"/>
                <w:highlight w:val="none"/>
              </w:rPr>
            </w:pPr>
          </w:p>
        </w:tc>
        <w:tc>
          <w:tcPr>
            <w:tcW w:w="1216" w:type="dxa"/>
            <w:noWrap w:val="0"/>
            <w:vAlign w:val="center"/>
          </w:tcPr>
          <w:p w14:paraId="2354C79C">
            <w:pPr>
              <w:jc w:val="center"/>
              <w:rPr>
                <w:rFonts w:ascii="宋体" w:hAnsi="宋体" w:eastAsia="宋体" w:cs="monospace"/>
                <w:bCs/>
                <w:color w:val="auto"/>
                <w:szCs w:val="21"/>
                <w:highlight w:val="none"/>
              </w:rPr>
            </w:pPr>
          </w:p>
        </w:tc>
      </w:tr>
      <w:tr w14:paraId="57BD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2D86FAA0">
            <w:pPr>
              <w:jc w:val="center"/>
              <w:rPr>
                <w:rFonts w:ascii="宋体" w:hAnsi="宋体" w:eastAsia="宋体" w:cs="monospace"/>
                <w:bCs/>
                <w:color w:val="auto"/>
                <w:szCs w:val="21"/>
                <w:highlight w:val="none"/>
              </w:rPr>
            </w:pPr>
          </w:p>
        </w:tc>
        <w:tc>
          <w:tcPr>
            <w:tcW w:w="1592" w:type="dxa"/>
            <w:noWrap w:val="0"/>
            <w:vAlign w:val="center"/>
          </w:tcPr>
          <w:p w14:paraId="0594DA9C">
            <w:pPr>
              <w:jc w:val="center"/>
              <w:rPr>
                <w:rFonts w:ascii="宋体" w:hAnsi="宋体" w:eastAsia="宋体" w:cs="monospace"/>
                <w:bCs/>
                <w:color w:val="auto"/>
                <w:szCs w:val="21"/>
                <w:highlight w:val="none"/>
              </w:rPr>
            </w:pPr>
          </w:p>
        </w:tc>
        <w:tc>
          <w:tcPr>
            <w:tcW w:w="1220" w:type="dxa"/>
            <w:noWrap w:val="0"/>
            <w:vAlign w:val="center"/>
          </w:tcPr>
          <w:p w14:paraId="2634C82B">
            <w:pPr>
              <w:jc w:val="center"/>
              <w:rPr>
                <w:rFonts w:ascii="宋体" w:hAnsi="宋体" w:eastAsia="宋体" w:cs="monospace"/>
                <w:bCs/>
                <w:color w:val="auto"/>
                <w:szCs w:val="21"/>
                <w:highlight w:val="none"/>
              </w:rPr>
            </w:pPr>
          </w:p>
        </w:tc>
        <w:tc>
          <w:tcPr>
            <w:tcW w:w="1220" w:type="dxa"/>
            <w:noWrap w:val="0"/>
            <w:vAlign w:val="center"/>
          </w:tcPr>
          <w:p w14:paraId="574C1956">
            <w:pPr>
              <w:jc w:val="center"/>
              <w:rPr>
                <w:rFonts w:ascii="宋体" w:hAnsi="宋体" w:eastAsia="宋体" w:cs="monospace"/>
                <w:bCs/>
                <w:color w:val="auto"/>
                <w:szCs w:val="21"/>
                <w:highlight w:val="none"/>
              </w:rPr>
            </w:pPr>
          </w:p>
        </w:tc>
        <w:tc>
          <w:tcPr>
            <w:tcW w:w="1521" w:type="dxa"/>
            <w:noWrap w:val="0"/>
            <w:vAlign w:val="center"/>
          </w:tcPr>
          <w:p w14:paraId="3417DE1C">
            <w:pPr>
              <w:jc w:val="center"/>
              <w:rPr>
                <w:rFonts w:ascii="宋体" w:hAnsi="宋体" w:eastAsia="宋体" w:cs="monospace"/>
                <w:bCs/>
                <w:color w:val="auto"/>
                <w:szCs w:val="21"/>
                <w:highlight w:val="none"/>
              </w:rPr>
            </w:pPr>
          </w:p>
        </w:tc>
        <w:tc>
          <w:tcPr>
            <w:tcW w:w="1220" w:type="dxa"/>
            <w:noWrap w:val="0"/>
            <w:vAlign w:val="center"/>
          </w:tcPr>
          <w:p w14:paraId="3412BF99">
            <w:pPr>
              <w:jc w:val="center"/>
              <w:rPr>
                <w:rFonts w:ascii="宋体" w:hAnsi="宋体" w:eastAsia="宋体" w:cs="monospace"/>
                <w:bCs/>
                <w:color w:val="auto"/>
                <w:szCs w:val="21"/>
                <w:highlight w:val="none"/>
              </w:rPr>
            </w:pPr>
          </w:p>
        </w:tc>
        <w:tc>
          <w:tcPr>
            <w:tcW w:w="1186" w:type="dxa"/>
            <w:noWrap w:val="0"/>
            <w:vAlign w:val="center"/>
          </w:tcPr>
          <w:p w14:paraId="2BD155F2">
            <w:pPr>
              <w:jc w:val="center"/>
              <w:rPr>
                <w:rFonts w:ascii="宋体" w:hAnsi="宋体" w:eastAsia="宋体" w:cs="monospace"/>
                <w:bCs/>
                <w:color w:val="auto"/>
                <w:szCs w:val="21"/>
                <w:highlight w:val="none"/>
              </w:rPr>
            </w:pPr>
          </w:p>
        </w:tc>
        <w:tc>
          <w:tcPr>
            <w:tcW w:w="1216" w:type="dxa"/>
            <w:noWrap w:val="0"/>
            <w:vAlign w:val="center"/>
          </w:tcPr>
          <w:p w14:paraId="7A9C5920">
            <w:pPr>
              <w:jc w:val="center"/>
              <w:rPr>
                <w:rFonts w:ascii="宋体" w:hAnsi="宋体" w:eastAsia="宋体" w:cs="monospace"/>
                <w:bCs/>
                <w:color w:val="auto"/>
                <w:szCs w:val="21"/>
                <w:highlight w:val="none"/>
              </w:rPr>
            </w:pPr>
          </w:p>
        </w:tc>
      </w:tr>
      <w:tr w14:paraId="26CB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0E0F126C">
            <w:pPr>
              <w:jc w:val="center"/>
              <w:rPr>
                <w:rFonts w:ascii="宋体" w:hAnsi="宋体" w:eastAsia="宋体" w:cs="monospace"/>
                <w:bCs/>
                <w:color w:val="auto"/>
                <w:szCs w:val="21"/>
                <w:highlight w:val="none"/>
              </w:rPr>
            </w:pPr>
          </w:p>
        </w:tc>
        <w:tc>
          <w:tcPr>
            <w:tcW w:w="1592" w:type="dxa"/>
            <w:noWrap w:val="0"/>
            <w:vAlign w:val="center"/>
          </w:tcPr>
          <w:p w14:paraId="0C2DFD95">
            <w:pPr>
              <w:jc w:val="center"/>
              <w:rPr>
                <w:rFonts w:ascii="宋体" w:hAnsi="宋体" w:eastAsia="宋体" w:cs="monospace"/>
                <w:bCs/>
                <w:color w:val="auto"/>
                <w:szCs w:val="21"/>
                <w:highlight w:val="none"/>
              </w:rPr>
            </w:pPr>
          </w:p>
        </w:tc>
        <w:tc>
          <w:tcPr>
            <w:tcW w:w="1220" w:type="dxa"/>
            <w:noWrap w:val="0"/>
            <w:vAlign w:val="center"/>
          </w:tcPr>
          <w:p w14:paraId="250CAE5C">
            <w:pPr>
              <w:jc w:val="center"/>
              <w:rPr>
                <w:rFonts w:ascii="宋体" w:hAnsi="宋体" w:eastAsia="宋体" w:cs="monospace"/>
                <w:bCs/>
                <w:color w:val="auto"/>
                <w:szCs w:val="21"/>
                <w:highlight w:val="none"/>
              </w:rPr>
            </w:pPr>
          </w:p>
        </w:tc>
        <w:tc>
          <w:tcPr>
            <w:tcW w:w="1220" w:type="dxa"/>
            <w:noWrap w:val="0"/>
            <w:vAlign w:val="center"/>
          </w:tcPr>
          <w:p w14:paraId="22BA5836">
            <w:pPr>
              <w:jc w:val="center"/>
              <w:rPr>
                <w:rFonts w:ascii="宋体" w:hAnsi="宋体" w:eastAsia="宋体" w:cs="monospace"/>
                <w:bCs/>
                <w:color w:val="auto"/>
                <w:szCs w:val="21"/>
                <w:highlight w:val="none"/>
              </w:rPr>
            </w:pPr>
          </w:p>
        </w:tc>
        <w:tc>
          <w:tcPr>
            <w:tcW w:w="1521" w:type="dxa"/>
            <w:noWrap w:val="0"/>
            <w:vAlign w:val="center"/>
          </w:tcPr>
          <w:p w14:paraId="76E6D794">
            <w:pPr>
              <w:jc w:val="center"/>
              <w:rPr>
                <w:rFonts w:ascii="宋体" w:hAnsi="宋体" w:eastAsia="宋体" w:cs="monospace"/>
                <w:bCs/>
                <w:color w:val="auto"/>
                <w:szCs w:val="21"/>
                <w:highlight w:val="none"/>
              </w:rPr>
            </w:pPr>
          </w:p>
        </w:tc>
        <w:tc>
          <w:tcPr>
            <w:tcW w:w="1220" w:type="dxa"/>
            <w:noWrap w:val="0"/>
            <w:vAlign w:val="center"/>
          </w:tcPr>
          <w:p w14:paraId="3E8C1C8A">
            <w:pPr>
              <w:jc w:val="center"/>
              <w:rPr>
                <w:rFonts w:ascii="宋体" w:hAnsi="宋体" w:eastAsia="宋体" w:cs="monospace"/>
                <w:bCs/>
                <w:color w:val="auto"/>
                <w:szCs w:val="21"/>
                <w:highlight w:val="none"/>
              </w:rPr>
            </w:pPr>
          </w:p>
        </w:tc>
        <w:tc>
          <w:tcPr>
            <w:tcW w:w="1186" w:type="dxa"/>
            <w:noWrap w:val="0"/>
            <w:vAlign w:val="center"/>
          </w:tcPr>
          <w:p w14:paraId="44464061">
            <w:pPr>
              <w:jc w:val="center"/>
              <w:rPr>
                <w:rFonts w:ascii="宋体" w:hAnsi="宋体" w:eastAsia="宋体" w:cs="monospace"/>
                <w:bCs/>
                <w:color w:val="auto"/>
                <w:szCs w:val="21"/>
                <w:highlight w:val="none"/>
              </w:rPr>
            </w:pPr>
          </w:p>
        </w:tc>
        <w:tc>
          <w:tcPr>
            <w:tcW w:w="1216" w:type="dxa"/>
            <w:noWrap w:val="0"/>
            <w:vAlign w:val="center"/>
          </w:tcPr>
          <w:p w14:paraId="34D9E6D2">
            <w:pPr>
              <w:jc w:val="center"/>
              <w:rPr>
                <w:rFonts w:ascii="宋体" w:hAnsi="宋体" w:eastAsia="宋体" w:cs="monospace"/>
                <w:bCs/>
                <w:color w:val="auto"/>
                <w:szCs w:val="21"/>
                <w:highlight w:val="none"/>
              </w:rPr>
            </w:pPr>
          </w:p>
        </w:tc>
      </w:tr>
      <w:tr w14:paraId="3C8A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0"/>
            <w:vAlign w:val="center"/>
          </w:tcPr>
          <w:p w14:paraId="1B21304A">
            <w:pPr>
              <w:jc w:val="center"/>
              <w:rPr>
                <w:rFonts w:ascii="宋体" w:hAnsi="宋体" w:eastAsia="宋体" w:cs="monospace"/>
                <w:bCs/>
                <w:color w:val="auto"/>
                <w:szCs w:val="21"/>
                <w:highlight w:val="none"/>
              </w:rPr>
            </w:pPr>
          </w:p>
        </w:tc>
        <w:tc>
          <w:tcPr>
            <w:tcW w:w="1592" w:type="dxa"/>
            <w:noWrap w:val="0"/>
            <w:vAlign w:val="center"/>
          </w:tcPr>
          <w:p w14:paraId="6E32A61A">
            <w:pPr>
              <w:jc w:val="center"/>
              <w:rPr>
                <w:rFonts w:ascii="宋体" w:hAnsi="宋体" w:eastAsia="宋体" w:cs="monospace"/>
                <w:bCs/>
                <w:color w:val="auto"/>
                <w:szCs w:val="21"/>
                <w:highlight w:val="none"/>
              </w:rPr>
            </w:pPr>
          </w:p>
        </w:tc>
        <w:tc>
          <w:tcPr>
            <w:tcW w:w="1220" w:type="dxa"/>
            <w:noWrap w:val="0"/>
            <w:vAlign w:val="center"/>
          </w:tcPr>
          <w:p w14:paraId="6E592818">
            <w:pPr>
              <w:jc w:val="center"/>
              <w:rPr>
                <w:rFonts w:ascii="宋体" w:hAnsi="宋体" w:eastAsia="宋体" w:cs="monospace"/>
                <w:bCs/>
                <w:color w:val="auto"/>
                <w:szCs w:val="21"/>
                <w:highlight w:val="none"/>
              </w:rPr>
            </w:pPr>
          </w:p>
        </w:tc>
        <w:tc>
          <w:tcPr>
            <w:tcW w:w="1220" w:type="dxa"/>
            <w:noWrap w:val="0"/>
            <w:vAlign w:val="center"/>
          </w:tcPr>
          <w:p w14:paraId="131AF0C5">
            <w:pPr>
              <w:jc w:val="center"/>
              <w:rPr>
                <w:rFonts w:ascii="宋体" w:hAnsi="宋体" w:eastAsia="宋体" w:cs="monospace"/>
                <w:bCs/>
                <w:color w:val="auto"/>
                <w:szCs w:val="21"/>
                <w:highlight w:val="none"/>
              </w:rPr>
            </w:pPr>
          </w:p>
        </w:tc>
        <w:tc>
          <w:tcPr>
            <w:tcW w:w="1521" w:type="dxa"/>
            <w:noWrap w:val="0"/>
            <w:vAlign w:val="center"/>
          </w:tcPr>
          <w:p w14:paraId="2E7632D9">
            <w:pPr>
              <w:jc w:val="center"/>
              <w:rPr>
                <w:rFonts w:ascii="宋体" w:hAnsi="宋体" w:eastAsia="宋体" w:cs="monospace"/>
                <w:bCs/>
                <w:color w:val="auto"/>
                <w:szCs w:val="21"/>
                <w:highlight w:val="none"/>
              </w:rPr>
            </w:pPr>
          </w:p>
        </w:tc>
        <w:tc>
          <w:tcPr>
            <w:tcW w:w="1220" w:type="dxa"/>
            <w:noWrap w:val="0"/>
            <w:vAlign w:val="center"/>
          </w:tcPr>
          <w:p w14:paraId="2A9E24FA">
            <w:pPr>
              <w:jc w:val="center"/>
              <w:rPr>
                <w:rFonts w:ascii="宋体" w:hAnsi="宋体" w:eastAsia="宋体" w:cs="monospace"/>
                <w:bCs/>
                <w:color w:val="auto"/>
                <w:szCs w:val="21"/>
                <w:highlight w:val="none"/>
              </w:rPr>
            </w:pPr>
          </w:p>
        </w:tc>
        <w:tc>
          <w:tcPr>
            <w:tcW w:w="1186" w:type="dxa"/>
            <w:noWrap w:val="0"/>
            <w:vAlign w:val="center"/>
          </w:tcPr>
          <w:p w14:paraId="2EA35200">
            <w:pPr>
              <w:jc w:val="center"/>
              <w:rPr>
                <w:rFonts w:ascii="宋体" w:hAnsi="宋体" w:eastAsia="宋体" w:cs="monospace"/>
                <w:bCs/>
                <w:color w:val="auto"/>
                <w:szCs w:val="21"/>
                <w:highlight w:val="none"/>
              </w:rPr>
            </w:pPr>
          </w:p>
        </w:tc>
        <w:tc>
          <w:tcPr>
            <w:tcW w:w="1216" w:type="dxa"/>
            <w:noWrap w:val="0"/>
            <w:vAlign w:val="center"/>
          </w:tcPr>
          <w:p w14:paraId="2BA6B688">
            <w:pPr>
              <w:jc w:val="center"/>
              <w:rPr>
                <w:rFonts w:ascii="宋体" w:hAnsi="宋体" w:eastAsia="宋体" w:cs="monospace"/>
                <w:bCs/>
                <w:color w:val="auto"/>
                <w:szCs w:val="21"/>
                <w:highlight w:val="none"/>
              </w:rPr>
            </w:pPr>
          </w:p>
        </w:tc>
      </w:tr>
    </w:tbl>
    <w:p w14:paraId="32FAD3DF">
      <w:pPr>
        <w:spacing w:line="360" w:lineRule="auto"/>
        <w:ind w:firstLine="480"/>
        <w:rPr>
          <w:rFonts w:ascii="宋体" w:hAnsi="宋体" w:eastAsia="宋体" w:cs="monospace"/>
          <w:color w:val="auto"/>
          <w:szCs w:val="21"/>
          <w:highlight w:val="none"/>
        </w:rPr>
      </w:pPr>
      <w:r>
        <w:rPr>
          <w:rFonts w:ascii="宋体" w:hAnsi="宋体" w:eastAsia="宋体" w:cs="monospace"/>
          <w:color w:val="auto"/>
          <w:szCs w:val="21"/>
          <w:highlight w:val="none"/>
        </w:rPr>
        <w:t>说明：在下表中列出所投</w:t>
      </w:r>
      <w:r>
        <w:rPr>
          <w:rFonts w:hint="eastAsia" w:ascii="宋体" w:hAnsi="宋体" w:eastAsia="宋体" w:cs="monospace"/>
          <w:color w:val="auto"/>
          <w:szCs w:val="21"/>
          <w:highlight w:val="none"/>
        </w:rPr>
        <w:t>设备</w:t>
      </w:r>
      <w:r>
        <w:rPr>
          <w:rFonts w:ascii="宋体" w:hAnsi="宋体" w:eastAsia="宋体" w:cs="monospace"/>
          <w:color w:val="auto"/>
          <w:szCs w:val="21"/>
          <w:highlight w:val="none"/>
        </w:rPr>
        <w:t>近年以来的业绩清单，同时附</w:t>
      </w:r>
      <w:r>
        <w:rPr>
          <w:rFonts w:hint="eastAsia" w:ascii="宋体" w:hAnsi="宋体" w:eastAsia="宋体" w:cs="monospace"/>
          <w:color w:val="auto"/>
          <w:szCs w:val="21"/>
          <w:highlight w:val="none"/>
        </w:rPr>
        <w:t>清晰的</w:t>
      </w:r>
      <w:r>
        <w:rPr>
          <w:rFonts w:ascii="宋体" w:hAnsi="宋体" w:eastAsia="宋体" w:cs="monospace"/>
          <w:color w:val="auto"/>
          <w:szCs w:val="21"/>
          <w:highlight w:val="none"/>
        </w:rPr>
        <w:t>合同</w:t>
      </w:r>
      <w:r>
        <w:rPr>
          <w:rFonts w:hint="eastAsia" w:ascii="宋体" w:hAnsi="宋体" w:eastAsia="宋体" w:cs="monospace"/>
          <w:color w:val="auto"/>
          <w:szCs w:val="21"/>
          <w:highlight w:val="none"/>
        </w:rPr>
        <w:t>扫描</w:t>
      </w:r>
      <w:r>
        <w:rPr>
          <w:rFonts w:ascii="宋体" w:hAnsi="宋体" w:eastAsia="宋体" w:cs="monospace"/>
          <w:color w:val="auto"/>
          <w:szCs w:val="21"/>
          <w:highlight w:val="none"/>
        </w:rPr>
        <w:t>件</w:t>
      </w:r>
      <w:r>
        <w:rPr>
          <w:rFonts w:hint="eastAsia" w:ascii="宋体" w:hAnsi="宋体" w:eastAsia="宋体" w:cs="monospace"/>
          <w:color w:val="auto"/>
          <w:szCs w:val="21"/>
          <w:highlight w:val="none"/>
        </w:rPr>
        <w:t>及评分办法中要求的其他材料，涉及商业秘密的可将相关部分模糊化处理</w:t>
      </w:r>
      <w:r>
        <w:rPr>
          <w:rFonts w:ascii="宋体" w:hAnsi="宋体" w:eastAsia="宋体" w:cs="monospace"/>
          <w:color w:val="auto"/>
          <w:szCs w:val="21"/>
          <w:highlight w:val="none"/>
        </w:rPr>
        <w:t>。</w:t>
      </w:r>
    </w:p>
    <w:p w14:paraId="326BB6B8">
      <w:pPr>
        <w:spacing w:line="360" w:lineRule="auto"/>
        <w:rPr>
          <w:rFonts w:ascii="宋体" w:hAnsi="宋体" w:eastAsia="宋体" w:cs="monospace"/>
          <w:color w:val="auto"/>
          <w:szCs w:val="21"/>
          <w:highlight w:val="none"/>
        </w:rPr>
      </w:pPr>
    </w:p>
    <w:p w14:paraId="4CFDA950">
      <w:pPr>
        <w:pStyle w:val="11"/>
        <w:spacing w:line="360" w:lineRule="auto"/>
        <w:ind w:firstLine="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投标人（企业电子签章）：                     </w:t>
      </w:r>
    </w:p>
    <w:p w14:paraId="240ACA5F">
      <w:pPr>
        <w:pStyle w:val="11"/>
        <w:spacing w:line="360" w:lineRule="auto"/>
        <w:ind w:firstLine="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法定代表人（个人电子签章）：                 </w:t>
      </w:r>
    </w:p>
    <w:p w14:paraId="0EA4E0BA">
      <w:pPr>
        <w:pageBreakBefore w:val="0"/>
        <w:overflowPunct/>
        <w:topLinePunct w:val="0"/>
        <w:bidi w:val="0"/>
        <w:spacing w:line="360" w:lineRule="auto"/>
        <w:ind w:firstLine="600"/>
        <w:rPr>
          <w:rFonts w:hint="default" w:asciiTheme="minorEastAsia" w:hAnsiTheme="minorEastAsia" w:eastAsiaTheme="minorEastAsia" w:cstheme="minorEastAsia"/>
          <w:b/>
          <w:color w:val="auto"/>
          <w:kern w:val="0"/>
          <w:sz w:val="21"/>
          <w:szCs w:val="21"/>
          <w:highlight w:val="none"/>
          <w:lang w:val="en-US" w:bidi="zh-CN"/>
        </w:rPr>
      </w:pPr>
      <w:r>
        <w:rPr>
          <w:rFonts w:hint="eastAsia" w:ascii="宋体" w:hAnsi="宋体" w:cs="宋体"/>
          <w:color w:val="auto"/>
          <w:sz w:val="21"/>
          <w:szCs w:val="21"/>
          <w:highlight w:val="none"/>
        </w:rPr>
        <w:t xml:space="preserve">      年       月      日</w:t>
      </w:r>
    </w:p>
    <w:p w14:paraId="1454131E">
      <w:pPr>
        <w:pageBreakBefore w:val="0"/>
        <w:overflowPunct/>
        <w:topLinePunct w:val="0"/>
        <w:bidi w:val="0"/>
        <w:spacing w:before="42"/>
        <w:ind w:right="439"/>
        <w:jc w:val="center"/>
        <w:rPr>
          <w:rFonts w:hint="eastAsia" w:asciiTheme="minorEastAsia" w:hAnsiTheme="minorEastAsia" w:eastAsiaTheme="minorEastAsia" w:cstheme="minorEastAsia"/>
          <w:bCs w:val="0"/>
          <w:color w:val="auto"/>
          <w:kern w:val="0"/>
          <w:sz w:val="28"/>
          <w:szCs w:val="28"/>
          <w:highlight w:val="none"/>
          <w:lang w:bidi="zh-CN"/>
        </w:rPr>
      </w:pPr>
      <w:r>
        <w:rPr>
          <w:rFonts w:hint="eastAsia" w:asciiTheme="minorEastAsia" w:hAnsiTheme="minorEastAsia" w:eastAsiaTheme="minorEastAsia" w:cstheme="minorEastAsia"/>
          <w:bCs w:val="0"/>
          <w:color w:val="auto"/>
          <w:kern w:val="0"/>
          <w:sz w:val="28"/>
          <w:szCs w:val="28"/>
          <w:highlight w:val="none"/>
          <w:lang w:bidi="zh-CN"/>
        </w:rPr>
        <w:br w:type="page"/>
      </w:r>
    </w:p>
    <w:p w14:paraId="6661D17E">
      <w:pPr>
        <w:pStyle w:val="6"/>
        <w:pageBreakBefore w:val="0"/>
        <w:overflowPunct/>
        <w:topLinePunct w:val="0"/>
        <w:bidi w:val="0"/>
        <w:spacing w:before="42" w:line="360" w:lineRule="auto"/>
        <w:ind w:right="439" w:firstLine="602"/>
        <w:jc w:val="center"/>
        <w:rPr>
          <w:rFonts w:hint="eastAsia" w:asciiTheme="minorEastAsia" w:hAnsiTheme="minorEastAsia" w:eastAsiaTheme="minorEastAsia" w:cstheme="minorEastAsia"/>
          <w:bCs w:val="0"/>
          <w:color w:val="auto"/>
          <w:kern w:val="0"/>
          <w:sz w:val="28"/>
          <w:szCs w:val="28"/>
          <w:highlight w:val="none"/>
          <w:lang w:val="en-US" w:bidi="zh-CN"/>
        </w:rPr>
      </w:pPr>
      <w:r>
        <w:rPr>
          <w:rFonts w:hint="eastAsia" w:asciiTheme="minorEastAsia" w:hAnsiTheme="minorEastAsia" w:eastAsiaTheme="minorEastAsia" w:cstheme="minorEastAsia"/>
          <w:bCs w:val="0"/>
          <w:color w:val="auto"/>
          <w:kern w:val="0"/>
          <w:sz w:val="28"/>
          <w:szCs w:val="28"/>
          <w:highlight w:val="none"/>
          <w:lang w:val="en-US" w:bidi="zh-CN"/>
        </w:rPr>
        <w:t>十</w:t>
      </w:r>
      <w:r>
        <w:rPr>
          <w:rFonts w:hint="eastAsia" w:asciiTheme="minorEastAsia" w:hAnsiTheme="minorEastAsia" w:eastAsiaTheme="minorEastAsia" w:cstheme="minorEastAsia"/>
          <w:bCs w:val="0"/>
          <w:color w:val="auto"/>
          <w:kern w:val="0"/>
          <w:sz w:val="28"/>
          <w:szCs w:val="28"/>
          <w:highlight w:val="none"/>
          <w:lang w:bidi="zh-CN"/>
        </w:rPr>
        <w:t>、</w:t>
      </w:r>
      <w:r>
        <w:rPr>
          <w:rFonts w:hint="eastAsia" w:asciiTheme="minorEastAsia" w:hAnsiTheme="minorEastAsia" w:eastAsiaTheme="minorEastAsia" w:cstheme="minorEastAsia"/>
          <w:bCs w:val="0"/>
          <w:color w:val="auto"/>
          <w:kern w:val="0"/>
          <w:sz w:val="28"/>
          <w:szCs w:val="28"/>
          <w:highlight w:val="none"/>
          <w:lang w:val="en-US" w:bidi="zh-CN"/>
        </w:rPr>
        <w:t>方案及承诺</w:t>
      </w:r>
    </w:p>
    <w:p w14:paraId="442E29A1">
      <w:pPr>
        <w:rPr>
          <w:rFonts w:hint="default"/>
          <w:color w:val="auto"/>
          <w:highlight w:val="none"/>
          <w:lang w:val="en-US"/>
        </w:rPr>
      </w:pPr>
      <w:r>
        <w:rPr>
          <w:rFonts w:hint="eastAsia" w:asciiTheme="minorEastAsia" w:hAnsiTheme="minorEastAsia" w:eastAsiaTheme="minorEastAsia" w:cstheme="minorEastAsia"/>
          <w:bCs w:val="0"/>
          <w:color w:val="auto"/>
          <w:kern w:val="0"/>
          <w:sz w:val="28"/>
          <w:szCs w:val="28"/>
          <w:highlight w:val="none"/>
          <w:lang w:val="en-US" w:bidi="zh-CN"/>
        </w:rPr>
        <w:t>供应商根据评分办法要求自行补充。</w:t>
      </w:r>
    </w:p>
    <w:p w14:paraId="52EE9662">
      <w:pPr>
        <w:pageBreakBefore w:val="0"/>
        <w:overflowPunct/>
        <w:topLinePunct w:val="0"/>
        <w:bidi w:val="0"/>
        <w:spacing w:before="42"/>
        <w:ind w:right="439"/>
        <w:jc w:val="center"/>
        <w:rPr>
          <w:rFonts w:hint="eastAsia" w:asciiTheme="minorEastAsia" w:hAnsiTheme="minorEastAsia" w:eastAsiaTheme="minorEastAsia" w:cstheme="minorEastAsia"/>
          <w:bCs w:val="0"/>
          <w:color w:val="auto"/>
          <w:kern w:val="0"/>
          <w:sz w:val="28"/>
          <w:szCs w:val="28"/>
          <w:highlight w:val="none"/>
          <w:lang w:bidi="zh-CN"/>
        </w:rPr>
      </w:pPr>
      <w:r>
        <w:rPr>
          <w:rFonts w:hint="eastAsia" w:asciiTheme="minorEastAsia" w:hAnsiTheme="minorEastAsia" w:eastAsiaTheme="minorEastAsia" w:cstheme="minorEastAsia"/>
          <w:bCs w:val="0"/>
          <w:color w:val="auto"/>
          <w:kern w:val="0"/>
          <w:sz w:val="28"/>
          <w:szCs w:val="28"/>
          <w:highlight w:val="none"/>
          <w:lang w:bidi="zh-CN"/>
        </w:rPr>
        <w:br w:type="page"/>
      </w:r>
    </w:p>
    <w:p w14:paraId="4B9884BA">
      <w:pPr>
        <w:pStyle w:val="6"/>
        <w:pageBreakBefore w:val="0"/>
        <w:overflowPunct/>
        <w:topLinePunct w:val="0"/>
        <w:bidi w:val="0"/>
        <w:spacing w:before="42" w:line="360" w:lineRule="auto"/>
        <w:ind w:right="436" w:firstLine="602"/>
        <w:jc w:val="center"/>
        <w:rPr>
          <w:rFonts w:hint="eastAsia" w:asciiTheme="minorEastAsia" w:hAnsiTheme="minorEastAsia" w:eastAsiaTheme="minorEastAsia" w:cstheme="minorEastAsia"/>
          <w:bCs w:val="0"/>
          <w:color w:val="auto"/>
          <w:sz w:val="28"/>
          <w:szCs w:val="28"/>
          <w:highlight w:val="none"/>
          <w:lang w:bidi="zh-CN"/>
        </w:rPr>
      </w:pPr>
      <w:r>
        <w:rPr>
          <w:rFonts w:hint="eastAsia" w:asciiTheme="minorEastAsia" w:hAnsiTheme="minorEastAsia" w:eastAsiaTheme="minorEastAsia" w:cstheme="minorEastAsia"/>
          <w:bCs w:val="0"/>
          <w:color w:val="auto"/>
          <w:sz w:val="28"/>
          <w:szCs w:val="28"/>
          <w:highlight w:val="none"/>
          <w:lang w:val="en-US" w:bidi="zh-CN"/>
        </w:rPr>
        <w:t>十一</w:t>
      </w:r>
      <w:r>
        <w:rPr>
          <w:rFonts w:hint="eastAsia" w:asciiTheme="minorEastAsia" w:hAnsiTheme="minorEastAsia" w:eastAsiaTheme="minorEastAsia" w:cstheme="minorEastAsia"/>
          <w:bCs w:val="0"/>
          <w:color w:val="auto"/>
          <w:sz w:val="28"/>
          <w:szCs w:val="28"/>
          <w:highlight w:val="none"/>
          <w:lang w:bidi="zh-CN"/>
        </w:rPr>
        <w:t>、承诺书</w:t>
      </w:r>
    </w:p>
    <w:p w14:paraId="3B6BB747">
      <w:pPr>
        <w:pStyle w:val="6"/>
        <w:pageBreakBefore w:val="0"/>
        <w:overflowPunct/>
        <w:topLinePunct w:val="0"/>
        <w:bidi w:val="0"/>
        <w:snapToGrid w:val="0"/>
        <w:spacing w:before="0" w:line="240" w:lineRule="auto"/>
        <w:ind w:left="0" w:right="0" w:firstLine="0"/>
        <w:jc w:val="center"/>
        <w:rPr>
          <w:rFonts w:hint="eastAsia" w:ascii="Times New Roman" w:hAnsi="Times New Roman" w:eastAsia="宋体" w:cs="Times New Roman"/>
          <w:bCs/>
          <w:color w:val="auto"/>
          <w:kern w:val="2"/>
          <w:sz w:val="28"/>
          <w:szCs w:val="28"/>
          <w:highlight w:val="none"/>
          <w:lang w:bidi="zh-CN"/>
        </w:rPr>
      </w:pPr>
      <w:r>
        <w:rPr>
          <w:rFonts w:hint="eastAsia" w:ascii="Times New Roman" w:hAnsi="Times New Roman" w:eastAsia="宋体" w:cs="Times New Roman"/>
          <w:bCs/>
          <w:color w:val="auto"/>
          <w:kern w:val="2"/>
          <w:sz w:val="28"/>
          <w:szCs w:val="28"/>
          <w:highlight w:val="none"/>
          <w:lang w:val="en-US" w:bidi="zh-CN"/>
        </w:rPr>
        <w:t>1.</w:t>
      </w:r>
      <w:r>
        <w:rPr>
          <w:rFonts w:hint="eastAsia" w:ascii="Times New Roman" w:hAnsi="Times New Roman" w:eastAsia="宋体" w:cs="Times New Roman"/>
          <w:bCs/>
          <w:color w:val="auto"/>
          <w:kern w:val="2"/>
          <w:sz w:val="28"/>
          <w:szCs w:val="28"/>
          <w:highlight w:val="none"/>
          <w:lang w:bidi="zh-CN"/>
        </w:rPr>
        <w:t>反商业贿赂承诺书</w:t>
      </w:r>
    </w:p>
    <w:p w14:paraId="17159D4A">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我公司承诺：</w:t>
      </w:r>
    </w:p>
    <w:p w14:paraId="4770496F">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bCs/>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采购活动中，我公司保证做到：</w:t>
      </w:r>
    </w:p>
    <w:p w14:paraId="3A0F8BEE">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一、公平竞争参加本次采购活动。</w:t>
      </w:r>
    </w:p>
    <w:p w14:paraId="7A5C44DE">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2DC6B65">
      <w:pPr>
        <w:pageBreakBefore w:val="0"/>
        <w:overflowPunct/>
        <w:topLinePunct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三、若出现上述行为，我公司及参与磋商的工作人员愿意接受按照国家法律法规等有关规定给予的处罚。</w:t>
      </w:r>
    </w:p>
    <w:p w14:paraId="74E32796">
      <w:pPr>
        <w:pStyle w:val="16"/>
        <w:pageBreakBefore w:val="0"/>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p>
    <w:p w14:paraId="2E382278">
      <w:pPr>
        <w:pStyle w:val="16"/>
        <w:pageBreakBefore w:val="0"/>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p>
    <w:p w14:paraId="126BB578">
      <w:pPr>
        <w:pStyle w:val="16"/>
        <w:pageBreakBefore w:val="0"/>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p>
    <w:p w14:paraId="38080BD5">
      <w:pPr>
        <w:pageBreakBefore w:val="0"/>
        <w:overflowPunct/>
        <w:topLinePunct w:val="0"/>
        <w:bidi w:val="0"/>
        <w:spacing w:line="360" w:lineRule="auto"/>
        <w:ind w:firstLine="316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（盖企业电子章）</w:t>
      </w:r>
    </w:p>
    <w:p w14:paraId="2B80DB9C">
      <w:pPr>
        <w:pageBreakBefore w:val="0"/>
        <w:overflowPunct/>
        <w:topLinePunct w:val="0"/>
        <w:bidi w:val="0"/>
        <w:spacing w:line="360" w:lineRule="auto"/>
        <w:ind w:firstLine="316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（签字或盖章或电子签章）</w:t>
      </w:r>
    </w:p>
    <w:p w14:paraId="44B91E59">
      <w:pPr>
        <w:pageBreakBefore w:val="0"/>
        <w:overflowPunct/>
        <w:topLinePunct w:val="0"/>
        <w:bidi w:val="0"/>
        <w:spacing w:line="360" w:lineRule="auto"/>
        <w:ind w:firstLine="316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rPr>
        <w:t>日</w:t>
      </w:r>
    </w:p>
    <w:p w14:paraId="68B32EA0">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66793A35">
      <w:pPr>
        <w:bidi w:val="0"/>
        <w:rPr>
          <w:rFonts w:hint="eastAsia"/>
          <w:color w:val="auto"/>
          <w:highlight w:val="none"/>
          <w:lang w:val="zh-CN"/>
        </w:rPr>
      </w:pPr>
    </w:p>
    <w:p w14:paraId="61DCE6CC">
      <w:pPr>
        <w:bidi w:val="0"/>
        <w:rPr>
          <w:rFonts w:hint="eastAsia"/>
          <w:color w:val="auto"/>
          <w:highlight w:val="none"/>
          <w:lang w:val="zh-CN"/>
        </w:rPr>
      </w:pPr>
    </w:p>
    <w:p w14:paraId="2789DF86">
      <w:pPr>
        <w:bidi w:val="0"/>
        <w:rPr>
          <w:rFonts w:hint="eastAsia"/>
          <w:color w:val="auto"/>
          <w:highlight w:val="none"/>
          <w:lang w:val="zh-CN"/>
        </w:rPr>
      </w:pPr>
    </w:p>
    <w:p w14:paraId="3038E4A4">
      <w:pPr>
        <w:bidi w:val="0"/>
        <w:rPr>
          <w:rFonts w:hint="eastAsia"/>
          <w:color w:val="auto"/>
          <w:highlight w:val="none"/>
          <w:lang w:val="zh-CN"/>
        </w:rPr>
      </w:pPr>
    </w:p>
    <w:p w14:paraId="61ECF452">
      <w:pPr>
        <w:bidi w:val="0"/>
        <w:rPr>
          <w:rFonts w:hint="eastAsia"/>
          <w:color w:val="auto"/>
          <w:highlight w:val="none"/>
          <w:lang w:val="zh-CN"/>
        </w:rPr>
      </w:pPr>
    </w:p>
    <w:p w14:paraId="7680D879">
      <w:pPr>
        <w:bidi w:val="0"/>
        <w:rPr>
          <w:rFonts w:hint="eastAsia"/>
          <w:color w:val="auto"/>
          <w:highlight w:val="none"/>
          <w:lang w:val="zh-CN"/>
        </w:rPr>
      </w:pPr>
    </w:p>
    <w:p w14:paraId="1BE96C94">
      <w:pPr>
        <w:bidi w:val="0"/>
        <w:rPr>
          <w:rFonts w:hint="eastAsia"/>
          <w:color w:val="auto"/>
          <w:highlight w:val="none"/>
          <w:lang w:val="zh-CN"/>
        </w:rPr>
      </w:pPr>
    </w:p>
    <w:p w14:paraId="5CFFBE71">
      <w:pPr>
        <w:bidi w:val="0"/>
        <w:rPr>
          <w:rFonts w:hint="eastAsia"/>
          <w:color w:val="auto"/>
          <w:highlight w:val="none"/>
          <w:lang w:val="zh-CN"/>
        </w:rPr>
      </w:pPr>
    </w:p>
    <w:p w14:paraId="0FB7C919">
      <w:pPr>
        <w:bidi w:val="0"/>
        <w:rPr>
          <w:rFonts w:hint="eastAsia"/>
          <w:color w:val="auto"/>
          <w:highlight w:val="none"/>
          <w:lang w:val="zh-CN"/>
        </w:rPr>
      </w:pPr>
    </w:p>
    <w:p w14:paraId="34616FC6">
      <w:pPr>
        <w:bidi w:val="0"/>
        <w:rPr>
          <w:rFonts w:hint="eastAsia"/>
          <w:color w:val="auto"/>
          <w:highlight w:val="none"/>
          <w:lang w:val="zh-CN"/>
        </w:rPr>
      </w:pPr>
    </w:p>
    <w:p w14:paraId="08EDCE0E">
      <w:pPr>
        <w:bidi w:val="0"/>
        <w:rPr>
          <w:rFonts w:hint="eastAsia"/>
          <w:color w:val="auto"/>
          <w:highlight w:val="none"/>
          <w:lang w:val="zh-CN"/>
        </w:rPr>
      </w:pPr>
    </w:p>
    <w:p w14:paraId="28150876">
      <w:pPr>
        <w:bidi w:val="0"/>
        <w:rPr>
          <w:rFonts w:hint="eastAsia"/>
          <w:color w:val="auto"/>
          <w:highlight w:val="none"/>
          <w:lang w:val="zh-CN"/>
        </w:rPr>
      </w:pPr>
    </w:p>
    <w:p w14:paraId="065980CD">
      <w:pPr>
        <w:bidi w:val="0"/>
        <w:rPr>
          <w:rFonts w:hint="eastAsia"/>
          <w:color w:val="auto"/>
          <w:highlight w:val="none"/>
          <w:lang w:val="zh-CN"/>
        </w:rPr>
      </w:pPr>
    </w:p>
    <w:p w14:paraId="3A488B31">
      <w:pPr>
        <w:bidi w:val="0"/>
        <w:rPr>
          <w:rFonts w:hint="eastAsia"/>
          <w:color w:val="auto"/>
          <w:highlight w:val="none"/>
          <w:lang w:val="zh-CN"/>
        </w:rPr>
      </w:pPr>
    </w:p>
    <w:p w14:paraId="5296DEA9">
      <w:pPr>
        <w:bidi w:val="0"/>
        <w:rPr>
          <w:rFonts w:hint="eastAsia"/>
          <w:color w:val="auto"/>
          <w:highlight w:val="none"/>
          <w:lang w:val="zh-CN"/>
        </w:rPr>
      </w:pPr>
    </w:p>
    <w:p w14:paraId="23C61B72">
      <w:pPr>
        <w:rPr>
          <w:rFonts w:hint="eastAsia" w:asciiTheme="minorEastAsia" w:hAnsiTheme="minorEastAsia" w:eastAsiaTheme="minorEastAsia" w:cstheme="minorEastAsia"/>
          <w:bCs w:val="0"/>
          <w:color w:val="auto"/>
          <w:sz w:val="21"/>
          <w:szCs w:val="21"/>
          <w:highlight w:val="none"/>
          <w:lang w:val="zh-CN" w:bidi="zh-CN"/>
        </w:rPr>
      </w:pPr>
    </w:p>
    <w:p w14:paraId="0DB0EAB2">
      <w:pPr>
        <w:rPr>
          <w:rFonts w:hint="eastAsia" w:asciiTheme="minorEastAsia" w:hAnsiTheme="minorEastAsia" w:eastAsiaTheme="minorEastAsia" w:cstheme="minorEastAsia"/>
          <w:bCs w:val="0"/>
          <w:color w:val="auto"/>
          <w:sz w:val="21"/>
          <w:szCs w:val="21"/>
          <w:highlight w:val="none"/>
          <w:lang w:val="zh-CN" w:bidi="zh-CN"/>
        </w:rPr>
      </w:pPr>
    </w:p>
    <w:p w14:paraId="0A172122">
      <w:pPr>
        <w:rPr>
          <w:rFonts w:hint="eastAsia" w:asciiTheme="minorEastAsia" w:hAnsiTheme="minorEastAsia" w:eastAsiaTheme="minorEastAsia" w:cstheme="minorEastAsia"/>
          <w:bCs w:val="0"/>
          <w:color w:val="auto"/>
          <w:sz w:val="21"/>
          <w:szCs w:val="21"/>
          <w:highlight w:val="none"/>
          <w:lang w:val="zh-CN" w:bidi="zh-CN"/>
        </w:rPr>
      </w:pPr>
    </w:p>
    <w:p w14:paraId="10061552">
      <w:pPr>
        <w:rPr>
          <w:rFonts w:hint="eastAsia" w:asciiTheme="minorEastAsia" w:hAnsiTheme="minorEastAsia" w:eastAsiaTheme="minorEastAsia" w:cstheme="minorEastAsia"/>
          <w:bCs w:val="0"/>
          <w:color w:val="auto"/>
          <w:sz w:val="21"/>
          <w:szCs w:val="21"/>
          <w:highlight w:val="none"/>
          <w:lang w:val="zh-CN" w:bidi="zh-CN"/>
        </w:rPr>
      </w:pPr>
    </w:p>
    <w:p w14:paraId="4A208042">
      <w:pPr>
        <w:rPr>
          <w:rFonts w:hint="eastAsia" w:asciiTheme="minorEastAsia" w:hAnsiTheme="minorEastAsia" w:eastAsiaTheme="minorEastAsia" w:cstheme="minorEastAsia"/>
          <w:bCs w:val="0"/>
          <w:color w:val="auto"/>
          <w:sz w:val="21"/>
          <w:szCs w:val="21"/>
          <w:highlight w:val="none"/>
          <w:lang w:val="zh-CN" w:bidi="zh-CN"/>
        </w:rPr>
      </w:pPr>
    </w:p>
    <w:p w14:paraId="12B411E6">
      <w:pPr>
        <w:rPr>
          <w:rFonts w:hint="eastAsia" w:asciiTheme="minorEastAsia" w:hAnsiTheme="minorEastAsia" w:eastAsiaTheme="minorEastAsia" w:cstheme="minorEastAsia"/>
          <w:bCs w:val="0"/>
          <w:color w:val="auto"/>
          <w:sz w:val="21"/>
          <w:szCs w:val="21"/>
          <w:highlight w:val="none"/>
          <w:lang w:val="zh-CN" w:bidi="zh-CN"/>
        </w:rPr>
      </w:pPr>
      <w:r>
        <w:rPr>
          <w:rFonts w:hint="eastAsia" w:asciiTheme="minorEastAsia" w:hAnsiTheme="minorEastAsia" w:eastAsiaTheme="minorEastAsia" w:cstheme="minorEastAsia"/>
          <w:bCs w:val="0"/>
          <w:color w:val="auto"/>
          <w:sz w:val="21"/>
          <w:szCs w:val="21"/>
          <w:highlight w:val="none"/>
          <w:lang w:val="zh-CN" w:bidi="zh-CN"/>
        </w:rPr>
        <w:br w:type="page"/>
      </w:r>
    </w:p>
    <w:p w14:paraId="275D1062">
      <w:pPr>
        <w:rPr>
          <w:rFonts w:hint="eastAsia" w:asciiTheme="minorEastAsia" w:hAnsiTheme="minorEastAsia" w:eastAsiaTheme="minorEastAsia" w:cstheme="minorEastAsia"/>
          <w:bCs w:val="0"/>
          <w:color w:val="auto"/>
          <w:sz w:val="21"/>
          <w:szCs w:val="21"/>
          <w:highlight w:val="none"/>
          <w:lang w:val="zh-CN" w:bidi="zh-CN"/>
        </w:rPr>
      </w:pPr>
    </w:p>
    <w:p w14:paraId="0BD88347">
      <w:pPr>
        <w:pStyle w:val="6"/>
        <w:pageBreakBefore w:val="0"/>
        <w:overflowPunct/>
        <w:topLinePunct w:val="0"/>
        <w:bidi w:val="0"/>
        <w:snapToGrid w:val="0"/>
        <w:spacing w:before="0" w:line="240" w:lineRule="auto"/>
        <w:ind w:right="0"/>
        <w:jc w:val="center"/>
        <w:rPr>
          <w:rFonts w:hint="eastAsia" w:ascii="Times New Roman" w:hAnsi="Times New Roman" w:eastAsia="宋体" w:cs="Times New Roman"/>
          <w:bCs/>
          <w:color w:val="auto"/>
          <w:sz w:val="28"/>
          <w:szCs w:val="28"/>
          <w:highlight w:val="none"/>
          <w:lang w:val="en-US" w:bidi="zh-CN"/>
        </w:rPr>
      </w:pPr>
      <w:r>
        <w:rPr>
          <w:rFonts w:hint="eastAsia" w:ascii="Times New Roman" w:hAnsi="Times New Roman" w:cs="Times New Roman"/>
          <w:bCs/>
          <w:color w:val="auto"/>
          <w:sz w:val="28"/>
          <w:szCs w:val="28"/>
          <w:highlight w:val="none"/>
          <w:lang w:val="en-US" w:bidi="zh-CN"/>
        </w:rPr>
        <w:t>2.</w:t>
      </w:r>
      <w:r>
        <w:rPr>
          <w:rFonts w:hint="eastAsia" w:ascii="Times New Roman" w:hAnsi="Times New Roman" w:eastAsia="宋体" w:cs="Times New Roman"/>
          <w:bCs/>
          <w:color w:val="auto"/>
          <w:sz w:val="28"/>
          <w:szCs w:val="28"/>
          <w:highlight w:val="none"/>
          <w:lang w:val="en-US" w:bidi="zh-CN"/>
        </w:rPr>
        <w:t>供应商参加磋商采购活动的承诺书</w:t>
      </w:r>
    </w:p>
    <w:p w14:paraId="7570E25A">
      <w:pPr>
        <w:pageBreakBefore w:val="0"/>
        <w:overflowPunct/>
        <w:topLinePunct w:val="0"/>
        <w:bidi w:val="0"/>
        <w:snapToGrid w:val="0"/>
        <w:spacing w:line="48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致：</w:t>
      </w:r>
      <w:r>
        <w:rPr>
          <w:rFonts w:hint="eastAsia" w:asciiTheme="minorEastAsia" w:hAnsiTheme="minorEastAsia" w:eastAsiaTheme="minorEastAsia" w:cstheme="minorEastAsia"/>
          <w:color w:val="auto"/>
          <w:sz w:val="21"/>
          <w:szCs w:val="21"/>
          <w:highlight w:val="none"/>
          <w:u w:val="single"/>
        </w:rPr>
        <w:t xml:space="preserve"> （填写采购人名称）</w:t>
      </w:r>
      <w:r>
        <w:rPr>
          <w:rFonts w:hint="eastAsia" w:asciiTheme="minorEastAsia" w:hAnsiTheme="minorEastAsia" w:eastAsiaTheme="minorEastAsia" w:cstheme="minorEastAsia"/>
          <w:color w:val="auto"/>
          <w:sz w:val="21"/>
          <w:szCs w:val="21"/>
          <w:highlight w:val="none"/>
        </w:rPr>
        <w:t xml:space="preserve"> </w:t>
      </w:r>
    </w:p>
    <w:p w14:paraId="11E62ADD">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我（单位/本人，以下统称我单位）自愿参加</w:t>
      </w:r>
      <w:r>
        <w:rPr>
          <w:rFonts w:hint="eastAsia" w:asciiTheme="minorEastAsia" w:hAnsiTheme="minorEastAsia" w:eastAsiaTheme="minorEastAsia" w:cstheme="minorEastAsia"/>
          <w:color w:val="auto"/>
          <w:sz w:val="21"/>
          <w:szCs w:val="21"/>
          <w:highlight w:val="none"/>
          <w:u w:val="single"/>
        </w:rPr>
        <w:t xml:space="preserve">    （项目名称）</w:t>
      </w:r>
      <w:r>
        <w:rPr>
          <w:rFonts w:hint="eastAsia" w:asciiTheme="minorEastAsia" w:hAnsiTheme="minorEastAsia" w:eastAsiaTheme="minorEastAsia" w:cstheme="minorEastAsia"/>
          <w:color w:val="auto"/>
          <w:sz w:val="21"/>
          <w:szCs w:val="21"/>
          <w:highlight w:val="none"/>
        </w:rPr>
        <w:t>的磋商采购活动， 作为参加本次采购活动的供应商，根据竞争性磋商文件的要求，现郑重承诺如下：</w:t>
      </w:r>
    </w:p>
    <w:p w14:paraId="5331412A">
      <w:pPr>
        <w:pageBreakBefore w:val="0"/>
        <w:widowControl/>
        <w:overflowPunct/>
        <w:topLinePunct w:val="0"/>
        <w:bidi w:val="0"/>
        <w:snapToGrid w:val="0"/>
        <w:spacing w:line="48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我单位完全接受和满足本项目竞争性磋商文件中规定的实质性要求，如对采购（磋商）文件有异议，已经在收到采购（磋商）文件之日起或采购（磋商）文件公告期限届满之日起七个工作日内依法进行维权救济，不存在对采购（磋商）文件有异议的同时又参加本项目的磋商采购活动以求侥幸成为成交人或者为实现其他非法目的的行为。</w:t>
      </w:r>
    </w:p>
    <w:p w14:paraId="6034575C">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二、我单位参加本次磋商采购活动，不存在和其他供应商在同一合同项下的采购项目中，同时委托同一个自然人、同一家庭的人员、同一单位的人员作为代理人的行为。</w:t>
      </w:r>
    </w:p>
    <w:p w14:paraId="3DA42B96">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三、参加本次磋商采购活动前，在近三年内我单位和其法定代表人（或负责人）没有行贿犯罪行为。</w:t>
      </w:r>
    </w:p>
    <w:p w14:paraId="0129680B">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四、我单位在此申明：保证本次响应文件中提供的所有内容、资料、陈述是正确的、真实的、有效的、合法的，并愿意承担相关法律责任。</w:t>
      </w:r>
    </w:p>
    <w:p w14:paraId="138C7421">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五、如本项目磋商采购过程中需要提供样品，则我单位提供的样品即为成交后将要提供的成交产品，我单位对提供样品的性能和质量负责，因样品存在缺陷或者不符合竞争性磋商文件要求导致未能成交的，我单位愿意承担相应不利后果。</w:t>
      </w:r>
    </w:p>
    <w:p w14:paraId="4B212A52">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六、存在以下行为之一的愿意接受相关部门的处理：</w:t>
      </w:r>
    </w:p>
    <w:p w14:paraId="5F1D2804">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1、我单位在响应文件有效期内撤销响应文件的（不包括在提交最后报价前</w:t>
      </w:r>
      <w:r>
        <w:rPr>
          <w:rFonts w:hint="eastAsia" w:asciiTheme="minorEastAsia" w:hAnsiTheme="minorEastAsia" w:eastAsiaTheme="minorEastAsia" w:cstheme="minorEastAsia"/>
          <w:color w:val="auto"/>
          <w:sz w:val="21"/>
          <w:szCs w:val="21"/>
          <w:highlight w:val="none"/>
          <w:lang w:val="en-US" w:eastAsia="zh-CN"/>
        </w:rPr>
        <w:t>退</w:t>
      </w:r>
      <w:r>
        <w:rPr>
          <w:rFonts w:hint="eastAsia" w:asciiTheme="minorEastAsia" w:hAnsiTheme="minorEastAsia" w:eastAsiaTheme="minorEastAsia" w:cstheme="minorEastAsia"/>
          <w:color w:val="auto"/>
          <w:sz w:val="21"/>
          <w:szCs w:val="21"/>
          <w:highlight w:val="none"/>
        </w:rPr>
        <w:t>出磋商的情况）；</w:t>
      </w:r>
    </w:p>
    <w:p w14:paraId="5B30A27B">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2、我单位在采购人确定成交人以前放弃成交候选人资格的；</w:t>
      </w:r>
    </w:p>
    <w:p w14:paraId="23FCFF16">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3、由于我单位的原因未能按照竞争性磋商文件的规定与采购人签订合同；</w:t>
      </w:r>
    </w:p>
    <w:p w14:paraId="757AF787">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4、由于我单位的原因未能按照竞争性磋商文件的规定交纳履约保证金；</w:t>
      </w:r>
    </w:p>
    <w:p w14:paraId="2396545F">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5、我单位在响应文件中提供虚假材料；</w:t>
      </w:r>
    </w:p>
    <w:p w14:paraId="08424AE4">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6、我单位与采购人、其他供应商或者采购代理机构恶意串通的；</w:t>
      </w:r>
    </w:p>
    <w:p w14:paraId="240C2962">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7、在响应文件有效期内，我单位在政府采购活动中有违法、违规、违纪行为。</w:t>
      </w:r>
    </w:p>
    <w:p w14:paraId="460E93BB">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七、如果我单位知晓上述行为的法律后果，承认本承诺书作为采购人及采购代理机构要求我单位履行违约赔偿义务的依据作用。</w:t>
      </w:r>
    </w:p>
    <w:p w14:paraId="7B198D5A">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由此产生的一切法律后果和责任由我单位承担。我单位声明放弃对此提出任何异议和追索的权利。</w:t>
      </w:r>
    </w:p>
    <w:p w14:paraId="592EBEB0">
      <w:pPr>
        <w:pageBreakBefore w:val="0"/>
        <w:overflowPunct/>
        <w:topLinePunct w:val="0"/>
        <w:bidi w:val="0"/>
        <w:snapToGrid w:val="0"/>
        <w:spacing w:line="48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我单位对上述承诺的内容事项真实性负责。如经查实上述承诺的内容事项存在虚假，我单位愿意接受以提供虚假材料谋取成交而被追究法律责任。</w:t>
      </w:r>
    </w:p>
    <w:p w14:paraId="7DA63497">
      <w:pPr>
        <w:pageBreakBefore w:val="0"/>
        <w:overflowPunct/>
        <w:topLinePunct w:val="0"/>
        <w:autoSpaceDE w:val="0"/>
        <w:autoSpaceDN w:val="0"/>
        <w:bidi w:val="0"/>
        <w:adjustRightInd w:val="0"/>
        <w:spacing w:line="480" w:lineRule="auto"/>
        <w:ind w:firstLine="482"/>
        <w:rPr>
          <w:rFonts w:hint="eastAsia" w:asciiTheme="minorEastAsia" w:hAnsiTheme="minorEastAsia" w:eastAsiaTheme="minorEastAsia" w:cstheme="minorEastAsia"/>
          <w:color w:val="auto"/>
          <w:sz w:val="21"/>
          <w:szCs w:val="21"/>
          <w:highlight w:val="none"/>
        </w:rPr>
      </w:pPr>
    </w:p>
    <w:p w14:paraId="4AA713C0">
      <w:pPr>
        <w:pageBreakBefore w:val="0"/>
        <w:overflowPunct/>
        <w:topLinePunct w:val="0"/>
        <w:autoSpaceDE w:val="0"/>
        <w:autoSpaceDN w:val="0"/>
        <w:bidi w:val="0"/>
        <w:adjustRightInd w:val="0"/>
        <w:spacing w:line="480" w:lineRule="auto"/>
        <w:ind w:firstLine="482"/>
        <w:rPr>
          <w:rFonts w:hint="eastAsia" w:asciiTheme="minorEastAsia" w:hAnsiTheme="minorEastAsia" w:eastAsiaTheme="minorEastAsia" w:cstheme="minorEastAsia"/>
          <w:color w:val="auto"/>
          <w:sz w:val="21"/>
          <w:szCs w:val="21"/>
          <w:highlight w:val="none"/>
        </w:rPr>
      </w:pPr>
    </w:p>
    <w:p w14:paraId="54BB3B78">
      <w:pPr>
        <w:pageBreakBefore w:val="0"/>
        <w:overflowPunct/>
        <w:topLinePunct w:val="0"/>
        <w:bidi w:val="0"/>
        <w:spacing w:line="480" w:lineRule="auto"/>
        <w:ind w:firstLine="422"/>
        <w:rPr>
          <w:rFonts w:hint="eastAsia" w:asciiTheme="minorEastAsia" w:hAnsiTheme="minorEastAsia" w:eastAsiaTheme="minorEastAsia" w:cstheme="minorEastAsia"/>
          <w:color w:val="auto"/>
          <w:sz w:val="21"/>
          <w:szCs w:val="21"/>
          <w:highlight w:val="none"/>
        </w:rPr>
      </w:pPr>
    </w:p>
    <w:p w14:paraId="60339166">
      <w:pPr>
        <w:pageBreakBefore w:val="0"/>
        <w:overflowPunct/>
        <w:topLinePunct w:val="0"/>
        <w:bidi w:val="0"/>
        <w:spacing w:line="480" w:lineRule="auto"/>
        <w:ind w:firstLine="480"/>
        <w:jc w:val="center"/>
        <w:rPr>
          <w:rFonts w:hint="eastAsia" w:asciiTheme="minorEastAsia" w:hAnsiTheme="minorEastAsia" w:eastAsiaTheme="minorEastAsia" w:cstheme="minorEastAsia"/>
          <w:b/>
          <w:color w:val="auto"/>
          <w:sz w:val="21"/>
          <w:szCs w:val="21"/>
          <w:highlight w:val="none"/>
        </w:rPr>
      </w:pPr>
    </w:p>
    <w:p w14:paraId="31107F66">
      <w:pPr>
        <w:pageBreakBefore w:val="0"/>
        <w:overflowPunct/>
        <w:topLinePunct w:val="0"/>
        <w:bidi w:val="0"/>
        <w:spacing w:line="480" w:lineRule="auto"/>
        <w:ind w:firstLine="2738" w:firstLineChars="1304"/>
        <w:jc w:val="righ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（盖企业电子章）</w:t>
      </w:r>
    </w:p>
    <w:p w14:paraId="39A7799D">
      <w:pPr>
        <w:pageBreakBefore w:val="0"/>
        <w:overflowPunct/>
        <w:topLinePunct w:val="0"/>
        <w:bidi w:val="0"/>
        <w:spacing w:line="480" w:lineRule="auto"/>
        <w:ind w:firstLine="2738" w:firstLineChars="1304"/>
        <w:jc w:val="righ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（签字或盖章或电子签章）</w:t>
      </w:r>
    </w:p>
    <w:p w14:paraId="508C5286">
      <w:pPr>
        <w:jc w:val="right"/>
        <w:rPr>
          <w:rFonts w:hint="eastAsia"/>
          <w:color w:val="auto"/>
          <w:highlight w:val="none"/>
        </w:rPr>
      </w:pPr>
      <w:r>
        <w:rPr>
          <w:rFonts w:hint="eastAsia"/>
          <w:color w:val="auto"/>
          <w:highlight w:val="none"/>
        </w:rPr>
        <w:t>日期：</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13E5EA04">
      <w:pPr>
        <w:rPr>
          <w:rFonts w:hint="eastAsia"/>
          <w:color w:val="auto"/>
          <w:highlight w:val="none"/>
        </w:rPr>
      </w:pPr>
      <w:r>
        <w:rPr>
          <w:rFonts w:hint="eastAsia"/>
          <w:color w:val="auto"/>
          <w:highlight w:val="none"/>
        </w:rPr>
        <w:br w:type="page"/>
      </w:r>
    </w:p>
    <w:p w14:paraId="2C49188D">
      <w:pPr>
        <w:pStyle w:val="6"/>
        <w:snapToGrid w:val="0"/>
        <w:jc w:val="center"/>
        <w:rPr>
          <w:rFonts w:hint="eastAsia" w:ascii="Times New Roman" w:hAnsi="Times New Roman" w:eastAsia="宋体" w:cs="Times New Roman"/>
          <w:b/>
          <w:bCs/>
          <w:color w:val="auto"/>
          <w:sz w:val="28"/>
          <w:szCs w:val="28"/>
          <w:highlight w:val="none"/>
          <w:lang w:bidi="zh-CN"/>
        </w:rPr>
      </w:pPr>
      <w:r>
        <w:rPr>
          <w:rFonts w:hint="eastAsia" w:ascii="Times New Roman" w:hAnsi="Times New Roman" w:cs="Times New Roman"/>
          <w:b/>
          <w:bCs/>
          <w:color w:val="auto"/>
          <w:sz w:val="28"/>
          <w:szCs w:val="28"/>
          <w:highlight w:val="none"/>
          <w:lang w:val="en-US" w:bidi="zh-CN"/>
        </w:rPr>
        <w:t>3.</w:t>
      </w:r>
      <w:r>
        <w:rPr>
          <w:rFonts w:hint="eastAsia" w:ascii="Times New Roman" w:hAnsi="Times New Roman" w:eastAsia="宋体" w:cs="Times New Roman"/>
          <w:b/>
          <w:bCs/>
          <w:color w:val="auto"/>
          <w:sz w:val="28"/>
          <w:szCs w:val="28"/>
          <w:highlight w:val="none"/>
          <w:lang w:bidi="zh-CN"/>
        </w:rPr>
        <w:t>招标代理服务费承诺函</w:t>
      </w:r>
    </w:p>
    <w:p w14:paraId="5E001310">
      <w:pPr>
        <w:spacing w:line="360" w:lineRule="auto"/>
        <w:rPr>
          <w:rStyle w:val="133"/>
          <w:rFonts w:ascii="宋体" w:hAnsi="宋体" w:eastAsia="宋体" w:cs="宋体"/>
          <w:color w:val="auto"/>
          <w:sz w:val="24"/>
          <w:szCs w:val="24"/>
          <w:highlight w:val="none"/>
        </w:rPr>
      </w:pPr>
    </w:p>
    <w:p w14:paraId="650BEE9D">
      <w:pPr>
        <w:spacing w:line="360" w:lineRule="auto"/>
        <w:rPr>
          <w:rStyle w:val="133"/>
          <w:rFonts w:ascii="宋体" w:hAnsi="宋体" w:eastAsia="宋体" w:cs="宋体"/>
          <w:color w:val="auto"/>
          <w:sz w:val="24"/>
          <w:szCs w:val="24"/>
          <w:highlight w:val="none"/>
        </w:rPr>
      </w:pPr>
      <w:r>
        <w:rPr>
          <w:rStyle w:val="133"/>
          <w:rFonts w:hint="eastAsia" w:ascii="宋体" w:hAnsi="宋体" w:eastAsia="宋体" w:cs="宋体"/>
          <w:color w:val="auto"/>
          <w:sz w:val="24"/>
          <w:szCs w:val="24"/>
          <w:highlight w:val="none"/>
        </w:rPr>
        <w:t>致（采购人及采购代理机构）：</w:t>
      </w:r>
    </w:p>
    <w:p w14:paraId="1406B68E">
      <w:pPr>
        <w:spacing w:line="360" w:lineRule="auto"/>
        <w:ind w:firstLine="480" w:firstLineChars="200"/>
        <w:rPr>
          <w:rStyle w:val="133"/>
          <w:rFonts w:ascii="宋体" w:hAnsi="宋体" w:eastAsia="宋体" w:cs="宋体"/>
          <w:color w:val="auto"/>
          <w:sz w:val="24"/>
          <w:szCs w:val="24"/>
          <w:highlight w:val="none"/>
        </w:rPr>
      </w:pPr>
      <w:r>
        <w:rPr>
          <w:rStyle w:val="133"/>
          <w:rFonts w:hint="eastAsia" w:ascii="宋体" w:hAnsi="宋体" w:eastAsia="宋体" w:cs="宋体"/>
          <w:color w:val="auto"/>
          <w:sz w:val="24"/>
          <w:szCs w:val="24"/>
          <w:highlight w:val="none"/>
        </w:rPr>
        <w:t>我们在贵公司组织的（项目名称：                   ，</w:t>
      </w:r>
      <w:r>
        <w:rPr>
          <w:rStyle w:val="133"/>
          <w:rFonts w:hint="eastAsia" w:ascii="宋体" w:hAnsi="宋体" w:eastAsia="宋体" w:cs="宋体"/>
          <w:color w:val="auto"/>
          <w:sz w:val="24"/>
          <w:szCs w:val="24"/>
          <w:highlight w:val="none"/>
          <w:lang w:eastAsia="zh-CN"/>
        </w:rPr>
        <w:t>采购编号</w:t>
      </w:r>
      <w:r>
        <w:rPr>
          <w:rStyle w:val="133"/>
          <w:rFonts w:hint="eastAsia" w:ascii="宋体" w:hAnsi="宋体" w:eastAsia="宋体" w:cs="宋体"/>
          <w:color w:val="auto"/>
          <w:sz w:val="24"/>
          <w:szCs w:val="24"/>
          <w:highlight w:val="none"/>
        </w:rPr>
        <w:t>：             ）招标中若获中标，我们保证在领取中标通知书之前，按招标文件的规定，以支票、银行转账、汇票或现金，向贵公司一次性支付招标代理服务费用。否则，由此产生的一切法律后果和责任由我公司承担。我公司声明放弃对此提出任何异议和追索的权利。</w:t>
      </w:r>
    </w:p>
    <w:p w14:paraId="6972BE73">
      <w:pPr>
        <w:spacing w:line="360" w:lineRule="auto"/>
        <w:rPr>
          <w:rStyle w:val="133"/>
          <w:rFonts w:ascii="宋体" w:hAnsi="宋体" w:eastAsia="宋体" w:cs="宋体"/>
          <w:color w:val="auto"/>
          <w:sz w:val="24"/>
          <w:szCs w:val="24"/>
          <w:highlight w:val="none"/>
        </w:rPr>
      </w:pPr>
      <w:r>
        <w:rPr>
          <w:rStyle w:val="133"/>
          <w:rFonts w:hint="eastAsia" w:ascii="宋体" w:hAnsi="宋体" w:eastAsia="宋体" w:cs="宋体"/>
          <w:color w:val="auto"/>
          <w:sz w:val="24"/>
          <w:szCs w:val="24"/>
          <w:highlight w:val="none"/>
        </w:rPr>
        <w:t>特此承诺。</w:t>
      </w:r>
    </w:p>
    <w:p w14:paraId="19403FE5">
      <w:pPr>
        <w:spacing w:line="360" w:lineRule="auto"/>
        <w:rPr>
          <w:rStyle w:val="133"/>
          <w:rFonts w:ascii="宋体" w:hAnsi="宋体" w:eastAsia="宋体" w:cs="宋体"/>
          <w:color w:val="auto"/>
          <w:sz w:val="24"/>
          <w:szCs w:val="24"/>
          <w:highlight w:val="none"/>
        </w:rPr>
      </w:pPr>
    </w:p>
    <w:p w14:paraId="306EDB8D">
      <w:pPr>
        <w:spacing w:line="360" w:lineRule="auto"/>
        <w:rPr>
          <w:rStyle w:val="133"/>
          <w:rFonts w:ascii="宋体" w:hAnsi="宋体" w:eastAsia="宋体" w:cs="宋体"/>
          <w:color w:val="auto"/>
          <w:sz w:val="24"/>
          <w:szCs w:val="24"/>
          <w:highlight w:val="none"/>
        </w:rPr>
      </w:pPr>
    </w:p>
    <w:p w14:paraId="71804BF3">
      <w:pPr>
        <w:spacing w:line="360" w:lineRule="auto"/>
        <w:rPr>
          <w:rStyle w:val="133"/>
          <w:rFonts w:ascii="宋体" w:hAnsi="宋体" w:eastAsia="宋体" w:cs="宋体"/>
          <w:color w:val="auto"/>
          <w:sz w:val="24"/>
          <w:szCs w:val="24"/>
          <w:highlight w:val="none"/>
        </w:rPr>
      </w:pPr>
    </w:p>
    <w:p w14:paraId="49684E99">
      <w:pPr>
        <w:spacing w:line="360" w:lineRule="auto"/>
        <w:rPr>
          <w:rStyle w:val="133"/>
          <w:rFonts w:ascii="宋体" w:hAnsi="宋体" w:eastAsia="宋体" w:cs="宋体"/>
          <w:color w:val="auto"/>
          <w:sz w:val="24"/>
          <w:szCs w:val="24"/>
          <w:highlight w:val="none"/>
        </w:rPr>
      </w:pPr>
    </w:p>
    <w:p w14:paraId="7FC85999">
      <w:pPr>
        <w:spacing w:line="360" w:lineRule="auto"/>
        <w:rPr>
          <w:rStyle w:val="133"/>
          <w:rFonts w:ascii="宋体" w:hAnsi="宋体" w:eastAsia="宋体" w:cs="宋体"/>
          <w:color w:val="auto"/>
          <w:sz w:val="24"/>
          <w:szCs w:val="24"/>
          <w:highlight w:val="none"/>
        </w:rPr>
      </w:pPr>
    </w:p>
    <w:p w14:paraId="1F303805">
      <w:pPr>
        <w:spacing w:line="360" w:lineRule="auto"/>
        <w:rPr>
          <w:rStyle w:val="133"/>
          <w:rFonts w:ascii="宋体" w:hAnsi="宋体" w:eastAsia="宋体" w:cs="宋体"/>
          <w:color w:val="auto"/>
          <w:sz w:val="24"/>
          <w:szCs w:val="24"/>
          <w:highlight w:val="none"/>
        </w:rPr>
      </w:pPr>
    </w:p>
    <w:p w14:paraId="4CD932DC">
      <w:pPr>
        <w:spacing w:line="360" w:lineRule="auto"/>
        <w:rPr>
          <w:rStyle w:val="133"/>
          <w:rFonts w:ascii="宋体" w:hAnsi="宋体" w:eastAsia="宋体" w:cs="宋体"/>
          <w:color w:val="auto"/>
          <w:sz w:val="24"/>
          <w:szCs w:val="24"/>
          <w:highlight w:val="none"/>
        </w:rPr>
      </w:pPr>
      <w:r>
        <w:rPr>
          <w:rStyle w:val="133"/>
          <w:rFonts w:hint="eastAsia" w:ascii="宋体" w:hAnsi="宋体" w:eastAsia="宋体" w:cs="宋体"/>
          <w:color w:val="auto"/>
          <w:sz w:val="24"/>
          <w:szCs w:val="24"/>
          <w:highlight w:val="none"/>
        </w:rPr>
        <w:t>承诺人：               （企业电子签章）</w:t>
      </w:r>
    </w:p>
    <w:p w14:paraId="2825780C">
      <w:pPr>
        <w:spacing w:line="360" w:lineRule="auto"/>
        <w:rPr>
          <w:rStyle w:val="133"/>
          <w:rFonts w:ascii="宋体" w:hAnsi="宋体" w:eastAsia="宋体" w:cs="宋体"/>
          <w:color w:val="auto"/>
          <w:sz w:val="24"/>
          <w:szCs w:val="24"/>
          <w:highlight w:val="none"/>
        </w:rPr>
      </w:pPr>
      <w:r>
        <w:rPr>
          <w:rStyle w:val="133"/>
          <w:rFonts w:hint="eastAsia" w:ascii="宋体" w:hAnsi="宋体" w:eastAsia="宋体" w:cs="宋体"/>
          <w:color w:val="auto"/>
          <w:sz w:val="24"/>
          <w:szCs w:val="24"/>
          <w:highlight w:val="none"/>
        </w:rPr>
        <w:t>法定代表人或授权委托人：                （</w:t>
      </w:r>
      <w:r>
        <w:rPr>
          <w:rStyle w:val="133"/>
          <w:rFonts w:hint="eastAsia" w:ascii="Times New Roman" w:hAnsi="Times New Roman" w:eastAsia="宋体" w:cs="Times New Roman"/>
          <w:color w:val="auto"/>
          <w:sz w:val="24"/>
          <w:szCs w:val="24"/>
          <w:highlight w:val="none"/>
        </w:rPr>
        <w:t>签字或盖章或电子签章</w:t>
      </w:r>
      <w:r>
        <w:rPr>
          <w:rStyle w:val="133"/>
          <w:rFonts w:hint="eastAsia" w:ascii="宋体" w:hAnsi="宋体" w:eastAsia="宋体" w:cs="宋体"/>
          <w:color w:val="auto"/>
          <w:sz w:val="24"/>
          <w:szCs w:val="24"/>
          <w:highlight w:val="none"/>
        </w:rPr>
        <w:t>）</w:t>
      </w:r>
    </w:p>
    <w:p w14:paraId="0FE3B4C0">
      <w:pPr>
        <w:rPr>
          <w:rFonts w:hint="eastAsia" w:asciiTheme="minorEastAsia" w:hAnsiTheme="minorEastAsia" w:eastAsiaTheme="minorEastAsia" w:cstheme="minorEastAsia"/>
          <w:bCs w:val="0"/>
          <w:color w:val="auto"/>
          <w:kern w:val="0"/>
          <w:sz w:val="28"/>
          <w:szCs w:val="28"/>
          <w:highlight w:val="none"/>
          <w:lang w:bidi="zh-CN"/>
        </w:rPr>
      </w:pPr>
      <w:r>
        <w:rPr>
          <w:rStyle w:val="133"/>
          <w:rFonts w:hint="eastAsia" w:ascii="宋体" w:hAnsi="宋体" w:eastAsia="宋体" w:cs="宋体"/>
          <w:color w:val="auto"/>
          <w:sz w:val="24"/>
          <w:szCs w:val="24"/>
          <w:highlight w:val="none"/>
        </w:rPr>
        <w:t>承诺日期：</w:t>
      </w:r>
      <w:r>
        <w:rPr>
          <w:rFonts w:hint="eastAsia" w:asciiTheme="minorEastAsia" w:hAnsiTheme="minorEastAsia" w:eastAsiaTheme="minorEastAsia" w:cstheme="minorEastAsia"/>
          <w:bCs w:val="0"/>
          <w:color w:val="auto"/>
          <w:kern w:val="0"/>
          <w:sz w:val="28"/>
          <w:szCs w:val="28"/>
          <w:highlight w:val="none"/>
          <w:lang w:bidi="zh-CN"/>
        </w:rPr>
        <w:br w:type="page"/>
      </w:r>
    </w:p>
    <w:p w14:paraId="290AA20B">
      <w:pPr>
        <w:pStyle w:val="6"/>
        <w:pageBreakBefore w:val="0"/>
        <w:overflowPunct/>
        <w:topLinePunct w:val="0"/>
        <w:bidi w:val="0"/>
        <w:spacing w:before="42" w:line="360" w:lineRule="auto"/>
        <w:ind w:right="439" w:firstLine="602"/>
        <w:jc w:val="center"/>
        <w:rPr>
          <w:rFonts w:hint="eastAsia" w:asciiTheme="minorEastAsia" w:hAnsiTheme="minorEastAsia" w:eastAsiaTheme="minorEastAsia" w:cstheme="minorEastAsia"/>
          <w:bCs w:val="0"/>
          <w:color w:val="auto"/>
          <w:kern w:val="0"/>
          <w:sz w:val="28"/>
          <w:szCs w:val="28"/>
          <w:highlight w:val="none"/>
          <w:lang w:bidi="zh-CN"/>
        </w:rPr>
      </w:pPr>
      <w:r>
        <w:rPr>
          <w:rFonts w:hint="eastAsia" w:asciiTheme="minorEastAsia" w:hAnsiTheme="minorEastAsia" w:eastAsiaTheme="minorEastAsia" w:cstheme="minorEastAsia"/>
          <w:bCs w:val="0"/>
          <w:color w:val="auto"/>
          <w:kern w:val="0"/>
          <w:sz w:val="28"/>
          <w:szCs w:val="28"/>
          <w:highlight w:val="none"/>
          <w:lang w:val="en-US" w:bidi="zh-CN"/>
        </w:rPr>
        <w:t>十二、</w:t>
      </w:r>
      <w:r>
        <w:rPr>
          <w:rStyle w:val="117"/>
          <w:rFonts w:hAnsi="Times New Roman"/>
          <w:b/>
          <w:color w:val="auto"/>
          <w:sz w:val="28"/>
          <w:szCs w:val="28"/>
          <w:highlight w:val="none"/>
        </w:rPr>
        <w:t>投标人认为需要提供的其他材料</w:t>
      </w:r>
    </w:p>
    <w:p w14:paraId="68A613DD">
      <w:pPr>
        <w:rPr>
          <w:rFonts w:hint="eastAsia"/>
          <w:color w:val="auto"/>
          <w:highlight w:val="none"/>
        </w:rPr>
      </w:pPr>
      <w:bookmarkStart w:id="257" w:name="_bookmark47"/>
      <w:bookmarkEnd w:id="257"/>
      <w:bookmarkStart w:id="258" w:name="5-2供应商为监狱企业声明函"/>
      <w:bookmarkEnd w:id="258"/>
      <w:bookmarkStart w:id="259" w:name="_Toc13241"/>
      <w:bookmarkStart w:id="260" w:name="_Toc32496"/>
      <w:bookmarkStart w:id="261" w:name="_Toc703"/>
      <w:bookmarkStart w:id="262" w:name="_Toc27799"/>
      <w:bookmarkStart w:id="263" w:name="_Toc25284"/>
      <w:bookmarkStart w:id="264" w:name="_Toc10142"/>
      <w:bookmarkStart w:id="265" w:name="_Toc2211"/>
      <w:bookmarkStart w:id="266" w:name="_Toc13736"/>
      <w:r>
        <w:rPr>
          <w:rFonts w:hint="eastAsia"/>
          <w:color w:val="auto"/>
          <w:highlight w:val="none"/>
        </w:rPr>
        <w:t>供应商认为有必要的其它资料（如有）</w:t>
      </w:r>
      <w:bookmarkEnd w:id="259"/>
      <w:bookmarkEnd w:id="260"/>
      <w:bookmarkEnd w:id="261"/>
      <w:bookmarkEnd w:id="262"/>
      <w:bookmarkEnd w:id="263"/>
      <w:bookmarkEnd w:id="264"/>
    </w:p>
    <w:p w14:paraId="2D300785">
      <w:pPr>
        <w:rPr>
          <w:rFonts w:hint="eastAsia"/>
          <w:color w:val="auto"/>
          <w:highlight w:val="none"/>
        </w:rPr>
      </w:pPr>
    </w:p>
    <w:p w14:paraId="55BEF06A">
      <w:pPr>
        <w:rPr>
          <w:rFonts w:hint="eastAsia"/>
          <w:color w:val="auto"/>
          <w:highlight w:val="none"/>
        </w:rPr>
      </w:pPr>
    </w:p>
    <w:p w14:paraId="2EC4C5E4">
      <w:pPr>
        <w:rPr>
          <w:rFonts w:hint="eastAsia"/>
          <w:color w:val="auto"/>
          <w:highlight w:val="none"/>
        </w:rPr>
      </w:pPr>
    </w:p>
    <w:p w14:paraId="6287F56F">
      <w:pPr>
        <w:rPr>
          <w:rFonts w:hint="eastAsia"/>
          <w:color w:val="auto"/>
          <w:highlight w:val="none"/>
        </w:rPr>
      </w:pPr>
    </w:p>
    <w:p w14:paraId="1BB4C4C4">
      <w:pPr>
        <w:rPr>
          <w:rFonts w:hint="eastAsia"/>
          <w:color w:val="auto"/>
          <w:highlight w:val="none"/>
        </w:rPr>
      </w:pPr>
    </w:p>
    <w:p w14:paraId="06AA8A6A">
      <w:pPr>
        <w:rPr>
          <w:rFonts w:hint="eastAsia"/>
          <w:color w:val="auto"/>
          <w:highlight w:val="none"/>
        </w:rPr>
      </w:pPr>
    </w:p>
    <w:p w14:paraId="377EB688">
      <w:pPr>
        <w:rPr>
          <w:rFonts w:hint="eastAsia"/>
          <w:color w:val="auto"/>
          <w:highlight w:val="none"/>
        </w:rPr>
      </w:pPr>
    </w:p>
    <w:p w14:paraId="082E5AD8">
      <w:pPr>
        <w:rPr>
          <w:rFonts w:hint="eastAsia"/>
          <w:color w:val="auto"/>
          <w:highlight w:val="none"/>
        </w:rPr>
      </w:pPr>
    </w:p>
    <w:p w14:paraId="72E20A89">
      <w:pPr>
        <w:rPr>
          <w:rFonts w:hint="eastAsia"/>
          <w:color w:val="auto"/>
          <w:highlight w:val="none"/>
        </w:rPr>
      </w:pPr>
    </w:p>
    <w:p w14:paraId="74C719AE">
      <w:pPr>
        <w:rPr>
          <w:rFonts w:hint="eastAsia"/>
          <w:color w:val="auto"/>
          <w:highlight w:val="none"/>
        </w:rPr>
      </w:pPr>
    </w:p>
    <w:p w14:paraId="1DE16FE6">
      <w:pPr>
        <w:rPr>
          <w:rFonts w:hint="eastAsia"/>
          <w:color w:val="auto"/>
          <w:highlight w:val="none"/>
        </w:rPr>
      </w:pPr>
    </w:p>
    <w:p w14:paraId="69A3B790">
      <w:pPr>
        <w:rPr>
          <w:rFonts w:hint="eastAsia"/>
          <w:color w:val="auto"/>
          <w:highlight w:val="none"/>
        </w:rPr>
      </w:pPr>
    </w:p>
    <w:p w14:paraId="7A3F851C">
      <w:pPr>
        <w:rPr>
          <w:rFonts w:hint="eastAsia"/>
          <w:color w:val="auto"/>
          <w:highlight w:val="none"/>
        </w:rPr>
      </w:pPr>
    </w:p>
    <w:p w14:paraId="61472740">
      <w:pPr>
        <w:rPr>
          <w:rFonts w:hint="eastAsia"/>
          <w:color w:val="auto"/>
          <w:highlight w:val="none"/>
        </w:rPr>
      </w:pPr>
    </w:p>
    <w:p w14:paraId="5104A2A9">
      <w:pPr>
        <w:rPr>
          <w:rFonts w:hint="eastAsia"/>
          <w:color w:val="auto"/>
          <w:highlight w:val="none"/>
        </w:rPr>
      </w:pPr>
    </w:p>
    <w:p w14:paraId="68FDDC60">
      <w:pPr>
        <w:rPr>
          <w:rFonts w:hint="eastAsia"/>
          <w:color w:val="auto"/>
          <w:highlight w:val="none"/>
        </w:rPr>
      </w:pPr>
    </w:p>
    <w:p w14:paraId="35CA6492">
      <w:pPr>
        <w:rPr>
          <w:rFonts w:hint="eastAsia"/>
          <w:color w:val="auto"/>
          <w:highlight w:val="none"/>
        </w:rPr>
      </w:pPr>
    </w:p>
    <w:p w14:paraId="45A13ECD">
      <w:pPr>
        <w:rPr>
          <w:rFonts w:hint="eastAsia"/>
          <w:color w:val="auto"/>
          <w:highlight w:val="none"/>
        </w:rPr>
      </w:pPr>
    </w:p>
    <w:p w14:paraId="2E42E41F">
      <w:pPr>
        <w:rPr>
          <w:rFonts w:hint="eastAsia"/>
          <w:color w:val="auto"/>
          <w:highlight w:val="none"/>
        </w:rPr>
      </w:pPr>
    </w:p>
    <w:p w14:paraId="64E9C314">
      <w:pPr>
        <w:rPr>
          <w:rFonts w:hint="eastAsia"/>
          <w:color w:val="auto"/>
          <w:highlight w:val="none"/>
        </w:rPr>
      </w:pPr>
    </w:p>
    <w:p w14:paraId="3B12ED26">
      <w:pPr>
        <w:rPr>
          <w:rFonts w:hint="eastAsia"/>
          <w:color w:val="auto"/>
          <w:highlight w:val="none"/>
        </w:rPr>
      </w:pPr>
    </w:p>
    <w:p w14:paraId="1AB2971C">
      <w:pPr>
        <w:rPr>
          <w:rFonts w:hint="eastAsia"/>
          <w:color w:val="auto"/>
          <w:highlight w:val="none"/>
        </w:rPr>
      </w:pPr>
    </w:p>
    <w:p w14:paraId="391EBC4B">
      <w:pPr>
        <w:rPr>
          <w:rFonts w:hint="eastAsia"/>
          <w:color w:val="auto"/>
          <w:highlight w:val="none"/>
        </w:rPr>
      </w:pPr>
    </w:p>
    <w:p w14:paraId="7FE3775F">
      <w:pPr>
        <w:rPr>
          <w:rFonts w:hint="eastAsia"/>
          <w:color w:val="auto"/>
          <w:highlight w:val="none"/>
        </w:rPr>
      </w:pPr>
    </w:p>
    <w:p w14:paraId="3790CDD1">
      <w:pPr>
        <w:rPr>
          <w:rFonts w:hint="eastAsia"/>
          <w:color w:val="auto"/>
          <w:highlight w:val="none"/>
        </w:rPr>
      </w:pPr>
    </w:p>
    <w:p w14:paraId="3C2A1509">
      <w:pPr>
        <w:rPr>
          <w:rFonts w:hint="eastAsia"/>
          <w:color w:val="auto"/>
          <w:highlight w:val="none"/>
        </w:rPr>
      </w:pPr>
    </w:p>
    <w:p w14:paraId="543D8629">
      <w:pPr>
        <w:rPr>
          <w:rFonts w:hint="eastAsia"/>
          <w:color w:val="auto"/>
          <w:highlight w:val="none"/>
        </w:rPr>
      </w:pPr>
      <w:r>
        <w:rPr>
          <w:rFonts w:hint="eastAsia"/>
          <w:color w:val="auto"/>
          <w:highlight w:val="none"/>
        </w:rPr>
        <w:br w:type="page"/>
      </w:r>
    </w:p>
    <w:p w14:paraId="678010C6">
      <w:pPr>
        <w:rPr>
          <w:rFonts w:hint="eastAsia"/>
          <w:color w:val="auto"/>
          <w:highlight w:val="none"/>
        </w:rPr>
      </w:pPr>
    </w:p>
    <w:p w14:paraId="0DD15E81">
      <w:pPr>
        <w:pStyle w:val="6"/>
        <w:pageBreakBefore w:val="0"/>
        <w:overflowPunct/>
        <w:topLinePunct w:val="0"/>
        <w:bidi w:val="0"/>
        <w:spacing w:before="0" w:after="0" w:line="360" w:lineRule="auto"/>
        <w:ind w:right="437" w:firstLine="602"/>
        <w:jc w:val="center"/>
        <w:rPr>
          <w:rFonts w:hint="eastAsia" w:asciiTheme="minorEastAsia" w:hAnsiTheme="minorEastAsia" w:eastAsiaTheme="minorEastAsia" w:cstheme="minorEastAsia"/>
          <w:bCs w:val="0"/>
          <w:color w:val="auto"/>
          <w:kern w:val="0"/>
          <w:sz w:val="28"/>
          <w:szCs w:val="28"/>
          <w:highlight w:val="none"/>
          <w:lang w:bidi="zh-CN"/>
        </w:rPr>
      </w:pPr>
      <w:r>
        <w:rPr>
          <w:rFonts w:hint="eastAsia" w:asciiTheme="minorEastAsia" w:hAnsiTheme="minorEastAsia" w:eastAsiaTheme="minorEastAsia" w:cstheme="minorEastAsia"/>
          <w:bCs w:val="0"/>
          <w:color w:val="auto"/>
          <w:kern w:val="0"/>
          <w:sz w:val="28"/>
          <w:szCs w:val="28"/>
          <w:highlight w:val="none"/>
          <w:lang w:bidi="zh-CN"/>
        </w:rPr>
        <w:t>十</w:t>
      </w:r>
      <w:r>
        <w:rPr>
          <w:rFonts w:hint="eastAsia" w:asciiTheme="minorEastAsia" w:hAnsiTheme="minorEastAsia" w:eastAsiaTheme="minorEastAsia" w:cstheme="minorEastAsia"/>
          <w:bCs w:val="0"/>
          <w:color w:val="auto"/>
          <w:kern w:val="0"/>
          <w:sz w:val="28"/>
          <w:szCs w:val="28"/>
          <w:highlight w:val="none"/>
          <w:lang w:val="en-US" w:bidi="zh-CN"/>
        </w:rPr>
        <w:t>三</w:t>
      </w:r>
      <w:r>
        <w:rPr>
          <w:rFonts w:hint="eastAsia" w:asciiTheme="minorEastAsia" w:hAnsiTheme="minorEastAsia" w:eastAsiaTheme="minorEastAsia" w:cstheme="minorEastAsia"/>
          <w:bCs w:val="0"/>
          <w:color w:val="auto"/>
          <w:kern w:val="0"/>
          <w:sz w:val="28"/>
          <w:szCs w:val="28"/>
          <w:highlight w:val="none"/>
          <w:lang w:bidi="zh-CN"/>
        </w:rPr>
        <w:t>、符合《政府采购促进中小企业发展管理办法》</w:t>
      </w:r>
    </w:p>
    <w:p w14:paraId="1218A349">
      <w:pPr>
        <w:jc w:val="center"/>
        <w:rPr>
          <w:rFonts w:hint="eastAsia"/>
          <w:b/>
          <w:bCs/>
          <w:color w:val="auto"/>
          <w:sz w:val="28"/>
          <w:szCs w:val="36"/>
          <w:highlight w:val="none"/>
        </w:rPr>
      </w:pPr>
      <w:bookmarkStart w:id="267" w:name="《关于政府采购支持监狱企业发展有关问题的通知》"/>
      <w:bookmarkEnd w:id="267"/>
      <w:bookmarkStart w:id="268" w:name="_Toc70524596"/>
      <w:r>
        <w:rPr>
          <w:rFonts w:hint="eastAsia"/>
          <w:b/>
          <w:bCs/>
          <w:color w:val="auto"/>
          <w:sz w:val="28"/>
          <w:szCs w:val="36"/>
          <w:highlight w:val="none"/>
        </w:rPr>
        <w:t>《关于政府采购支持监狱企业发展有关问题的通知》</w:t>
      </w:r>
      <w:bookmarkEnd w:id="268"/>
    </w:p>
    <w:p w14:paraId="604BA6F5">
      <w:pPr>
        <w:jc w:val="center"/>
        <w:rPr>
          <w:rFonts w:hint="eastAsia"/>
          <w:b/>
          <w:bCs/>
          <w:color w:val="auto"/>
          <w:sz w:val="28"/>
          <w:szCs w:val="36"/>
          <w:highlight w:val="none"/>
        </w:rPr>
      </w:pPr>
      <w:bookmarkStart w:id="269" w:name="《三部门联合发布关于促进残疾人就业政府采购政策的通知》"/>
      <w:bookmarkEnd w:id="269"/>
      <w:bookmarkStart w:id="270" w:name="_Toc70524597"/>
      <w:r>
        <w:rPr>
          <w:rFonts w:hint="eastAsia"/>
          <w:b/>
          <w:bCs/>
          <w:color w:val="auto"/>
          <w:sz w:val="28"/>
          <w:szCs w:val="36"/>
          <w:highlight w:val="none"/>
        </w:rPr>
        <w:t>《三部门联合发布关于促进残疾人就业政府采购政策的通知》</w:t>
      </w:r>
      <w:bookmarkStart w:id="271" w:name="价格扣减条件的供应商须提交资料"/>
      <w:bookmarkEnd w:id="271"/>
      <w:r>
        <w:rPr>
          <w:rFonts w:hint="eastAsia"/>
          <w:b/>
          <w:bCs/>
          <w:color w:val="auto"/>
          <w:sz w:val="28"/>
          <w:szCs w:val="36"/>
          <w:highlight w:val="none"/>
        </w:rPr>
        <w:t>价格扣减条件的供应商须提交资料</w:t>
      </w:r>
      <w:bookmarkEnd w:id="270"/>
    </w:p>
    <w:p w14:paraId="7F49D27E">
      <w:pPr>
        <w:rPr>
          <w:rFonts w:hint="eastAsia"/>
          <w:color w:val="auto"/>
          <w:highlight w:val="none"/>
        </w:rPr>
      </w:pPr>
    </w:p>
    <w:p w14:paraId="2A61DE0C">
      <w:pPr>
        <w:pageBreakBefore w:val="0"/>
        <w:overflowPunct/>
        <w:topLinePunct w:val="0"/>
        <w:bidi w:val="0"/>
        <w:spacing w:line="360" w:lineRule="auto"/>
        <w:ind w:firstLine="480"/>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color w:val="auto"/>
          <w:sz w:val="22"/>
          <w:szCs w:val="22"/>
          <w:highlight w:val="none"/>
        </w:rPr>
        <w:t>1.</w:t>
      </w:r>
      <w:bookmarkEnd w:id="265"/>
      <w:bookmarkEnd w:id="266"/>
      <w:bookmarkStart w:id="272" w:name="5-3供应商为残疾人福利性单位声明函"/>
      <w:bookmarkEnd w:id="272"/>
      <w:bookmarkStart w:id="273" w:name="_bookmark48"/>
      <w:bookmarkEnd w:id="273"/>
      <w:bookmarkStart w:id="274" w:name="_Toc61274051"/>
      <w:bookmarkStart w:id="275" w:name="_Toc13818"/>
      <w:r>
        <w:rPr>
          <w:rFonts w:hint="eastAsia" w:asciiTheme="minorEastAsia" w:hAnsiTheme="minorEastAsia" w:eastAsiaTheme="minorEastAsia" w:cstheme="minorEastAsia"/>
          <w:b/>
          <w:bCs/>
          <w:color w:val="auto"/>
          <w:sz w:val="22"/>
          <w:szCs w:val="22"/>
          <w:highlight w:val="none"/>
        </w:rPr>
        <w:t>中小企业声明函（货物）</w:t>
      </w:r>
      <w:bookmarkEnd w:id="274"/>
      <w:r>
        <w:rPr>
          <w:rFonts w:hint="eastAsia" w:asciiTheme="minorEastAsia" w:hAnsiTheme="minorEastAsia" w:eastAsiaTheme="minorEastAsia" w:cstheme="minorEastAsia"/>
          <w:b/>
          <w:color w:val="auto"/>
          <w:sz w:val="22"/>
          <w:szCs w:val="22"/>
          <w:highlight w:val="none"/>
        </w:rPr>
        <w:t>（如有）</w:t>
      </w:r>
    </w:p>
    <w:p w14:paraId="5D17652A">
      <w:pPr>
        <w:pageBreakBefore w:val="0"/>
        <w:overflowPunct/>
        <w:topLinePunct w:val="0"/>
        <w:bidi w:val="0"/>
        <w:spacing w:line="360" w:lineRule="auto"/>
        <w:ind w:firstLine="482"/>
        <w:jc w:val="left"/>
        <w:rPr>
          <w:rFonts w:hint="eastAsia" w:asciiTheme="minorEastAsia" w:hAnsiTheme="minorEastAsia" w:eastAsiaTheme="minorEastAsia" w:cstheme="minorEastAsia"/>
          <w:color w:val="auto"/>
          <w:sz w:val="21"/>
          <w:szCs w:val="21"/>
          <w:highlight w:val="none"/>
        </w:rPr>
      </w:pPr>
    </w:p>
    <w:p w14:paraId="635C0675">
      <w:pPr>
        <w:pageBreakBefore w:val="0"/>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631CC86F">
      <w:pPr>
        <w:pageBreakBefore w:val="0"/>
        <w:numPr>
          <w:ilvl w:val="0"/>
          <w:numId w:val="10"/>
        </w:numPr>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（标的名称）</w:t>
      </w:r>
      <w:r>
        <w:rPr>
          <w:rFonts w:hint="eastAsia" w:asciiTheme="minorEastAsia" w:hAnsiTheme="minorEastAsia" w:eastAsiaTheme="minorEastAsia" w:cstheme="minorEastAsia"/>
          <w:color w:val="auto"/>
          <w:sz w:val="21"/>
          <w:szCs w:val="21"/>
          <w:highlight w:val="none"/>
        </w:rPr>
        <w:t>，属于</w:t>
      </w:r>
      <w:r>
        <w:rPr>
          <w:rFonts w:hint="eastAsia" w:asciiTheme="minorEastAsia" w:hAnsiTheme="minorEastAsia" w:eastAsiaTheme="minorEastAsia" w:cstheme="minorEastAsia"/>
          <w:color w:val="auto"/>
          <w:sz w:val="21"/>
          <w:szCs w:val="21"/>
          <w:highlight w:val="none"/>
          <w:u w:val="single"/>
        </w:rPr>
        <w:t>（采购文件中明确的所属行业）</w:t>
      </w:r>
      <w:r>
        <w:rPr>
          <w:rFonts w:hint="eastAsia" w:asciiTheme="minorEastAsia" w:hAnsiTheme="minorEastAsia" w:eastAsiaTheme="minorEastAsia" w:cstheme="minorEastAsia"/>
          <w:color w:val="auto"/>
          <w:sz w:val="21"/>
          <w:szCs w:val="21"/>
          <w:highlight w:val="none"/>
        </w:rPr>
        <w:t>行业；制造商为（企业名称），从业人员</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人，营业收入为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万元，资产总额为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万元，属于（中型企业、小型企业、微型企业）； </w:t>
      </w:r>
    </w:p>
    <w:p w14:paraId="431F90A5">
      <w:pPr>
        <w:pageBreakBefore w:val="0"/>
        <w:numPr>
          <w:ilvl w:val="0"/>
          <w:numId w:val="10"/>
        </w:numPr>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（标的名称）</w:t>
      </w:r>
      <w:r>
        <w:rPr>
          <w:rFonts w:hint="eastAsia" w:asciiTheme="minorEastAsia" w:hAnsiTheme="minorEastAsia" w:eastAsiaTheme="minorEastAsia" w:cstheme="minorEastAsia"/>
          <w:color w:val="auto"/>
          <w:sz w:val="21"/>
          <w:szCs w:val="21"/>
          <w:highlight w:val="none"/>
        </w:rPr>
        <w:t>，属于</w:t>
      </w:r>
      <w:r>
        <w:rPr>
          <w:rFonts w:hint="eastAsia" w:asciiTheme="minorEastAsia" w:hAnsiTheme="minorEastAsia" w:eastAsiaTheme="minorEastAsia" w:cstheme="minorEastAsia"/>
          <w:color w:val="auto"/>
          <w:sz w:val="21"/>
          <w:szCs w:val="21"/>
          <w:highlight w:val="none"/>
          <w:u w:val="single"/>
        </w:rPr>
        <w:t>（采购文件中明确的所属行业）</w:t>
      </w:r>
      <w:r>
        <w:rPr>
          <w:rFonts w:hint="eastAsia" w:asciiTheme="minorEastAsia" w:hAnsiTheme="minorEastAsia" w:eastAsiaTheme="minorEastAsia" w:cstheme="minorEastAsia"/>
          <w:color w:val="auto"/>
          <w:sz w:val="21"/>
          <w:szCs w:val="21"/>
          <w:highlight w:val="none"/>
        </w:rPr>
        <w:t>行业；制造商为（企业名称），从业人员</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人，营业收入为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万元，资产总额为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万元，属于（中型企业、小型企业、微型企业）</w:t>
      </w:r>
    </w:p>
    <w:p w14:paraId="368FFBEE">
      <w:pPr>
        <w:pageBreakBefore w:val="0"/>
        <w:overflowPunct/>
        <w:topLinePunct w:val="0"/>
        <w:bidi w:val="0"/>
        <w:spacing w:line="360" w:lineRule="auto"/>
        <w:ind w:left="420" w:leftChars="200" w:firstLine="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p w14:paraId="1C1E7B51">
      <w:pPr>
        <w:pageBreakBefore w:val="0"/>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以上企业，不属于大企业的分支机构，不存在控股股东为大企业的情形，也不存在与大企业的负责人为同一人的情形。</w:t>
      </w:r>
    </w:p>
    <w:p w14:paraId="4CCA0A94">
      <w:pPr>
        <w:pageBreakBefore w:val="0"/>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本企业对上述声明内容的真实性负责。如有虚假，将依法承担相应责任。</w:t>
      </w:r>
    </w:p>
    <w:p w14:paraId="692A09FB">
      <w:pPr>
        <w:pageBreakBefore w:val="0"/>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p>
    <w:p w14:paraId="0E69CC7B">
      <w:pPr>
        <w:pageBreakBefore w:val="0"/>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企业名称（盖电子签章）：</w:t>
      </w:r>
    </w:p>
    <w:p w14:paraId="60AB379A">
      <w:pPr>
        <w:pageBreakBefore w:val="0"/>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p>
    <w:p w14:paraId="2D94873A">
      <w:pPr>
        <w:pageBreakBefore w:val="0"/>
        <w:overflowPunct/>
        <w:topLinePunct w:val="0"/>
        <w:bidi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 期：</w:t>
      </w:r>
    </w:p>
    <w:p w14:paraId="56B4DC4F">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335585CE">
      <w:pPr>
        <w:pStyle w:val="16"/>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p w14:paraId="62846FD0">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从业人员、营业收入、资产总额填报上一年度数据，无上一年度数据的新成立企业可不填报。</w:t>
      </w:r>
    </w:p>
    <w:p w14:paraId="2C806CAF">
      <w:pPr>
        <w:pageBreakBefore w:val="0"/>
        <w:overflowPunct/>
        <w:topLinePunct w:val="0"/>
        <w:bidi w:val="0"/>
        <w:spacing w:line="360" w:lineRule="auto"/>
        <w:ind w:firstLine="480"/>
        <w:jc w:val="center"/>
        <w:rPr>
          <w:rFonts w:hint="eastAsia" w:asciiTheme="minorEastAsia" w:hAnsiTheme="minorEastAsia" w:eastAsiaTheme="minorEastAsia" w:cstheme="minorEastAsia"/>
          <w:b/>
          <w:color w:val="auto"/>
          <w:sz w:val="21"/>
          <w:szCs w:val="21"/>
          <w:highlight w:val="none"/>
          <w:lang w:bidi="zh-CN"/>
        </w:rPr>
      </w:pPr>
      <w:bookmarkStart w:id="276" w:name="_Toc3076"/>
    </w:p>
    <w:p w14:paraId="6FB3CD68">
      <w:pPr>
        <w:pageBreakBefore w:val="0"/>
        <w:overflowPunct/>
        <w:topLinePunct w:val="0"/>
        <w:bidi w:val="0"/>
        <w:spacing w:line="360" w:lineRule="auto"/>
        <w:ind w:firstLine="480"/>
        <w:jc w:val="center"/>
        <w:rPr>
          <w:rFonts w:hint="eastAsia" w:asciiTheme="minorEastAsia" w:hAnsiTheme="minorEastAsia" w:eastAsiaTheme="minorEastAsia" w:cstheme="minorEastAsia"/>
          <w:b/>
          <w:color w:val="auto"/>
          <w:sz w:val="21"/>
          <w:szCs w:val="21"/>
          <w:highlight w:val="none"/>
          <w:lang w:bidi="zh-CN"/>
        </w:rPr>
      </w:pPr>
    </w:p>
    <w:p w14:paraId="5685BC31">
      <w:pPr>
        <w:pageBreakBefore w:val="0"/>
        <w:overflowPunct/>
        <w:topLinePunct w:val="0"/>
        <w:bidi w:val="0"/>
        <w:spacing w:line="360" w:lineRule="auto"/>
        <w:ind w:firstLine="480"/>
        <w:jc w:val="center"/>
        <w:rPr>
          <w:rFonts w:hint="eastAsia" w:asciiTheme="minorEastAsia" w:hAnsiTheme="minorEastAsia" w:eastAsiaTheme="minorEastAsia" w:cstheme="minorEastAsia"/>
          <w:b/>
          <w:color w:val="auto"/>
          <w:sz w:val="21"/>
          <w:szCs w:val="21"/>
          <w:highlight w:val="none"/>
          <w:lang w:bidi="zh-CN"/>
        </w:rPr>
      </w:pPr>
    </w:p>
    <w:p w14:paraId="7AD79C08">
      <w:pPr>
        <w:pageBreakBefore w:val="0"/>
        <w:overflowPunct/>
        <w:topLinePunct w:val="0"/>
        <w:bidi w:val="0"/>
        <w:spacing w:line="240" w:lineRule="auto"/>
        <w:ind w:firstLine="0"/>
        <w:jc w:val="left"/>
        <w:rPr>
          <w:rFonts w:hint="eastAsia" w:asciiTheme="minorEastAsia" w:hAnsiTheme="minorEastAsia" w:eastAsiaTheme="minorEastAsia" w:cstheme="minorEastAsia"/>
          <w:b/>
          <w:color w:val="auto"/>
          <w:sz w:val="21"/>
          <w:szCs w:val="21"/>
          <w:highlight w:val="none"/>
          <w:lang w:bidi="zh-CN"/>
        </w:rPr>
      </w:pPr>
      <w:r>
        <w:rPr>
          <w:rFonts w:hint="eastAsia" w:asciiTheme="minorEastAsia" w:hAnsiTheme="minorEastAsia" w:eastAsiaTheme="minorEastAsia" w:cstheme="minorEastAsia"/>
          <w:b/>
          <w:color w:val="auto"/>
          <w:sz w:val="21"/>
          <w:szCs w:val="21"/>
          <w:highlight w:val="none"/>
          <w:lang w:bidi="zh-CN"/>
        </w:rPr>
        <w:br w:type="page"/>
      </w:r>
    </w:p>
    <w:p w14:paraId="29BEFE23">
      <w:pPr>
        <w:pageBreakBefore w:val="0"/>
        <w:overflowPunct/>
        <w:topLinePunct w:val="0"/>
        <w:bidi w:val="0"/>
        <w:spacing w:line="360" w:lineRule="auto"/>
        <w:ind w:firstLine="480"/>
        <w:jc w:val="center"/>
        <w:rPr>
          <w:rFonts w:hint="eastAsia" w:asciiTheme="minorEastAsia" w:hAnsiTheme="minorEastAsia" w:eastAsiaTheme="minorEastAsia" w:cstheme="minorEastAsia"/>
          <w:b/>
          <w:color w:val="auto"/>
          <w:sz w:val="21"/>
          <w:szCs w:val="21"/>
          <w:highlight w:val="none"/>
          <w:lang w:bidi="zh-CN"/>
        </w:rPr>
      </w:pPr>
    </w:p>
    <w:p w14:paraId="7B0B0DF2">
      <w:pPr>
        <w:pageBreakBefore w:val="0"/>
        <w:overflowPunct/>
        <w:topLinePunct w:val="0"/>
        <w:bidi w:val="0"/>
        <w:spacing w:line="360" w:lineRule="auto"/>
        <w:ind w:firstLine="480"/>
        <w:jc w:val="center"/>
        <w:rPr>
          <w:rFonts w:hint="eastAsia" w:asciiTheme="minorEastAsia" w:hAnsiTheme="minorEastAsia" w:eastAsiaTheme="minorEastAsia" w:cstheme="minorEastAsia"/>
          <w:b/>
          <w:color w:val="auto"/>
          <w:sz w:val="21"/>
          <w:szCs w:val="21"/>
          <w:highlight w:val="none"/>
          <w:lang w:val="zh-CN" w:bidi="zh-CN"/>
        </w:rPr>
      </w:pPr>
      <w:r>
        <w:rPr>
          <w:rFonts w:hint="eastAsia" w:asciiTheme="minorEastAsia" w:hAnsiTheme="minorEastAsia" w:eastAsiaTheme="minorEastAsia" w:cstheme="minorEastAsia"/>
          <w:b/>
          <w:color w:val="auto"/>
          <w:sz w:val="21"/>
          <w:szCs w:val="21"/>
          <w:highlight w:val="none"/>
          <w:lang w:bidi="zh-CN"/>
        </w:rPr>
        <w:t>2.</w:t>
      </w:r>
      <w:bookmarkEnd w:id="275"/>
      <w:bookmarkEnd w:id="276"/>
      <w:r>
        <w:rPr>
          <w:rFonts w:hint="eastAsia" w:asciiTheme="minorEastAsia" w:hAnsiTheme="minorEastAsia" w:eastAsiaTheme="minorEastAsia" w:cstheme="minorEastAsia"/>
          <w:b/>
          <w:color w:val="auto"/>
          <w:sz w:val="21"/>
          <w:szCs w:val="21"/>
          <w:highlight w:val="none"/>
          <w:lang w:val="zh-CN" w:bidi="zh-CN"/>
        </w:rPr>
        <w:t>监狱企业（如有）</w:t>
      </w:r>
    </w:p>
    <w:p w14:paraId="4AB421F0">
      <w:pPr>
        <w:pageBreakBefore w:val="0"/>
        <w:widowControl/>
        <w:overflowPunct/>
        <w:topLinePunct w:val="0"/>
        <w:bidi w:val="0"/>
        <w:spacing w:line="360" w:lineRule="auto"/>
        <w:ind w:firstLine="480"/>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 xml:space="preserve">政府采购政策 </w:t>
      </w:r>
    </w:p>
    <w:p w14:paraId="7E8A370E">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《财政部、司法部关于政府采购支持监狱企业发展有关问题的通知》（财库【2014】68号）关于监狱企业：视同小微企业。 </w:t>
      </w:r>
    </w:p>
    <w:p w14:paraId="4042ACA5">
      <w:pPr>
        <w:pageBreakBefore w:val="0"/>
        <w:widowControl/>
        <w:overflowPunct/>
        <w:topLinePunct w:val="0"/>
        <w:bidi w:val="0"/>
        <w:spacing w:line="360" w:lineRule="auto"/>
        <w:ind w:firstLine="480"/>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 xml:space="preserve">证明材料 </w:t>
      </w:r>
    </w:p>
    <w:p w14:paraId="4ECDE42C">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提供由省级以上监狱管理局、戒毒管理局（含新疆生产建设兵团）出具的属于监狱企业的证明文件，否则评审时不予价格扣除优惠。 </w:t>
      </w:r>
    </w:p>
    <w:p w14:paraId="4A5731ED">
      <w:pPr>
        <w:rPr>
          <w:rFonts w:hint="eastAsia"/>
          <w:color w:val="auto"/>
          <w:highlight w:val="none"/>
        </w:rPr>
      </w:pPr>
    </w:p>
    <w:p w14:paraId="11AC0C20">
      <w:pPr>
        <w:rPr>
          <w:rFonts w:hint="eastAsia"/>
          <w:color w:val="auto"/>
          <w:highlight w:val="none"/>
        </w:rPr>
      </w:pPr>
    </w:p>
    <w:p w14:paraId="326A5B9B">
      <w:pPr>
        <w:rPr>
          <w:rFonts w:hint="eastAsia"/>
          <w:color w:val="auto"/>
          <w:highlight w:val="none"/>
        </w:rPr>
      </w:pPr>
    </w:p>
    <w:p w14:paraId="1947F7B8">
      <w:pPr>
        <w:rPr>
          <w:rFonts w:hint="eastAsia"/>
          <w:color w:val="auto"/>
          <w:highlight w:val="none"/>
        </w:rPr>
      </w:pPr>
    </w:p>
    <w:p w14:paraId="28EF5610">
      <w:pPr>
        <w:rPr>
          <w:rFonts w:hint="eastAsia"/>
          <w:color w:val="auto"/>
          <w:highlight w:val="none"/>
        </w:rPr>
      </w:pPr>
    </w:p>
    <w:p w14:paraId="58717DF4">
      <w:pPr>
        <w:bidi w:val="0"/>
        <w:jc w:val="center"/>
        <w:rPr>
          <w:rFonts w:hint="eastAsia"/>
          <w:b/>
          <w:bCs/>
          <w:color w:val="auto"/>
          <w:highlight w:val="none"/>
        </w:rPr>
      </w:pPr>
      <w:bookmarkStart w:id="277" w:name="_Toc20787"/>
      <w:bookmarkStart w:id="278" w:name="_Toc17977"/>
      <w:bookmarkStart w:id="279" w:name="_Toc16120"/>
      <w:bookmarkStart w:id="280" w:name="_Toc8552"/>
      <w:bookmarkStart w:id="281" w:name="_Toc22181"/>
      <w:r>
        <w:rPr>
          <w:rFonts w:hint="eastAsia"/>
          <w:b/>
          <w:bCs/>
          <w:color w:val="auto"/>
          <w:highlight w:val="none"/>
        </w:rPr>
        <w:t>3.残疾人福利性单位（如有）</w:t>
      </w:r>
      <w:bookmarkEnd w:id="277"/>
      <w:bookmarkEnd w:id="278"/>
      <w:bookmarkEnd w:id="279"/>
      <w:bookmarkEnd w:id="280"/>
      <w:bookmarkEnd w:id="281"/>
    </w:p>
    <w:p w14:paraId="6DCF3F43">
      <w:pPr>
        <w:pageBreakBefore w:val="0"/>
        <w:widowControl/>
        <w:overflowPunct/>
        <w:topLinePunct w:val="0"/>
        <w:bidi w:val="0"/>
        <w:spacing w:line="360" w:lineRule="auto"/>
        <w:ind w:firstLine="480"/>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 xml:space="preserve">政府采购政策 </w:t>
      </w:r>
    </w:p>
    <w:p w14:paraId="0599B866">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《关于促进残疾人就业政府采购政策的通知》（财库〔2017〕141号） </w:t>
      </w:r>
    </w:p>
    <w:p w14:paraId="6B29EC04">
      <w:pPr>
        <w:pageBreakBefore w:val="0"/>
        <w:widowControl/>
        <w:overflowPunct/>
        <w:topLinePunct w:val="0"/>
        <w:bidi w:val="0"/>
        <w:spacing w:line="360" w:lineRule="auto"/>
        <w:ind w:firstLine="482"/>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关于残疾人福利性单位：视同小微企业。残疾人福利性单位属于小型、微型企业的，不重复享受政策。</w:t>
      </w:r>
    </w:p>
    <w:p w14:paraId="78A87DDD">
      <w:pPr>
        <w:pageBreakBefore w:val="0"/>
        <w:widowControl/>
        <w:overflowPunct/>
        <w:topLinePunct w:val="0"/>
        <w:bidi w:val="0"/>
        <w:spacing w:line="360" w:lineRule="auto"/>
        <w:ind w:firstLine="480"/>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证明材料</w:t>
      </w:r>
    </w:p>
    <w:p w14:paraId="5EF1DB56">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提供《残疾人福利性单位声明函》，否则评审时不予价格扣除优惠。</w:t>
      </w:r>
    </w:p>
    <w:p w14:paraId="58E6B6FD">
      <w:pPr>
        <w:pStyle w:val="16"/>
        <w:pageBreakBefore w:val="0"/>
        <w:tabs>
          <w:tab w:val="left" w:pos="5346"/>
          <w:tab w:val="left" w:pos="6786"/>
        </w:tabs>
        <w:overflowPunct/>
        <w:topLinePunct w:val="0"/>
        <w:autoSpaceDE w:val="0"/>
        <w:autoSpaceDN w:val="0"/>
        <w:bidi w:val="0"/>
        <w:spacing w:line="360" w:lineRule="auto"/>
        <w:ind w:firstLine="420" w:firstLineChars="200"/>
        <w:rPr>
          <w:rFonts w:hint="eastAsia" w:asciiTheme="minorEastAsia" w:hAnsiTheme="minorEastAsia" w:eastAsiaTheme="minorEastAsia" w:cstheme="minorEastAsia"/>
          <w:color w:val="auto"/>
          <w:sz w:val="21"/>
          <w:szCs w:val="21"/>
          <w:highlight w:val="none"/>
        </w:rPr>
      </w:pPr>
    </w:p>
    <w:p w14:paraId="26E7B625">
      <w:pPr>
        <w:pageBreakBefore w:val="0"/>
        <w:overflowPunct/>
        <w:topLinePunct w:val="0"/>
        <w:bidi w:val="0"/>
        <w:spacing w:line="360" w:lineRule="auto"/>
        <w:ind w:firstLine="422"/>
        <w:jc w:val="right"/>
        <w:rPr>
          <w:rFonts w:hint="eastAsia" w:asciiTheme="minorEastAsia" w:hAnsiTheme="minorEastAsia" w:eastAsiaTheme="minorEastAsia" w:cstheme="minorEastAsia"/>
          <w:color w:val="auto"/>
          <w:sz w:val="21"/>
          <w:szCs w:val="21"/>
          <w:highlight w:val="none"/>
        </w:rPr>
        <w:sectPr>
          <w:pgSz w:w="11910" w:h="16840"/>
          <w:pgMar w:top="1440" w:right="1417" w:bottom="1440" w:left="1417" w:header="510" w:footer="1000" w:gutter="0"/>
          <w:pgBorders>
            <w:top w:val="none" w:sz="0" w:space="0"/>
            <w:left w:val="none" w:sz="0" w:space="0"/>
            <w:bottom w:val="none" w:sz="0" w:space="0"/>
            <w:right w:val="none" w:sz="0" w:space="0"/>
          </w:pgBorders>
          <w:cols w:space="0" w:num="1"/>
        </w:sectPr>
      </w:pPr>
    </w:p>
    <w:p w14:paraId="135F1571">
      <w:pPr>
        <w:pageBreakBefore w:val="0"/>
        <w:overflowPunct/>
        <w:topLinePunct w:val="0"/>
        <w:bidi w:val="0"/>
        <w:spacing w:line="360" w:lineRule="auto"/>
        <w:ind w:firstLine="480"/>
        <w:jc w:val="center"/>
        <w:rPr>
          <w:rFonts w:hint="eastAsia" w:asciiTheme="minorEastAsia" w:hAnsiTheme="minorEastAsia" w:eastAsiaTheme="minorEastAsia" w:cstheme="minorEastAsia"/>
          <w:b/>
          <w:bCs/>
          <w:color w:val="auto"/>
          <w:sz w:val="21"/>
          <w:szCs w:val="21"/>
          <w:highlight w:val="none"/>
          <w:lang w:bidi="zh-CN"/>
        </w:rPr>
      </w:pPr>
      <w:bookmarkStart w:id="282" w:name="8.针对本次采购需求的实施方案、售后服务承诺、培训计划"/>
      <w:bookmarkEnd w:id="282"/>
      <w:bookmarkStart w:id="283" w:name="_bookmark50"/>
      <w:bookmarkEnd w:id="283"/>
      <w:bookmarkStart w:id="284" w:name="_bookmark52"/>
      <w:bookmarkEnd w:id="284"/>
      <w:bookmarkStart w:id="285" w:name="_bookmark51"/>
      <w:bookmarkEnd w:id="285"/>
      <w:bookmarkStart w:id="286" w:name="7.供应商类似项目业绩"/>
      <w:bookmarkEnd w:id="286"/>
      <w:r>
        <w:rPr>
          <w:rFonts w:hint="eastAsia" w:asciiTheme="minorEastAsia" w:hAnsiTheme="minorEastAsia" w:eastAsiaTheme="minorEastAsia" w:cstheme="minorEastAsia"/>
          <w:b/>
          <w:bCs/>
          <w:color w:val="auto"/>
          <w:sz w:val="21"/>
          <w:szCs w:val="21"/>
          <w:highlight w:val="none"/>
          <w:lang w:bidi="zh-CN"/>
        </w:rPr>
        <w:t>4.节能产品（如有）</w:t>
      </w:r>
    </w:p>
    <w:p w14:paraId="693F260F">
      <w:pPr>
        <w:pageBreakBefore w:val="0"/>
        <w:widowControl/>
        <w:overflowPunct/>
        <w:topLinePunct w:val="0"/>
        <w:bidi w:val="0"/>
        <w:spacing w:line="360" w:lineRule="auto"/>
        <w:ind w:firstLine="48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政府采购政策：</w:t>
      </w:r>
      <w:r>
        <w:rPr>
          <w:rFonts w:hint="eastAsia" w:asciiTheme="minorEastAsia" w:hAnsiTheme="minorEastAsia" w:eastAsiaTheme="minorEastAsia" w:cstheme="minorEastAsia"/>
          <w:color w:val="auto"/>
          <w:kern w:val="0"/>
          <w:sz w:val="21"/>
          <w:szCs w:val="21"/>
          <w:highlight w:val="none"/>
        </w:rPr>
        <w:t xml:space="preserve"> </w:t>
      </w:r>
    </w:p>
    <w:p w14:paraId="1C95A58F">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《关于调整优化节能产品环境标志产品政府采购执行机制的通知》（财库〔2019〕9号） </w:t>
      </w:r>
    </w:p>
    <w:p w14:paraId="7AE4B05F">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《关于印发节能产品政府采购品目清单的通知》（财库〔2019〕19号） </w:t>
      </w:r>
    </w:p>
    <w:p w14:paraId="5F22A298">
      <w:pPr>
        <w:pageBreakBefore w:val="0"/>
        <w:widowControl/>
        <w:overflowPunct/>
        <w:topLinePunct w:val="0"/>
        <w:bidi w:val="0"/>
        <w:spacing w:line="360" w:lineRule="auto"/>
        <w:ind w:firstLine="480"/>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证明材料</w:t>
      </w:r>
    </w:p>
    <w:p w14:paraId="18F56808">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品目清单中“★”标注的为政府强制采购产品，如采购人所采购产品为政府强制采购节能产品的，供应商应提供国家确定的认证机构出具的、处于有效期之内的节能产品认证证书，否则其投标将被认定为投标无效。</w:t>
      </w:r>
    </w:p>
    <w:p w14:paraId="7B1F5916">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品目清单中非“★”标注的为政府优先采购产品，如采购人所采购产品为政府优先采购节能产品的，供应商应提供国家确定的认证机构出具的、处于有效期之内的节能产品认证证书，否则将不给于优先采购体现。</w:t>
      </w:r>
    </w:p>
    <w:p w14:paraId="1E338292">
      <w:pPr>
        <w:pageBreakBefore w:val="0"/>
        <w:overflowPunct/>
        <w:topLinePunct w:val="0"/>
        <w:autoSpaceDE w:val="0"/>
        <w:autoSpaceDN w:val="0"/>
        <w:bidi w:val="0"/>
        <w:spacing w:line="360" w:lineRule="auto"/>
        <w:ind w:firstLine="482"/>
        <w:jc w:val="left"/>
        <w:rPr>
          <w:rFonts w:hint="eastAsia" w:asciiTheme="minorEastAsia" w:hAnsiTheme="minorEastAsia" w:eastAsiaTheme="minorEastAsia" w:cstheme="minorEastAsia"/>
          <w:color w:val="auto"/>
          <w:kern w:val="0"/>
          <w:sz w:val="21"/>
          <w:szCs w:val="21"/>
          <w:highlight w:val="none"/>
        </w:rPr>
      </w:pPr>
    </w:p>
    <w:p w14:paraId="0A842231">
      <w:pPr>
        <w:pageBreakBefore w:val="0"/>
        <w:overflowPunct/>
        <w:topLinePunct w:val="0"/>
        <w:bidi w:val="0"/>
        <w:spacing w:line="360" w:lineRule="auto"/>
        <w:ind w:firstLine="480"/>
        <w:jc w:val="center"/>
        <w:rPr>
          <w:rFonts w:hint="eastAsia" w:asciiTheme="minorEastAsia" w:hAnsiTheme="minorEastAsia" w:eastAsiaTheme="minorEastAsia" w:cstheme="minorEastAsia"/>
          <w:b/>
          <w:bCs/>
          <w:color w:val="auto"/>
          <w:sz w:val="21"/>
          <w:szCs w:val="21"/>
          <w:highlight w:val="none"/>
          <w:lang w:bidi="zh-CN"/>
        </w:rPr>
      </w:pPr>
      <w:r>
        <w:rPr>
          <w:rFonts w:hint="eastAsia" w:asciiTheme="minorEastAsia" w:hAnsiTheme="minorEastAsia" w:eastAsiaTheme="minorEastAsia" w:cstheme="minorEastAsia"/>
          <w:b/>
          <w:bCs/>
          <w:color w:val="auto"/>
          <w:sz w:val="21"/>
          <w:szCs w:val="21"/>
          <w:highlight w:val="none"/>
          <w:lang w:bidi="zh-CN"/>
        </w:rPr>
        <w:t>5.环境标志产品（如有）</w:t>
      </w:r>
    </w:p>
    <w:p w14:paraId="236D4945">
      <w:pPr>
        <w:pageBreakBefore w:val="0"/>
        <w:widowControl/>
        <w:overflowPunct/>
        <w:topLinePunct w:val="0"/>
        <w:bidi w:val="0"/>
        <w:spacing w:line="360" w:lineRule="auto"/>
        <w:ind w:firstLine="480"/>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 xml:space="preserve">政府采购政策： </w:t>
      </w:r>
    </w:p>
    <w:p w14:paraId="2D20C766">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《关于调整优化节能产品环境标志产品政府采购执行机制的通知》（财库〔2019〕9号） </w:t>
      </w:r>
    </w:p>
    <w:p w14:paraId="1775EB65">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《关于印发环境标志产品政府采购品目清单的通知》（财库〔2019〕18号） </w:t>
      </w:r>
    </w:p>
    <w:p w14:paraId="72D309E5">
      <w:pPr>
        <w:pageBreakBefore w:val="0"/>
        <w:widowControl/>
        <w:overflowPunct/>
        <w:topLinePunct w:val="0"/>
        <w:bidi w:val="0"/>
        <w:spacing w:line="360" w:lineRule="auto"/>
        <w:ind w:firstLine="480"/>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证明材料</w:t>
      </w:r>
    </w:p>
    <w:p w14:paraId="768C8C73">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品目清单中“★”标注的为政府强制采购产品，如采购人所采购产品为政府强制采购环境标志产品的，供应商应提供国家确定的认证机构出具的、处于有效期之内的环境标志产品认证证书，否则其投标将被认定为投标无效。</w:t>
      </w:r>
    </w:p>
    <w:p w14:paraId="7157D554">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品目清单中非“★”标注的为政府优先采购产品，如采购人所采购产品为政府优先采购环境标志产品的，供应商应提供国家确定的认证机构出具的、处于有效期之内的环境标志产品认证证书，否则将不给于优先采购体现。</w:t>
      </w:r>
    </w:p>
    <w:p w14:paraId="5C4D8D37">
      <w:pPr>
        <w:pageBreakBefore w:val="0"/>
        <w:widowControl/>
        <w:overflowPunct/>
        <w:topLinePunct w:val="0"/>
        <w:bidi w:val="0"/>
        <w:spacing w:line="360" w:lineRule="auto"/>
        <w:ind w:firstLine="420" w:firstLineChars="200"/>
        <w:jc w:val="left"/>
        <w:rPr>
          <w:rFonts w:hint="eastAsia" w:asciiTheme="minorEastAsia" w:hAnsiTheme="minorEastAsia" w:eastAsiaTheme="minorEastAsia" w:cstheme="minorEastAsia"/>
          <w:color w:val="auto"/>
          <w:kern w:val="0"/>
          <w:sz w:val="21"/>
          <w:szCs w:val="21"/>
          <w:highlight w:val="none"/>
        </w:rPr>
      </w:pPr>
    </w:p>
    <w:p w14:paraId="64819F52">
      <w:pPr>
        <w:pStyle w:val="37"/>
        <w:pageBreakBefore w:val="0"/>
        <w:overflowPunct/>
        <w:topLinePunct w:val="0"/>
        <w:bidi w:val="0"/>
        <w:spacing w:line="360" w:lineRule="auto"/>
        <w:rPr>
          <w:rFonts w:hint="eastAsia" w:asciiTheme="minorEastAsia" w:hAnsiTheme="minorEastAsia" w:eastAsiaTheme="minorEastAsia" w:cstheme="minorEastAsia"/>
          <w:color w:val="auto"/>
          <w:sz w:val="21"/>
          <w:szCs w:val="21"/>
          <w:highlight w:val="none"/>
        </w:rPr>
      </w:pPr>
    </w:p>
    <w:p w14:paraId="5D805F12">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66D67BA9">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4C05637C">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1E0EA502">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27018E5A">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5FA8A9B0">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0545C064">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11CE4234">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2EE8E8CC">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6DCA4DDE">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财政部 发展改革委 生态环境部 市场监管总局</w:t>
      </w:r>
    </w:p>
    <w:p w14:paraId="58E510DE">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bookmarkStart w:id="287" w:name="_Toc7934"/>
      <w:bookmarkEnd w:id="287"/>
      <w:bookmarkStart w:id="288" w:name="_Toc14857"/>
      <w:bookmarkEnd w:id="288"/>
      <w:r>
        <w:rPr>
          <w:rFonts w:hint="eastAsia" w:asciiTheme="minorEastAsia" w:hAnsiTheme="minorEastAsia" w:eastAsiaTheme="minorEastAsia" w:cstheme="minorEastAsia"/>
          <w:b/>
          <w:color w:val="auto"/>
          <w:sz w:val="21"/>
          <w:szCs w:val="21"/>
          <w:highlight w:val="none"/>
        </w:rPr>
        <w:t>关于调整优化节能产品、环境标志产品政府采购执行机制的通知</w:t>
      </w:r>
    </w:p>
    <w:p w14:paraId="3E28E1CA">
      <w:pPr>
        <w:pageBreakBefore w:val="0"/>
        <w:overflowPunct/>
        <w:topLinePunct w:val="0"/>
        <w:bidi w:val="0"/>
        <w:spacing w:line="360" w:lineRule="auto"/>
        <w:ind w:firstLine="480"/>
        <w:jc w:val="center"/>
        <w:rPr>
          <w:rFonts w:hint="eastAsia" w:asciiTheme="minorEastAsia" w:hAnsiTheme="minorEastAsia" w:eastAsiaTheme="minorEastAsia" w:cstheme="minorEastAsia"/>
          <w:b/>
          <w:color w:val="auto"/>
          <w:sz w:val="21"/>
          <w:szCs w:val="21"/>
          <w:highlight w:val="none"/>
        </w:rPr>
      </w:pPr>
      <w:bookmarkStart w:id="289" w:name="_Toc2419"/>
      <w:bookmarkEnd w:id="289"/>
      <w:bookmarkStart w:id="290" w:name="_Toc29414"/>
      <w:bookmarkEnd w:id="290"/>
      <w:r>
        <w:rPr>
          <w:rFonts w:hint="eastAsia" w:asciiTheme="minorEastAsia" w:hAnsiTheme="minorEastAsia" w:eastAsiaTheme="minorEastAsia" w:cstheme="minorEastAsia"/>
          <w:b/>
          <w:color w:val="auto"/>
          <w:sz w:val="21"/>
          <w:szCs w:val="21"/>
          <w:highlight w:val="none"/>
        </w:rPr>
        <w:t>财库〔2019〕9号</w:t>
      </w:r>
    </w:p>
    <w:p w14:paraId="4E4E69D0">
      <w:pPr>
        <w:pageBreakBefore w:val="0"/>
        <w:widowControl/>
        <w:shd w:val="clear" w:color="auto"/>
        <w:overflowPunct/>
        <w:topLinePunct w:val="0"/>
        <w:bidi w:val="0"/>
        <w:spacing w:line="360" w:lineRule="auto"/>
        <w:ind w:firstLine="482"/>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有关中央预算单位，各省、自治区、直辖市、计划单列市财政厅（局）、发展改革委（经信委、工信委、工信厅、经信局）、生态环境厅（局）、市场监管部门，新疆生产建设兵团财政局、发展改革委、工信委、环境保护局、市场监管局：</w:t>
      </w:r>
    </w:p>
    <w:p w14:paraId="721E4078">
      <w:pPr>
        <w:pageBreakBefore w:val="0"/>
        <w:widowControl/>
        <w:shd w:val="clear" w:color="auto"/>
        <w:overflowPunct/>
        <w:topLinePunct w:val="0"/>
        <w:bidi w:val="0"/>
        <w:spacing w:line="360" w:lineRule="auto"/>
        <w:ind w:firstLine="482"/>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为落实“放管服”改革要求，完善政府绿色采购政策，简化节能（节水）产品、环境标志产品政府采购执行机制，优化供应商参与政府采购活动的市场环境，现就节能产品、环境标志产品政府采购有关事项通知如下：</w:t>
      </w:r>
    </w:p>
    <w:p w14:paraId="04E41592">
      <w:pPr>
        <w:pageBreakBefore w:val="0"/>
        <w:widowControl/>
        <w:shd w:val="clear" w:color="auto"/>
        <w:overflowPunct/>
        <w:topLinePunct w:val="0"/>
        <w:bidi w:val="0"/>
        <w:spacing w:line="360" w:lineRule="auto"/>
        <w:ind w:firstLine="482"/>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4FCFB23C">
      <w:pPr>
        <w:pageBreakBefore w:val="0"/>
        <w:widowControl/>
        <w:shd w:val="clear" w:color="auto"/>
        <w:overflowPunct/>
        <w:topLinePunct w:val="0"/>
        <w:bidi w:val="0"/>
        <w:spacing w:line="360" w:lineRule="auto"/>
        <w:ind w:firstLine="482"/>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F143B3A">
      <w:pPr>
        <w:pageBreakBefore w:val="0"/>
        <w:widowControl/>
        <w:shd w:val="clear" w:color="auto"/>
        <w:overflowPunct/>
        <w:topLinePunct w:val="0"/>
        <w:bidi w:val="0"/>
        <w:spacing w:line="360" w:lineRule="auto"/>
        <w:ind w:firstLine="482"/>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1576BE73">
      <w:pPr>
        <w:pageBreakBefore w:val="0"/>
        <w:widowControl/>
        <w:shd w:val="clear" w:color="auto"/>
        <w:overflowPunct/>
        <w:topLinePunct w:val="0"/>
        <w:bidi w:val="0"/>
        <w:spacing w:line="360" w:lineRule="auto"/>
        <w:ind w:firstLine="482"/>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6B9AFAF6">
      <w:pPr>
        <w:pageBreakBefore w:val="0"/>
        <w:widowControl/>
        <w:shd w:val="clear" w:color="auto"/>
        <w:overflowPunct/>
        <w:topLinePunct w:val="0"/>
        <w:bidi w:val="0"/>
        <w:spacing w:line="360" w:lineRule="auto"/>
        <w:ind w:firstLine="482"/>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7E9D0267">
      <w:pPr>
        <w:pageBreakBefore w:val="0"/>
        <w:widowControl/>
        <w:shd w:val="clear" w:color="auto"/>
        <w:overflowPunct/>
        <w:topLinePunct w:val="0"/>
        <w:bidi w:val="0"/>
        <w:spacing w:line="360" w:lineRule="auto"/>
        <w:ind w:firstLine="482"/>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六、本通知自2019年4月1日起执行。《财政部 生态环境部关于调整公布第二十二期环境标志产品政府采购清单的通知》（财库〔2018〕70号）和《财政部 国家发展改革委关于调整公布第二十四期节能产品政府采购清单的通知》（财库〔2018〕73号）同时停止执行。</w:t>
      </w:r>
    </w:p>
    <w:p w14:paraId="4E5FEBDC">
      <w:pPr>
        <w:pageBreakBefore w:val="0"/>
        <w:widowControl/>
        <w:shd w:val="clear" w:color="auto"/>
        <w:overflowPunct/>
        <w:topLinePunct w:val="0"/>
        <w:bidi w:val="0"/>
        <w:spacing w:line="360" w:lineRule="auto"/>
        <w:ind w:firstLine="482"/>
        <w:jc w:val="right"/>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财政部 发展改革委 生态环境部 市场监管总局</w:t>
      </w:r>
    </w:p>
    <w:p w14:paraId="7C646510">
      <w:pPr>
        <w:pageBreakBefore w:val="0"/>
        <w:widowControl/>
        <w:shd w:val="clear" w:color="auto"/>
        <w:overflowPunct/>
        <w:topLinePunct w:val="0"/>
        <w:bidi w:val="0"/>
        <w:spacing w:line="360" w:lineRule="auto"/>
        <w:ind w:firstLine="482"/>
        <w:jc w:val="right"/>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2019年2月1日</w:t>
      </w:r>
    </w:p>
    <w:p w14:paraId="35512CE9">
      <w:pPr>
        <w:pageBreakBefore w:val="0"/>
        <w:overflowPunct/>
        <w:topLinePunct w:val="0"/>
        <w:autoSpaceDE w:val="0"/>
        <w:autoSpaceDN w:val="0"/>
        <w:bidi w:val="0"/>
        <w:spacing w:line="360" w:lineRule="auto"/>
        <w:ind w:firstLine="480"/>
        <w:jc w:val="center"/>
        <w:rPr>
          <w:rFonts w:hint="eastAsia" w:asciiTheme="minorEastAsia" w:hAnsiTheme="minorEastAsia" w:eastAsiaTheme="minorEastAsia" w:cstheme="minorEastAsia"/>
          <w:b/>
          <w:bCs/>
          <w:color w:val="auto"/>
          <w:kern w:val="0"/>
          <w:sz w:val="21"/>
          <w:szCs w:val="21"/>
          <w:highlight w:val="none"/>
        </w:rPr>
        <w:sectPr>
          <w:pgSz w:w="11920" w:h="16840"/>
          <w:pgMar w:top="1418" w:right="1418" w:bottom="1418" w:left="1418" w:header="794" w:footer="851" w:gutter="284"/>
          <w:pgBorders>
            <w:top w:val="none" w:sz="0" w:space="0"/>
            <w:left w:val="none" w:sz="0" w:space="0"/>
            <w:bottom w:val="none" w:sz="0" w:space="0"/>
            <w:right w:val="none" w:sz="0" w:space="0"/>
          </w:pgBorders>
          <w:cols w:space="720" w:num="1"/>
          <w:docGrid w:linePitch="306" w:charSpace="0"/>
        </w:sectPr>
      </w:pPr>
    </w:p>
    <w:p w14:paraId="6FED9EDD">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关于印发节能产品政府采购品目清单的通知</w:t>
      </w:r>
    </w:p>
    <w:p w14:paraId="7B4C64C4">
      <w:pPr>
        <w:pageBreakBefore w:val="0"/>
        <w:widowControl/>
        <w:shd w:val="clear" w:color="auto"/>
        <w:overflowPunct/>
        <w:topLinePunct w:val="0"/>
        <w:bidi w:val="0"/>
        <w:spacing w:line="360" w:lineRule="auto"/>
        <w:ind w:firstLine="480"/>
        <w:jc w:val="center"/>
        <w:rPr>
          <w:rFonts w:hint="eastAsia" w:asciiTheme="minorEastAsia" w:hAnsiTheme="minorEastAsia" w:eastAsiaTheme="minorEastAsia" w:cstheme="minorEastAsia"/>
          <w:b/>
          <w:bCs/>
          <w:color w:val="auto"/>
          <w:kern w:val="0"/>
          <w:sz w:val="21"/>
          <w:szCs w:val="21"/>
          <w:highlight w:val="none"/>
          <w:shd w:val="clear" w:color="auto" w:fill="FFFFFF"/>
        </w:rPr>
      </w:pPr>
      <w:bookmarkStart w:id="291" w:name="_Toc15802"/>
      <w:bookmarkEnd w:id="291"/>
      <w:bookmarkStart w:id="292" w:name="_Toc4626"/>
      <w:bookmarkEnd w:id="292"/>
      <w:r>
        <w:rPr>
          <w:rFonts w:hint="eastAsia" w:asciiTheme="minorEastAsia" w:hAnsiTheme="minorEastAsia" w:eastAsiaTheme="minorEastAsia" w:cstheme="minorEastAsia"/>
          <w:b/>
          <w:bCs/>
          <w:color w:val="auto"/>
          <w:kern w:val="0"/>
          <w:sz w:val="21"/>
          <w:szCs w:val="21"/>
          <w:highlight w:val="none"/>
          <w:shd w:val="clear" w:color="auto" w:fill="FFFFFF"/>
        </w:rPr>
        <w:t>财库〔2019〕19号</w:t>
      </w:r>
    </w:p>
    <w:p w14:paraId="02768A87">
      <w:pPr>
        <w:pageBreakBefore w:val="0"/>
        <w:widowControl/>
        <w:overflowPunct/>
        <w:topLinePunct w:val="0"/>
        <w:bidi w:val="0"/>
        <w:spacing w:after="280" w:line="360" w:lineRule="auto"/>
        <w:ind w:firstLine="482"/>
        <w:jc w:val="left"/>
        <w:rPr>
          <w:rFonts w:hint="eastAsia" w:asciiTheme="minorEastAsia" w:hAnsiTheme="minorEastAsia" w:eastAsiaTheme="minorEastAsia" w:cstheme="minorEastAsia"/>
          <w:color w:val="auto"/>
          <w:kern w:val="0"/>
          <w:sz w:val="21"/>
          <w:szCs w:val="21"/>
          <w:highlight w:val="none"/>
          <w:shd w:val="clear" w:color="auto" w:fill="FFFFFF"/>
        </w:rPr>
      </w:pPr>
    </w:p>
    <w:p w14:paraId="0DE7E70A">
      <w:pPr>
        <w:pageBreakBefore w:val="0"/>
        <w:widowControl/>
        <w:overflowPunct/>
        <w:topLinePunct w:val="0"/>
        <w:bidi w:val="0"/>
        <w:spacing w:after="280" w:line="360" w:lineRule="auto"/>
        <w:ind w:firstLine="482"/>
        <w:jc w:val="left"/>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有关中央预算单位，各省、自治区、直辖市、计划单列市财政厅（局）、发展改革委（经信委、工信委、工信厅、经信局），新疆生产建设兵团财政局、发展改革委：</w:t>
      </w:r>
    </w:p>
    <w:p w14:paraId="4539A11E">
      <w:pPr>
        <w:pageBreakBefore w:val="0"/>
        <w:widowControl/>
        <w:overflowPunct/>
        <w:topLinePunct w:val="0"/>
        <w:bidi w:val="0"/>
        <w:spacing w:after="280" w:line="360" w:lineRule="auto"/>
        <w:ind w:firstLine="482"/>
        <w:jc w:val="left"/>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根据《财政部 发展改革委 生态环境部市场监管总局关于调整优化节能产品环境标志产品政府采购执行机制的通知》（财库〔2019〕9号），我们研究制定节能产品政府采购品目清单，现印发给你们，请遵照执行。</w:t>
      </w:r>
    </w:p>
    <w:p w14:paraId="69A8612A">
      <w:pPr>
        <w:pageBreakBefore w:val="0"/>
        <w:widowControl/>
        <w:overflowPunct/>
        <w:topLinePunct w:val="0"/>
        <w:bidi w:val="0"/>
        <w:spacing w:after="280" w:line="360" w:lineRule="auto"/>
        <w:ind w:firstLine="482"/>
        <w:jc w:val="left"/>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附件：</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"http://gks.mof.gov.cn/zhengfucaigouguanli/201904/P020190404409422168443.pdf"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kern w:val="0"/>
          <w:sz w:val="21"/>
          <w:szCs w:val="21"/>
          <w:highlight w:val="none"/>
          <w:shd w:val="clear" w:color="auto" w:fill="FFFFFF"/>
        </w:rPr>
        <w:t>节能产品政府采购品目清单</w:t>
      </w:r>
      <w:r>
        <w:rPr>
          <w:rFonts w:hint="eastAsia" w:asciiTheme="minorEastAsia" w:hAnsiTheme="minorEastAsia" w:eastAsiaTheme="minorEastAsia" w:cstheme="minorEastAsia"/>
          <w:color w:val="auto"/>
          <w:kern w:val="0"/>
          <w:sz w:val="21"/>
          <w:szCs w:val="21"/>
          <w:highlight w:val="none"/>
          <w:shd w:val="clear" w:color="auto" w:fill="FFFFFF"/>
        </w:rPr>
        <w:fldChar w:fldCharType="end"/>
      </w:r>
    </w:p>
    <w:p w14:paraId="27D8E566">
      <w:pPr>
        <w:pageBreakBefore w:val="0"/>
        <w:widowControl/>
        <w:overflowPunct/>
        <w:topLinePunct w:val="0"/>
        <w:bidi w:val="0"/>
        <w:spacing w:line="360" w:lineRule="auto"/>
        <w:ind w:firstLine="482"/>
        <w:jc w:val="right"/>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财政部 发展改革委</w:t>
      </w:r>
    </w:p>
    <w:p w14:paraId="62596B45">
      <w:pPr>
        <w:pageBreakBefore w:val="0"/>
        <w:widowControl/>
        <w:overflowPunct/>
        <w:topLinePunct w:val="0"/>
        <w:bidi w:val="0"/>
        <w:spacing w:line="360" w:lineRule="auto"/>
        <w:ind w:firstLine="482"/>
        <w:jc w:val="right"/>
        <w:rPr>
          <w:rFonts w:hint="eastAsia" w:asciiTheme="minorEastAsia" w:hAnsiTheme="minorEastAsia" w:eastAsiaTheme="minorEastAsia" w:cstheme="minorEastAsia"/>
          <w:color w:val="auto"/>
          <w:kern w:val="0"/>
          <w:sz w:val="21"/>
          <w:szCs w:val="21"/>
          <w:highlight w:val="none"/>
          <w:shd w:val="clear" w:color="auto" w:fill="FFFFFF"/>
        </w:rPr>
      </w:pPr>
      <w:r>
        <w:rPr>
          <w:rFonts w:hint="eastAsia" w:asciiTheme="minorEastAsia" w:hAnsiTheme="minorEastAsia" w:eastAsiaTheme="minorEastAsia" w:cstheme="minorEastAsia"/>
          <w:color w:val="auto"/>
          <w:kern w:val="0"/>
          <w:sz w:val="21"/>
          <w:szCs w:val="21"/>
          <w:highlight w:val="none"/>
          <w:shd w:val="clear" w:color="auto" w:fill="FFFFFF"/>
        </w:rPr>
        <w:t>2019年4月2日</w:t>
      </w:r>
    </w:p>
    <w:p w14:paraId="5655E567">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5A96454E">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6D1CF994">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6003F135">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1A31A8D7">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4C7C8093">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06B0E144">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321BBB4F">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666B74E9">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7B6CB4E4">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55024FC9">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1A32A76D">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3D54A54C">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29043EAF">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21274AEC">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0A444F8D">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78F99CFC">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shd w:val="clear" w:color="auto" w:fill="FFFFFF"/>
        </w:rPr>
      </w:pPr>
    </w:p>
    <w:p w14:paraId="6FBD2A86">
      <w:pPr>
        <w:pStyle w:val="37"/>
        <w:pageBreakBefore w:val="0"/>
        <w:overflowPunct/>
        <w:topLinePunct w:val="0"/>
        <w:bidi w:val="0"/>
        <w:spacing w:line="360" w:lineRule="auto"/>
        <w:ind w:left="0" w:leftChars="0" w:firstLine="0" w:firstLineChars="0"/>
        <w:rPr>
          <w:rFonts w:hint="eastAsia" w:asciiTheme="minorEastAsia" w:hAnsiTheme="minorEastAsia" w:eastAsiaTheme="minorEastAsia" w:cstheme="minorEastAsia"/>
          <w:color w:val="auto"/>
          <w:kern w:val="0"/>
          <w:sz w:val="21"/>
          <w:szCs w:val="21"/>
          <w:highlight w:val="none"/>
          <w:shd w:val="clear" w:color="auto" w:fill="FFFFFF"/>
        </w:rPr>
      </w:pPr>
    </w:p>
    <w:p w14:paraId="48241141">
      <w:pPr>
        <w:pageBreakBefore w:val="0"/>
        <w:overflowPunct/>
        <w:topLinePunct w:val="0"/>
        <w:bidi w:val="0"/>
        <w:spacing w:line="360" w:lineRule="auto"/>
        <w:ind w:firstLine="42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drawing>
          <wp:inline distT="0" distB="0" distL="114300" distR="114300">
            <wp:extent cx="5443855" cy="8100695"/>
            <wp:effectExtent l="0" t="0" r="444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cstate="print"/>
                    <a:stretch>
                      <a:fillRect/>
                    </a:stretch>
                  </pic:blipFill>
                  <pic:spPr>
                    <a:xfrm>
                      <a:off x="0" y="0"/>
                      <a:ext cx="5443855" cy="8100695"/>
                    </a:xfrm>
                    <a:prstGeom prst="rect">
                      <a:avLst/>
                    </a:prstGeom>
                    <a:noFill/>
                    <a:ln>
                      <a:noFill/>
                    </a:ln>
                  </pic:spPr>
                </pic:pic>
              </a:graphicData>
            </a:graphic>
          </wp:inline>
        </w:drawing>
      </w:r>
    </w:p>
    <w:p w14:paraId="04742B4F">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440200F2">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drawing>
          <wp:inline distT="0" distB="0" distL="114300" distR="114300">
            <wp:extent cx="5659755" cy="8572500"/>
            <wp:effectExtent l="0" t="0" r="17145" b="0"/>
            <wp:docPr id="5" name="图片 2" descr="1596706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96706951(1)"/>
                    <pic:cNvPicPr>
                      <a:picLocks noChangeAspect="1"/>
                    </pic:cNvPicPr>
                  </pic:nvPicPr>
                  <pic:blipFill>
                    <a:blip r:embed="rId13" cstate="print"/>
                    <a:stretch>
                      <a:fillRect/>
                    </a:stretch>
                  </pic:blipFill>
                  <pic:spPr>
                    <a:xfrm>
                      <a:off x="0" y="0"/>
                      <a:ext cx="5659755" cy="8572500"/>
                    </a:xfrm>
                    <a:prstGeom prst="rect">
                      <a:avLst/>
                    </a:prstGeom>
                    <a:noFill/>
                    <a:ln>
                      <a:noFill/>
                    </a:ln>
                  </pic:spPr>
                </pic:pic>
              </a:graphicData>
            </a:graphic>
          </wp:inline>
        </w:drawing>
      </w:r>
    </w:p>
    <w:p w14:paraId="0CB4DDB5">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47480186">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drawing>
          <wp:inline distT="0" distB="0" distL="114300" distR="114300">
            <wp:extent cx="5675630" cy="8389620"/>
            <wp:effectExtent l="0" t="0" r="1270" b="11430"/>
            <wp:docPr id="8" name="图片 3" descr="1596706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96706980(1)"/>
                    <pic:cNvPicPr>
                      <a:picLocks noChangeAspect="1"/>
                    </pic:cNvPicPr>
                  </pic:nvPicPr>
                  <pic:blipFill>
                    <a:blip r:embed="rId14" cstate="print"/>
                    <a:stretch>
                      <a:fillRect/>
                    </a:stretch>
                  </pic:blipFill>
                  <pic:spPr>
                    <a:xfrm>
                      <a:off x="0" y="0"/>
                      <a:ext cx="5675630" cy="8389620"/>
                    </a:xfrm>
                    <a:prstGeom prst="rect">
                      <a:avLst/>
                    </a:prstGeom>
                    <a:noFill/>
                    <a:ln>
                      <a:noFill/>
                    </a:ln>
                  </pic:spPr>
                </pic:pic>
              </a:graphicData>
            </a:graphic>
          </wp:inline>
        </w:drawing>
      </w:r>
    </w:p>
    <w:p w14:paraId="1208A816">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drawing>
          <wp:inline distT="0" distB="0" distL="114300" distR="114300">
            <wp:extent cx="5720080" cy="8582660"/>
            <wp:effectExtent l="0" t="0" r="13970" b="8890"/>
            <wp:docPr id="10" name="图片 4" descr="1596707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596707014(1)"/>
                    <pic:cNvPicPr>
                      <a:picLocks noChangeAspect="1"/>
                    </pic:cNvPicPr>
                  </pic:nvPicPr>
                  <pic:blipFill>
                    <a:blip r:embed="rId15" cstate="print"/>
                    <a:stretch>
                      <a:fillRect/>
                    </a:stretch>
                  </pic:blipFill>
                  <pic:spPr>
                    <a:xfrm>
                      <a:off x="0" y="0"/>
                      <a:ext cx="5720080" cy="8582660"/>
                    </a:xfrm>
                    <a:prstGeom prst="rect">
                      <a:avLst/>
                    </a:prstGeom>
                    <a:noFill/>
                    <a:ln>
                      <a:noFill/>
                    </a:ln>
                  </pic:spPr>
                </pic:pic>
              </a:graphicData>
            </a:graphic>
          </wp:inline>
        </w:drawing>
      </w:r>
    </w:p>
    <w:p w14:paraId="03EB7A14">
      <w:pPr>
        <w:pStyle w:val="37"/>
        <w:pageBreakBefore w:val="0"/>
        <w:overflowPunct/>
        <w:topLinePunct w:val="0"/>
        <w:bidi w:val="0"/>
        <w:spacing w:line="360" w:lineRule="auto"/>
        <w:ind w:left="0" w:leftChars="0" w:firstLine="0" w:firstLineChars="0"/>
        <w:rPr>
          <w:rFonts w:hint="eastAsia" w:asciiTheme="minorEastAsia" w:hAnsiTheme="minorEastAsia" w:eastAsiaTheme="minorEastAsia" w:cstheme="minorEastAsia"/>
          <w:color w:val="auto"/>
          <w:kern w:val="0"/>
          <w:sz w:val="21"/>
          <w:szCs w:val="21"/>
          <w:highlight w:val="none"/>
          <w:shd w:val="clear" w:color="auto" w:fill="FFFFFF"/>
        </w:rPr>
      </w:pPr>
    </w:p>
    <w:p w14:paraId="460B2745">
      <w:pPr>
        <w:pStyle w:val="37"/>
        <w:pageBreakBefore w:val="0"/>
        <w:overflowPunct/>
        <w:topLinePunct w:val="0"/>
        <w:bidi w:val="0"/>
        <w:spacing w:line="360" w:lineRule="auto"/>
        <w:ind w:left="0" w:leftChars="0" w:firstLine="0" w:firstLineChars="0"/>
        <w:rPr>
          <w:rFonts w:hint="eastAsia" w:asciiTheme="minorEastAsia" w:hAnsiTheme="minorEastAsia" w:eastAsiaTheme="minorEastAsia" w:cstheme="minorEastAsia"/>
          <w:color w:val="auto"/>
          <w:kern w:val="0"/>
          <w:sz w:val="21"/>
          <w:szCs w:val="21"/>
          <w:highlight w:val="none"/>
          <w:shd w:val="clear" w:color="auto" w:fill="FFFFFF"/>
        </w:rPr>
        <w:sectPr>
          <w:pgSz w:w="11920" w:h="16840"/>
          <w:pgMar w:top="1418" w:right="1418" w:bottom="1418" w:left="1418" w:header="794" w:footer="851" w:gutter="284"/>
          <w:pgBorders>
            <w:top w:val="none" w:sz="0" w:space="0"/>
            <w:left w:val="none" w:sz="0" w:space="0"/>
            <w:bottom w:val="none" w:sz="0" w:space="0"/>
            <w:right w:val="none" w:sz="0" w:space="0"/>
          </w:pgBorders>
          <w:cols w:space="720" w:num="1"/>
          <w:docGrid w:linePitch="306" w:charSpace="0"/>
        </w:sectPr>
      </w:pPr>
    </w:p>
    <w:p w14:paraId="06E8B4DC">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关于印发环境标志产品政府采购品目清单的通知</w:t>
      </w:r>
    </w:p>
    <w:p w14:paraId="31C52E9C">
      <w:pPr>
        <w:pageBreakBefore w:val="0"/>
        <w:overflowPunct/>
        <w:topLinePunct w:val="0"/>
        <w:autoSpaceDE w:val="0"/>
        <w:autoSpaceDN w:val="0"/>
        <w:bidi w:val="0"/>
        <w:spacing w:line="360" w:lineRule="auto"/>
        <w:ind w:firstLine="480"/>
        <w:jc w:val="cente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财库〔2019〕18号</w:t>
      </w:r>
    </w:p>
    <w:p w14:paraId="799AEE46">
      <w:pPr>
        <w:pageBreakBefore w:val="0"/>
        <w:overflowPunct/>
        <w:topLinePunct w:val="0"/>
        <w:autoSpaceDE w:val="0"/>
        <w:autoSpaceDN w:val="0"/>
        <w:bidi w:val="0"/>
        <w:spacing w:line="360" w:lineRule="auto"/>
        <w:ind w:firstLine="482"/>
        <w:jc w:val="left"/>
        <w:rPr>
          <w:rFonts w:hint="eastAsia" w:asciiTheme="minorEastAsia" w:hAnsiTheme="minorEastAsia" w:eastAsiaTheme="minorEastAsia" w:cstheme="minorEastAsia"/>
          <w:color w:val="auto"/>
          <w:kern w:val="0"/>
          <w:sz w:val="21"/>
          <w:szCs w:val="21"/>
          <w:highlight w:val="none"/>
        </w:rPr>
      </w:pPr>
    </w:p>
    <w:p w14:paraId="3DD515AB">
      <w:pPr>
        <w:pageBreakBefore w:val="0"/>
        <w:overflowPunct/>
        <w:topLinePunct w:val="0"/>
        <w:autoSpaceDE w:val="0"/>
        <w:autoSpaceDN w:val="0"/>
        <w:bidi w:val="0"/>
        <w:spacing w:line="360" w:lineRule="auto"/>
        <w:ind w:firstLine="482"/>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有关中央预算单位，各省、自治区、直辖市、计划单列市财政厅（局）、生态环境厅（局），新疆生产建设兵团财政局、环境保护局：</w:t>
      </w:r>
    </w:p>
    <w:p w14:paraId="7B6F20DD">
      <w:pPr>
        <w:pageBreakBefore w:val="0"/>
        <w:overflowPunct/>
        <w:topLinePunct w:val="0"/>
        <w:autoSpaceDE w:val="0"/>
        <w:autoSpaceDN w:val="0"/>
        <w:bidi w:val="0"/>
        <w:spacing w:line="360" w:lineRule="auto"/>
        <w:ind w:firstLine="482"/>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根据《财政部发展改革委 生态环境部市场监管总局关于调整优化节能产品环境标志产品政府采购执行机制的通知》（财库〔2019〕9号），我们研究制定了环境标志产品政府采购品目清单，现印发给你们，请遵照执行。</w:t>
      </w:r>
    </w:p>
    <w:p w14:paraId="35B58E40">
      <w:pPr>
        <w:pageBreakBefore w:val="0"/>
        <w:overflowPunct/>
        <w:topLinePunct w:val="0"/>
        <w:autoSpaceDE w:val="0"/>
        <w:autoSpaceDN w:val="0"/>
        <w:bidi w:val="0"/>
        <w:spacing w:line="360" w:lineRule="auto"/>
        <w:ind w:firstLine="482"/>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附件：</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"http://gks.mof.gov.cn/zhengfucaigouguanli/201903/P020190329702478575295.pdf"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kern w:val="0"/>
          <w:sz w:val="21"/>
          <w:szCs w:val="21"/>
          <w:highlight w:val="none"/>
        </w:rPr>
        <w:t>环境标志产品政府采购品目清单</w:t>
      </w:r>
      <w:r>
        <w:rPr>
          <w:rFonts w:hint="eastAsia" w:asciiTheme="minorEastAsia" w:hAnsiTheme="minorEastAsia" w:eastAsiaTheme="minorEastAsia" w:cstheme="minorEastAsia"/>
          <w:color w:val="auto"/>
          <w:kern w:val="0"/>
          <w:sz w:val="21"/>
          <w:szCs w:val="21"/>
          <w:highlight w:val="none"/>
        </w:rPr>
        <w:fldChar w:fldCharType="end"/>
      </w:r>
    </w:p>
    <w:p w14:paraId="1DB91808">
      <w:pPr>
        <w:pageBreakBefore w:val="0"/>
        <w:overflowPunct/>
        <w:topLinePunct w:val="0"/>
        <w:autoSpaceDE w:val="0"/>
        <w:autoSpaceDN w:val="0"/>
        <w:bidi w:val="0"/>
        <w:spacing w:line="360" w:lineRule="auto"/>
        <w:ind w:firstLine="482"/>
        <w:jc w:val="righ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财政部生态环境部</w:t>
      </w:r>
    </w:p>
    <w:p w14:paraId="3E74A393">
      <w:pPr>
        <w:pageBreakBefore w:val="0"/>
        <w:overflowPunct/>
        <w:topLinePunct w:val="0"/>
        <w:autoSpaceDE w:val="0"/>
        <w:autoSpaceDN w:val="0"/>
        <w:bidi w:val="0"/>
        <w:spacing w:line="360" w:lineRule="auto"/>
        <w:ind w:firstLine="482"/>
        <w:jc w:val="righ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2019年3月29日</w:t>
      </w:r>
    </w:p>
    <w:p w14:paraId="6AE211B4">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651201B0">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2394134E">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1B947DA8">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3F9D6183">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60268257">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1676C093">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2D269C19">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438EC2CC">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6C596FD6">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771B5467">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7E633538">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0D74959A">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6BFCF514">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3C0FAA69">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53D94F7D">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74B34996">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228639FB">
      <w:pPr>
        <w:pStyle w:val="37"/>
        <w:pageBreakBefore w:val="0"/>
        <w:overflowPunct/>
        <w:topLinePunct w:val="0"/>
        <w:bidi w:val="0"/>
        <w:spacing w:line="360" w:lineRule="auto"/>
        <w:ind w:firstLine="480"/>
        <w:rPr>
          <w:rFonts w:hint="eastAsia" w:asciiTheme="minorEastAsia" w:hAnsiTheme="minorEastAsia" w:eastAsiaTheme="minorEastAsia" w:cstheme="minorEastAsia"/>
          <w:color w:val="auto"/>
          <w:kern w:val="0"/>
          <w:sz w:val="21"/>
          <w:szCs w:val="21"/>
          <w:highlight w:val="none"/>
        </w:rPr>
      </w:pPr>
    </w:p>
    <w:p w14:paraId="6FBD8AEA">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drawing>
          <wp:inline distT="0" distB="0" distL="114300" distR="114300">
            <wp:extent cx="5577840" cy="7890510"/>
            <wp:effectExtent l="0" t="0" r="3810" b="15240"/>
            <wp:docPr id="13" name="图片 13" descr="提取自P02019032970247857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提取自P020190329702478575295"/>
                    <pic:cNvPicPr>
                      <a:picLocks noChangeAspect="1"/>
                    </pic:cNvPicPr>
                  </pic:nvPicPr>
                  <pic:blipFill>
                    <a:blip r:embed="rId16" cstate="print"/>
                    <a:stretch>
                      <a:fillRect/>
                    </a:stretch>
                  </pic:blipFill>
                  <pic:spPr>
                    <a:xfrm>
                      <a:off x="0" y="0"/>
                      <a:ext cx="5577840" cy="7890510"/>
                    </a:xfrm>
                    <a:prstGeom prst="rect">
                      <a:avLst/>
                    </a:prstGeom>
                  </pic:spPr>
                </pic:pic>
              </a:graphicData>
            </a:graphic>
          </wp:inline>
        </w:drawing>
      </w:r>
    </w:p>
    <w:p w14:paraId="1F588909">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5E89350B">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6DFE20DE">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drawing>
          <wp:inline distT="0" distB="0" distL="114300" distR="114300">
            <wp:extent cx="5577840" cy="7890510"/>
            <wp:effectExtent l="0" t="0" r="3810" b="15240"/>
            <wp:docPr id="14" name="图片 14" descr="提取自P020190329702478575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提取自P020190329702478575295(1)"/>
                    <pic:cNvPicPr>
                      <a:picLocks noChangeAspect="1"/>
                    </pic:cNvPicPr>
                  </pic:nvPicPr>
                  <pic:blipFill>
                    <a:blip r:embed="rId17" cstate="print"/>
                    <a:stretch>
                      <a:fillRect/>
                    </a:stretch>
                  </pic:blipFill>
                  <pic:spPr>
                    <a:xfrm>
                      <a:off x="0" y="0"/>
                      <a:ext cx="5577840" cy="7890510"/>
                    </a:xfrm>
                    <a:prstGeom prst="rect">
                      <a:avLst/>
                    </a:prstGeom>
                  </pic:spPr>
                </pic:pic>
              </a:graphicData>
            </a:graphic>
          </wp:inline>
        </w:drawing>
      </w:r>
    </w:p>
    <w:p w14:paraId="1B75C0DB">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1F791030">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5627A599">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drawing>
          <wp:inline distT="0" distB="0" distL="114300" distR="114300">
            <wp:extent cx="5577840" cy="7890510"/>
            <wp:effectExtent l="0" t="0" r="3810" b="15240"/>
            <wp:docPr id="15" name="图片 15" descr="提取自P020190329702478575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提取自P020190329702478575295(2)"/>
                    <pic:cNvPicPr>
                      <a:picLocks noChangeAspect="1"/>
                    </pic:cNvPicPr>
                  </pic:nvPicPr>
                  <pic:blipFill>
                    <a:blip r:embed="rId18" cstate="print"/>
                    <a:stretch>
                      <a:fillRect/>
                    </a:stretch>
                  </pic:blipFill>
                  <pic:spPr>
                    <a:xfrm>
                      <a:off x="0" y="0"/>
                      <a:ext cx="5577840" cy="7890510"/>
                    </a:xfrm>
                    <a:prstGeom prst="rect">
                      <a:avLst/>
                    </a:prstGeom>
                  </pic:spPr>
                </pic:pic>
              </a:graphicData>
            </a:graphic>
          </wp:inline>
        </w:drawing>
      </w:r>
    </w:p>
    <w:p w14:paraId="2EE25F21">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3C826A7E">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590DB420">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drawing>
          <wp:inline distT="0" distB="0" distL="114300" distR="114300">
            <wp:extent cx="5577840" cy="7890510"/>
            <wp:effectExtent l="0" t="0" r="3810" b="15240"/>
            <wp:docPr id="11" name="图片 11" descr="提取自P020190329702478575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提取自P020190329702478575295(3)"/>
                    <pic:cNvPicPr>
                      <a:picLocks noChangeAspect="1"/>
                    </pic:cNvPicPr>
                  </pic:nvPicPr>
                  <pic:blipFill>
                    <a:blip r:embed="rId19" cstate="print"/>
                    <a:stretch>
                      <a:fillRect/>
                    </a:stretch>
                  </pic:blipFill>
                  <pic:spPr>
                    <a:xfrm>
                      <a:off x="0" y="0"/>
                      <a:ext cx="5577840" cy="7890510"/>
                    </a:xfrm>
                    <a:prstGeom prst="rect">
                      <a:avLst/>
                    </a:prstGeom>
                  </pic:spPr>
                </pic:pic>
              </a:graphicData>
            </a:graphic>
          </wp:inline>
        </w:drawing>
      </w:r>
    </w:p>
    <w:p w14:paraId="77C863FB">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6A339B10">
      <w:pPr>
        <w:pStyle w:val="37"/>
        <w:pageBreakBefore w:val="0"/>
        <w:overflowPunct/>
        <w:topLinePunct w:val="0"/>
        <w:bidi w:val="0"/>
        <w:spacing w:line="360" w:lineRule="auto"/>
        <w:ind w:left="0" w:leftChars="0" w:firstLine="0" w:firstLineChars="0"/>
        <w:rPr>
          <w:rFonts w:hint="eastAsia" w:asciiTheme="minorEastAsia" w:hAnsiTheme="minorEastAsia" w:eastAsiaTheme="minorEastAsia" w:cstheme="minorEastAsia"/>
          <w:color w:val="auto"/>
          <w:kern w:val="0"/>
          <w:sz w:val="21"/>
          <w:szCs w:val="21"/>
          <w:highlight w:val="none"/>
        </w:rPr>
      </w:pPr>
    </w:p>
    <w:p w14:paraId="0539E531">
      <w:pPr>
        <w:pageBreakBefore w:val="0"/>
        <w:overflowPunct/>
        <w:topLinePunct w:val="0"/>
        <w:bidi w:val="0"/>
        <w:spacing w:line="360" w:lineRule="auto"/>
        <w:ind w:firstLine="482"/>
        <w:rPr>
          <w:rFonts w:hint="eastAsia" w:asciiTheme="minorEastAsia" w:hAnsiTheme="minorEastAsia" w:eastAsiaTheme="minorEastAsia" w:cstheme="minorEastAsia"/>
          <w:color w:val="auto"/>
          <w:kern w:val="0"/>
          <w:sz w:val="21"/>
          <w:szCs w:val="21"/>
          <w:highlight w:val="none"/>
        </w:rPr>
      </w:pPr>
    </w:p>
    <w:p w14:paraId="6A521A57">
      <w:pPr>
        <w:pStyle w:val="37"/>
        <w:pageBreakBefore w:val="0"/>
        <w:overflowPunct/>
        <w:topLinePunct w:val="0"/>
        <w:bidi w:val="0"/>
        <w:spacing w:line="360" w:lineRule="auto"/>
        <w:ind w:left="0" w:leftChars="0"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drawing>
          <wp:inline distT="0" distB="0" distL="114300" distR="114300">
            <wp:extent cx="5219700" cy="8720455"/>
            <wp:effectExtent l="0" t="0" r="0" b="4445"/>
            <wp:docPr id="31" name="图片 31" descr="17213822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21382210080"/>
                    <pic:cNvPicPr>
                      <a:picLocks noChangeAspect="1"/>
                    </pic:cNvPicPr>
                  </pic:nvPicPr>
                  <pic:blipFill>
                    <a:blip r:embed="rId20" cstate="print"/>
                    <a:stretch>
                      <a:fillRect/>
                    </a:stretch>
                  </pic:blipFill>
                  <pic:spPr>
                    <a:xfrm>
                      <a:off x="0" y="0"/>
                      <a:ext cx="5219700" cy="8720455"/>
                    </a:xfrm>
                    <a:prstGeom prst="rect">
                      <a:avLst/>
                    </a:prstGeom>
                  </pic:spPr>
                </pic:pic>
              </a:graphicData>
            </a:graphic>
          </wp:inline>
        </w:drawing>
      </w:r>
    </w:p>
    <w:p w14:paraId="0FAA872A">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drawing>
          <wp:inline distT="0" distB="0" distL="114300" distR="114300">
            <wp:extent cx="5276215" cy="8880475"/>
            <wp:effectExtent l="0" t="0" r="635" b="15875"/>
            <wp:docPr id="32" name="图片 32" descr="172138225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21382256957"/>
                    <pic:cNvPicPr>
                      <a:picLocks noChangeAspect="1"/>
                    </pic:cNvPicPr>
                  </pic:nvPicPr>
                  <pic:blipFill>
                    <a:blip r:embed="rId21" cstate="print"/>
                    <a:stretch>
                      <a:fillRect/>
                    </a:stretch>
                  </pic:blipFill>
                  <pic:spPr>
                    <a:xfrm>
                      <a:off x="0" y="0"/>
                      <a:ext cx="5276215" cy="8880475"/>
                    </a:xfrm>
                    <a:prstGeom prst="rect">
                      <a:avLst/>
                    </a:prstGeom>
                  </pic:spPr>
                </pic:pic>
              </a:graphicData>
            </a:graphic>
          </wp:inline>
        </w:drawing>
      </w:r>
    </w:p>
    <w:p w14:paraId="4CBD697B">
      <w:pPr>
        <w:pageBreakBefore w:val="0"/>
        <w:overflowPunct/>
        <w:topLinePunct w:val="0"/>
        <w:bidi w:val="0"/>
        <w:spacing w:line="360" w:lineRule="auto"/>
        <w:ind w:firstLine="56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drawing>
          <wp:inline distT="0" distB="0" distL="114300" distR="114300">
            <wp:extent cx="5321300" cy="6454140"/>
            <wp:effectExtent l="0" t="0" r="12700" b="3810"/>
            <wp:docPr id="33" name="图片 33" descr="172138229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21382293041"/>
                    <pic:cNvPicPr>
                      <a:picLocks noChangeAspect="1"/>
                    </pic:cNvPicPr>
                  </pic:nvPicPr>
                  <pic:blipFill>
                    <a:blip r:embed="rId22" cstate="print"/>
                    <a:stretch>
                      <a:fillRect/>
                    </a:stretch>
                  </pic:blipFill>
                  <pic:spPr>
                    <a:xfrm>
                      <a:off x="0" y="0"/>
                      <a:ext cx="5321300" cy="6454140"/>
                    </a:xfrm>
                    <a:prstGeom prst="rect">
                      <a:avLst/>
                    </a:prstGeom>
                  </pic:spPr>
                </pic:pic>
              </a:graphicData>
            </a:graphic>
          </wp:inline>
        </w:drawing>
      </w:r>
    </w:p>
    <w:p w14:paraId="27985578">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430FD93E">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25BFA33A">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607706B4">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25C7E135">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258E1E15">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p>
    <w:p w14:paraId="5C66D506">
      <w:pPr>
        <w:pStyle w:val="37"/>
        <w:pageBreakBefore w:val="0"/>
        <w:overflowPunct/>
        <w:topLinePunct w:val="0"/>
        <w:bidi w:val="0"/>
        <w:spacing w:line="360" w:lineRule="auto"/>
        <w:ind w:firstLine="562"/>
        <w:rPr>
          <w:rFonts w:hint="eastAsia" w:asciiTheme="minorEastAsia" w:hAnsiTheme="minorEastAsia" w:eastAsiaTheme="minorEastAsia" w:cstheme="minorEastAsia"/>
          <w:b/>
          <w:color w:val="auto"/>
          <w:sz w:val="21"/>
          <w:szCs w:val="21"/>
          <w:highlight w:val="none"/>
        </w:rPr>
      </w:pPr>
    </w:p>
    <w:p w14:paraId="015E2473">
      <w:pPr>
        <w:pageBreakBefore w:val="0"/>
        <w:overflowPunct/>
        <w:topLinePunct w:val="0"/>
        <w:bidi w:val="0"/>
        <w:spacing w:line="360" w:lineRule="auto"/>
        <w:ind w:firstLine="422"/>
        <w:rPr>
          <w:rFonts w:hint="eastAsia" w:asciiTheme="minorEastAsia" w:hAnsiTheme="minorEastAsia" w:eastAsiaTheme="minorEastAsia" w:cstheme="minorEastAsia"/>
          <w:color w:val="auto"/>
          <w:sz w:val="21"/>
          <w:szCs w:val="21"/>
          <w:highlight w:val="none"/>
        </w:rPr>
      </w:pPr>
    </w:p>
    <w:p w14:paraId="16F59E5F">
      <w:pPr>
        <w:pageBreakBefore w:val="0"/>
        <w:overflowPunct/>
        <w:topLinePunct w:val="0"/>
        <w:bidi w:val="0"/>
        <w:spacing w:line="360" w:lineRule="auto"/>
        <w:ind w:firstLine="56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关于印发中小企业划型标准规定的通知</w:t>
      </w:r>
    </w:p>
    <w:p w14:paraId="69429EF7">
      <w:pPr>
        <w:pStyle w:val="32"/>
        <w:pageBreakBefore w:val="0"/>
        <w:overflowPunct/>
        <w:topLinePunct w:val="0"/>
        <w:bidi w:val="0"/>
        <w:spacing w:line="360" w:lineRule="auto"/>
        <w:ind w:firstLine="482"/>
        <w:jc w:val="center"/>
        <w:rPr>
          <w:rFonts w:hint="eastAsia" w:asciiTheme="minorEastAsia" w:hAnsiTheme="minorEastAsia" w:eastAsiaTheme="minorEastAsia" w:cstheme="minorEastAsia"/>
          <w:color w:val="auto"/>
          <w:sz w:val="21"/>
          <w:szCs w:val="21"/>
          <w:highlight w:val="none"/>
        </w:rPr>
      </w:pPr>
      <w:bookmarkStart w:id="293" w:name="_Toc1413325678_WPSOffice_Level3"/>
      <w:r>
        <w:rPr>
          <w:rFonts w:hint="eastAsia" w:asciiTheme="minorEastAsia" w:hAnsiTheme="minorEastAsia" w:eastAsiaTheme="minorEastAsia" w:cstheme="minorEastAsia"/>
          <w:color w:val="auto"/>
          <w:sz w:val="21"/>
          <w:szCs w:val="21"/>
          <w:highlight w:val="none"/>
        </w:rPr>
        <w:t>工信部联企业[2011]300号</w:t>
      </w:r>
      <w:bookmarkEnd w:id="293"/>
    </w:p>
    <w:p w14:paraId="0F9940BA">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各省、自治区、直辖市人民政府，国务院各部委、各直属机构及有关单位：</w:t>
      </w:r>
    </w:p>
    <w:p w14:paraId="74910C98">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3B3F5FE">
      <w:pPr>
        <w:pStyle w:val="32"/>
        <w:pageBreakBefore w:val="0"/>
        <w:overflowPunct/>
        <w:topLinePunct w:val="0"/>
        <w:bidi w:val="0"/>
        <w:spacing w:line="360" w:lineRule="auto"/>
        <w:ind w:firstLine="482"/>
        <w:jc w:val="righ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工业和信息化部　国家统计局</w:t>
      </w:r>
    </w:p>
    <w:p w14:paraId="1FED3020">
      <w:pPr>
        <w:pStyle w:val="32"/>
        <w:pageBreakBefore w:val="0"/>
        <w:overflowPunct/>
        <w:topLinePunct w:val="0"/>
        <w:bidi w:val="0"/>
        <w:spacing w:line="360" w:lineRule="auto"/>
        <w:ind w:firstLine="482"/>
        <w:jc w:val="righ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国家发展和改革委员会　财政部</w:t>
      </w:r>
    </w:p>
    <w:p w14:paraId="40C687AE">
      <w:pPr>
        <w:pStyle w:val="32"/>
        <w:pageBreakBefore w:val="0"/>
        <w:overflowPunct/>
        <w:topLinePunct w:val="0"/>
        <w:bidi w:val="0"/>
        <w:spacing w:line="360" w:lineRule="auto"/>
        <w:ind w:firstLine="482"/>
        <w:jc w:val="righ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二〇一一年六月十八日</w:t>
      </w:r>
    </w:p>
    <w:p w14:paraId="07BC75E0">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附件： </w:t>
      </w:r>
    </w:p>
    <w:p w14:paraId="4301EF86">
      <w:pPr>
        <w:pStyle w:val="32"/>
        <w:pageBreakBefore w:val="0"/>
        <w:overflowPunct/>
        <w:topLinePunct w:val="0"/>
        <w:bidi w:val="0"/>
        <w:spacing w:line="360" w:lineRule="auto"/>
        <w:ind w:firstLine="480"/>
        <w:jc w:val="center"/>
        <w:rPr>
          <w:rFonts w:hint="eastAsia" w:asciiTheme="minorEastAsia" w:hAnsiTheme="minorEastAsia" w:eastAsiaTheme="minorEastAsia" w:cstheme="minorEastAsia"/>
          <w:color w:val="auto"/>
          <w:sz w:val="21"/>
          <w:szCs w:val="21"/>
          <w:highlight w:val="none"/>
        </w:rPr>
      </w:pPr>
      <w:bookmarkStart w:id="294" w:name="_Toc1817875417_WPSOffice_Level2"/>
      <w:r>
        <w:rPr>
          <w:rStyle w:val="42"/>
          <w:rFonts w:hint="eastAsia" w:asciiTheme="minorEastAsia" w:hAnsiTheme="minorEastAsia" w:eastAsiaTheme="minorEastAsia" w:cstheme="minorEastAsia"/>
          <w:color w:val="auto"/>
          <w:sz w:val="21"/>
          <w:szCs w:val="21"/>
          <w:highlight w:val="none"/>
        </w:rPr>
        <w:t>中小企业划型标准规定</w:t>
      </w:r>
      <w:bookmarkEnd w:id="294"/>
    </w:p>
    <w:p w14:paraId="06925672">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一、根据《中华人民共和国中小企业促进法》和《国务院关于进一步促进中小企业发展的若干意见》(国发〔2009〕36号)，制定本规定。</w:t>
      </w:r>
    </w:p>
    <w:p w14:paraId="57F24608">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二、中小企业划分为中型、小型、微型三种类型，具体标准根据企业从业人员、营业收入、资产总额等指标，结合行业特点制定。</w:t>
      </w:r>
    </w:p>
    <w:p w14:paraId="722EE9DB">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1314187">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四、各行业划型标准为：</w:t>
      </w:r>
    </w:p>
    <w:p w14:paraId="79E88C4A">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14:paraId="10134324">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00FA91A">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4D04E41">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EC33216">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C118DCF">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9B90812">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0139418">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C17FDAD">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DE4ABC4">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4C9E1F3">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C162B0E">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87BE6D0">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37D9603">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4DD2EE5">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13455DB">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（十六）其他未列明行业。从业人员300人以下的为中小微型企业。其中，从业人员100人及以上的为中型企业；从业人员10人及以上的为小型企业；从业人员10人以下的为微型企业。</w:t>
      </w:r>
    </w:p>
    <w:p w14:paraId="5554E179">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五、企业类型的划分以统计部门的统计数据为依据。</w:t>
      </w:r>
    </w:p>
    <w:p w14:paraId="551B3B06">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六、本规定适用于在中华人民共和国境内依法设立的各类所有制和各种组织形式的企业。个体工商户和本规定以外的行业，参照本规定进行划型。</w:t>
      </w:r>
    </w:p>
    <w:p w14:paraId="62D9AD0B">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2B65C702">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八、本规定由工业和信息化部、国家统计局会同有关部门根据《国民经济行业分类》修订情况和企业发展变化情况适时修订。</w:t>
      </w:r>
    </w:p>
    <w:p w14:paraId="6DF8AFEC">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九、本规定由工业和信息化部、国家统计局会同有关部门负责解释。</w:t>
      </w:r>
    </w:p>
    <w:p w14:paraId="0CE5B88F">
      <w:pPr>
        <w:pStyle w:val="32"/>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lang w:val="zh-TW"/>
        </w:rPr>
      </w:pPr>
      <w:r>
        <w:rPr>
          <w:rFonts w:hint="eastAsia" w:asciiTheme="minorEastAsia" w:hAnsiTheme="minorEastAsia" w:eastAsiaTheme="minorEastAsia" w:cstheme="minorEastAsia"/>
          <w:color w:val="auto"/>
          <w:sz w:val="21"/>
          <w:szCs w:val="21"/>
          <w:highlight w:val="none"/>
        </w:rPr>
        <w:t>　　十、本规定自发布之日起执行，原国家经贸委、原国家计委、财政部和国家统计局2003年颁布的《中小企业标准暂行规定》同时废止。</w:t>
      </w:r>
    </w:p>
    <w:p w14:paraId="48869AD2">
      <w:pPr>
        <w:pageBreakBefore w:val="0"/>
        <w:overflowPunct/>
        <w:topLinePunct w:val="0"/>
        <w:bidi w:val="0"/>
        <w:spacing w:line="360" w:lineRule="auto"/>
        <w:ind w:firstLine="482"/>
        <w:rPr>
          <w:rFonts w:hint="eastAsia" w:asciiTheme="minorEastAsia" w:hAnsiTheme="minorEastAsia" w:eastAsiaTheme="minorEastAsia" w:cstheme="minorEastAsia"/>
          <w:color w:val="auto"/>
          <w:sz w:val="21"/>
          <w:szCs w:val="21"/>
          <w:highlight w:val="none"/>
        </w:rPr>
      </w:pPr>
    </w:p>
    <w:p w14:paraId="26901382">
      <w:pPr>
        <w:pStyle w:val="30"/>
        <w:pageBreakBefore w:val="0"/>
        <w:tabs>
          <w:tab w:val="left" w:pos="851"/>
        </w:tabs>
        <w:overflowPunct/>
        <w:topLinePunct w:val="0"/>
        <w:bidi w:val="0"/>
        <w:spacing w:line="360" w:lineRule="auto"/>
        <w:ind w:firstLine="440"/>
        <w:jc w:val="center"/>
        <w:rPr>
          <w:rFonts w:hint="eastAsia" w:asciiTheme="minorEastAsia" w:hAnsiTheme="minorEastAsia" w:eastAsiaTheme="minorEastAsia" w:cstheme="minorEastAsia"/>
          <w:b/>
          <w:color w:val="auto"/>
          <w:sz w:val="21"/>
          <w:szCs w:val="21"/>
          <w:highlight w:val="none"/>
        </w:rPr>
      </w:pPr>
    </w:p>
    <w:p w14:paraId="277A7D5F">
      <w:pPr>
        <w:ind w:firstLine="0"/>
        <w:rPr>
          <w:color w:val="auto"/>
          <w:sz w:val="24"/>
          <w:highlight w:val="none"/>
        </w:rPr>
      </w:pPr>
      <w:r>
        <w:rPr>
          <w:color w:val="auto"/>
          <w:sz w:val="24"/>
          <w:highlight w:val="none"/>
        </w:rPr>
        <w:br w:type="page"/>
      </w:r>
    </w:p>
    <w:p w14:paraId="71D050DC">
      <w:pPr>
        <w:pStyle w:val="6"/>
        <w:spacing w:before="42" w:line="360" w:lineRule="auto"/>
        <w:ind w:right="436" w:firstLine="602"/>
        <w:jc w:val="center"/>
        <w:rPr>
          <w:rFonts w:hint="eastAsia" w:asciiTheme="minorEastAsia" w:hAnsiTheme="minorEastAsia" w:eastAsiaTheme="minorEastAsia" w:cstheme="minorEastAsia"/>
          <w:bCs w:val="0"/>
          <w:color w:val="auto"/>
          <w:szCs w:val="28"/>
          <w:highlight w:val="none"/>
          <w:lang w:bidi="zh-CN"/>
        </w:rPr>
      </w:pPr>
      <w:bookmarkStart w:id="295" w:name="_Toc7259"/>
      <w:bookmarkStart w:id="296" w:name="_Toc20233"/>
      <w:bookmarkStart w:id="297" w:name="_Toc28204"/>
      <w:r>
        <w:rPr>
          <w:rFonts w:hint="eastAsia" w:asciiTheme="minorEastAsia" w:hAnsiTheme="minorEastAsia" w:eastAsiaTheme="minorEastAsia" w:cstheme="minorEastAsia"/>
          <w:b/>
          <w:bCs w:val="0"/>
          <w:color w:val="auto"/>
          <w:sz w:val="28"/>
          <w:szCs w:val="28"/>
          <w:highlight w:val="none"/>
          <w:lang w:bidi="zh-CN"/>
        </w:rPr>
        <w:t>十四、产品适应政府采购政策情况表</w:t>
      </w:r>
      <w:bookmarkEnd w:id="295"/>
      <w:bookmarkEnd w:id="296"/>
      <w:bookmarkEnd w:id="297"/>
    </w:p>
    <w:p w14:paraId="3A7DD5B0">
      <w:pPr>
        <w:pStyle w:val="11"/>
        <w:ind w:firstLine="0"/>
        <w:jc w:val="center"/>
        <w:rPr>
          <w:rFonts w:ascii="宋体" w:hAnsi="宋体"/>
          <w:b/>
          <w:color w:val="auto"/>
          <w:szCs w:val="24"/>
          <w:highlight w:val="none"/>
          <w:lang w:val="en-GB"/>
        </w:rPr>
      </w:pPr>
      <w:r>
        <w:rPr>
          <w:rFonts w:hint="eastAsia" w:ascii="宋体" w:hAnsi="宋体"/>
          <w:b/>
          <w:color w:val="auto"/>
          <w:szCs w:val="24"/>
          <w:highlight w:val="none"/>
          <w:lang w:val="en-GB"/>
        </w:rPr>
        <w:t>节能产品明细表</w:t>
      </w:r>
    </w:p>
    <w:p w14:paraId="1011A663">
      <w:pPr>
        <w:pStyle w:val="11"/>
        <w:spacing w:line="360" w:lineRule="auto"/>
        <w:ind w:firstLine="0"/>
        <w:rPr>
          <w:rFonts w:ascii="宋体" w:hAnsi="宋体" w:cs="宋体"/>
          <w:color w:val="auto"/>
          <w:szCs w:val="24"/>
          <w:highlight w:val="none"/>
          <w:lang w:val="en-GB"/>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916"/>
        <w:gridCol w:w="916"/>
        <w:gridCol w:w="916"/>
        <w:gridCol w:w="917"/>
        <w:gridCol w:w="917"/>
        <w:gridCol w:w="917"/>
        <w:gridCol w:w="917"/>
        <w:gridCol w:w="917"/>
      </w:tblGrid>
      <w:tr w14:paraId="1B8F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noWrap w:val="0"/>
            <w:vAlign w:val="center"/>
          </w:tcPr>
          <w:p w14:paraId="43A23A48">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序号</w:t>
            </w:r>
          </w:p>
        </w:tc>
        <w:tc>
          <w:tcPr>
            <w:tcW w:w="916" w:type="dxa"/>
            <w:noWrap w:val="0"/>
            <w:vAlign w:val="center"/>
          </w:tcPr>
          <w:p w14:paraId="37C6B43E">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设备名称</w:t>
            </w:r>
          </w:p>
        </w:tc>
        <w:tc>
          <w:tcPr>
            <w:tcW w:w="916" w:type="dxa"/>
            <w:noWrap w:val="0"/>
            <w:vAlign w:val="center"/>
          </w:tcPr>
          <w:p w14:paraId="1C7D9D9F">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品牌</w:t>
            </w:r>
          </w:p>
          <w:p w14:paraId="02C2504C">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型号</w:t>
            </w:r>
          </w:p>
        </w:tc>
        <w:tc>
          <w:tcPr>
            <w:tcW w:w="916" w:type="dxa"/>
            <w:noWrap w:val="0"/>
            <w:vAlign w:val="center"/>
          </w:tcPr>
          <w:p w14:paraId="6C6C8042">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制造商名称</w:t>
            </w:r>
          </w:p>
        </w:tc>
        <w:tc>
          <w:tcPr>
            <w:tcW w:w="917" w:type="dxa"/>
            <w:noWrap w:val="0"/>
            <w:vAlign w:val="center"/>
          </w:tcPr>
          <w:p w14:paraId="76CE5EB6">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节字标志认证证书号</w:t>
            </w:r>
          </w:p>
        </w:tc>
        <w:tc>
          <w:tcPr>
            <w:tcW w:w="917" w:type="dxa"/>
            <w:noWrap w:val="0"/>
            <w:vAlign w:val="center"/>
          </w:tcPr>
          <w:p w14:paraId="7373C059">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国家节能产品认证证书有效截止日期</w:t>
            </w:r>
          </w:p>
        </w:tc>
        <w:tc>
          <w:tcPr>
            <w:tcW w:w="917" w:type="dxa"/>
            <w:noWrap w:val="0"/>
            <w:vAlign w:val="center"/>
          </w:tcPr>
          <w:p w14:paraId="1A612976">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数量</w:t>
            </w:r>
          </w:p>
        </w:tc>
        <w:tc>
          <w:tcPr>
            <w:tcW w:w="917" w:type="dxa"/>
            <w:noWrap w:val="0"/>
            <w:vAlign w:val="center"/>
          </w:tcPr>
          <w:p w14:paraId="4581E42A">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单价</w:t>
            </w:r>
          </w:p>
        </w:tc>
        <w:tc>
          <w:tcPr>
            <w:tcW w:w="917" w:type="dxa"/>
            <w:noWrap w:val="0"/>
            <w:vAlign w:val="center"/>
          </w:tcPr>
          <w:p w14:paraId="71CAD8A1">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总价</w:t>
            </w:r>
          </w:p>
        </w:tc>
      </w:tr>
      <w:tr w14:paraId="2ACE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noWrap w:val="0"/>
            <w:vAlign w:val="top"/>
          </w:tcPr>
          <w:p w14:paraId="41150BB7">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0D159C96">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1B5655D5">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467E1337">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7277F817">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0D658ED7">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35568BB9">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2C98B3FB">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71E87B3A">
            <w:pPr>
              <w:tabs>
                <w:tab w:val="left" w:pos="840"/>
              </w:tabs>
              <w:autoSpaceDE w:val="0"/>
              <w:autoSpaceDN w:val="0"/>
              <w:adjustRightInd w:val="0"/>
              <w:spacing w:line="360" w:lineRule="auto"/>
              <w:rPr>
                <w:rFonts w:ascii="宋体" w:hAnsi="宋体" w:cs="宋体"/>
                <w:b/>
                <w:color w:val="auto"/>
                <w:szCs w:val="21"/>
                <w:highlight w:val="none"/>
                <w:lang w:val="en-GB"/>
              </w:rPr>
            </w:pPr>
          </w:p>
        </w:tc>
      </w:tr>
      <w:tr w14:paraId="7453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noWrap w:val="0"/>
            <w:vAlign w:val="top"/>
          </w:tcPr>
          <w:p w14:paraId="7F53DBE2">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5FB1612D">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16BE388E">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1B007BA2">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6F8C8342">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71A8CE09">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58A11D0B">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5F7D1168">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3209E35E">
            <w:pPr>
              <w:tabs>
                <w:tab w:val="left" w:pos="840"/>
              </w:tabs>
              <w:autoSpaceDE w:val="0"/>
              <w:autoSpaceDN w:val="0"/>
              <w:adjustRightInd w:val="0"/>
              <w:spacing w:line="360" w:lineRule="auto"/>
              <w:rPr>
                <w:rFonts w:ascii="宋体" w:hAnsi="宋体" w:cs="宋体"/>
                <w:b/>
                <w:color w:val="auto"/>
                <w:szCs w:val="21"/>
                <w:highlight w:val="none"/>
                <w:lang w:val="en-GB"/>
              </w:rPr>
            </w:pPr>
          </w:p>
        </w:tc>
      </w:tr>
      <w:tr w14:paraId="3530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noWrap w:val="0"/>
            <w:vAlign w:val="top"/>
          </w:tcPr>
          <w:p w14:paraId="6C8C74A9">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3A898D20">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727E34AD">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176C5164">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4CE672D2">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509E2E76">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66393C4C">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7A4ED9AA">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2BCEA3A2">
            <w:pPr>
              <w:tabs>
                <w:tab w:val="left" w:pos="840"/>
              </w:tabs>
              <w:autoSpaceDE w:val="0"/>
              <w:autoSpaceDN w:val="0"/>
              <w:adjustRightInd w:val="0"/>
              <w:spacing w:line="360" w:lineRule="auto"/>
              <w:rPr>
                <w:rFonts w:ascii="宋体" w:hAnsi="宋体" w:cs="宋体"/>
                <w:b/>
                <w:color w:val="auto"/>
                <w:szCs w:val="21"/>
                <w:highlight w:val="none"/>
                <w:lang w:val="en-GB"/>
              </w:rPr>
            </w:pPr>
          </w:p>
        </w:tc>
      </w:tr>
      <w:tr w14:paraId="16A6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noWrap w:val="0"/>
            <w:vAlign w:val="top"/>
          </w:tcPr>
          <w:p w14:paraId="2ED51B62">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5399AED8">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5152785D">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604BB3C4">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2614E316">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0661E5A2">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312EC721">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7B996F4D">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6B47C670">
            <w:pPr>
              <w:tabs>
                <w:tab w:val="left" w:pos="840"/>
              </w:tabs>
              <w:autoSpaceDE w:val="0"/>
              <w:autoSpaceDN w:val="0"/>
              <w:adjustRightInd w:val="0"/>
              <w:spacing w:line="360" w:lineRule="auto"/>
              <w:rPr>
                <w:rFonts w:ascii="宋体" w:hAnsi="宋体" w:cs="宋体"/>
                <w:b/>
                <w:color w:val="auto"/>
                <w:szCs w:val="21"/>
                <w:highlight w:val="none"/>
                <w:lang w:val="en-GB"/>
              </w:rPr>
            </w:pPr>
          </w:p>
        </w:tc>
      </w:tr>
    </w:tbl>
    <w:p w14:paraId="23FC862E">
      <w:pPr>
        <w:rPr>
          <w:rFonts w:ascii="宋体" w:hAnsi="宋体"/>
          <w:color w:val="auto"/>
          <w:szCs w:val="21"/>
          <w:highlight w:val="none"/>
        </w:rPr>
      </w:pPr>
    </w:p>
    <w:p w14:paraId="3C3DEC91">
      <w:pPr>
        <w:spacing w:line="480" w:lineRule="exact"/>
        <w:ind w:firstLine="3360" w:firstLineChars="1600"/>
        <w:rPr>
          <w:rFonts w:ascii="宋体" w:hAnsi="宋体"/>
          <w:bCs/>
          <w:color w:val="auto"/>
          <w:szCs w:val="21"/>
          <w:highlight w:val="none"/>
        </w:rPr>
      </w:pPr>
      <w:r>
        <w:rPr>
          <w:rFonts w:hint="eastAsia" w:ascii="宋体" w:hAnsi="宋体" w:cs="微软雅黑"/>
          <w:color w:val="auto"/>
          <w:kern w:val="0"/>
          <w:szCs w:val="21"/>
          <w:highlight w:val="none"/>
          <w:lang w:val="en-US" w:eastAsia="zh-CN"/>
        </w:rPr>
        <w:t>供 应 商</w:t>
      </w:r>
      <w:r>
        <w:rPr>
          <w:rFonts w:hint="eastAsia" w:ascii="宋体" w:hAnsi="宋体"/>
          <w:bCs/>
          <w:color w:val="auto"/>
          <w:szCs w:val="21"/>
          <w:highlight w:val="none"/>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rPr>
        <w:t>（企业电子公章）</w:t>
      </w:r>
    </w:p>
    <w:p w14:paraId="132D494A">
      <w:pPr>
        <w:spacing w:line="480" w:lineRule="exact"/>
        <w:ind w:firstLine="3360" w:firstLineChars="1600"/>
        <w:rPr>
          <w:rFonts w:ascii="宋体" w:hAnsi="宋体"/>
          <w:bCs/>
          <w:color w:val="auto"/>
          <w:szCs w:val="21"/>
          <w:highlight w:val="none"/>
        </w:rPr>
      </w:pPr>
      <w:r>
        <w:rPr>
          <w:rFonts w:hint="eastAsia" w:ascii="宋体" w:hAnsi="宋体"/>
          <w:bCs/>
          <w:color w:val="auto"/>
          <w:szCs w:val="21"/>
          <w:highlight w:val="none"/>
        </w:rPr>
        <w:t>法定代表人或其委托代理人：</w:t>
      </w:r>
      <w:r>
        <w:rPr>
          <w:rFonts w:hint="eastAsia" w:ascii="宋体" w:hAnsi="宋体"/>
          <w:bCs/>
          <w:color w:val="auto"/>
          <w:szCs w:val="21"/>
          <w:highlight w:val="none"/>
          <w:u w:val="single"/>
        </w:rPr>
        <w:t xml:space="preserve">        </w:t>
      </w:r>
      <w:r>
        <w:rPr>
          <w:rFonts w:hint="eastAsia" w:ascii="宋体" w:hAnsi="宋体"/>
          <w:bCs/>
          <w:color w:val="auto"/>
          <w:szCs w:val="21"/>
          <w:highlight w:val="none"/>
        </w:rPr>
        <w:t>（</w:t>
      </w:r>
      <w:r>
        <w:rPr>
          <w:rFonts w:hint="eastAsia" w:ascii="宋体" w:hAnsi="宋体"/>
          <w:color w:val="auto"/>
          <w:szCs w:val="21"/>
          <w:highlight w:val="none"/>
        </w:rPr>
        <w:t>签字或盖章</w:t>
      </w:r>
      <w:r>
        <w:rPr>
          <w:rFonts w:hint="eastAsia" w:ascii="宋体" w:hAnsi="宋体"/>
          <w:bCs/>
          <w:color w:val="auto"/>
          <w:szCs w:val="21"/>
          <w:highlight w:val="none"/>
        </w:rPr>
        <w:t>）</w:t>
      </w:r>
    </w:p>
    <w:p w14:paraId="59BFCAA1">
      <w:pPr>
        <w:tabs>
          <w:tab w:val="left" w:pos="5380"/>
          <w:tab w:val="left" w:pos="6520"/>
          <w:tab w:val="left" w:pos="7680"/>
        </w:tabs>
        <w:autoSpaceDE w:val="0"/>
        <w:autoSpaceDN w:val="0"/>
        <w:adjustRightInd w:val="0"/>
        <w:spacing w:line="380" w:lineRule="exact"/>
        <w:ind w:right="-23" w:firstLine="4620" w:firstLineChars="2200"/>
        <w:jc w:val="left"/>
        <w:rPr>
          <w:rFonts w:ascii="宋体" w:hAnsi="宋体" w:cs="宋体"/>
          <w:bCs/>
          <w:color w:val="auto"/>
          <w:kern w:val="0"/>
          <w:szCs w:val="21"/>
          <w:highlight w:val="none"/>
        </w:rPr>
      </w:pPr>
      <w:r>
        <w:rPr>
          <w:rFonts w:hint="eastAsia" w:ascii="宋体" w:hAnsi="宋体" w:cs="宋体"/>
          <w:bCs/>
          <w:color w:val="auto"/>
          <w:kern w:val="0"/>
          <w:szCs w:val="21"/>
          <w:highlight w:val="none"/>
          <w:u w:val="single"/>
        </w:rPr>
        <w:t xml:space="preserve">     </w:t>
      </w:r>
      <w:r>
        <w:rPr>
          <w:rFonts w:hint="eastAsia" w:ascii="宋体" w:hAnsi="宋体" w:cs="宋体"/>
          <w:bCs/>
          <w:color w:val="auto"/>
          <w:spacing w:val="43"/>
          <w:kern w:val="0"/>
          <w:szCs w:val="21"/>
          <w:highlight w:val="none"/>
          <w:u w:val="single"/>
        </w:rPr>
        <w:t xml:space="preserve"> </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rPr>
        <w:t>日</w:t>
      </w:r>
    </w:p>
    <w:p w14:paraId="6C6A0DFD">
      <w:pPr>
        <w:tabs>
          <w:tab w:val="left" w:pos="840"/>
        </w:tabs>
        <w:autoSpaceDE w:val="0"/>
        <w:autoSpaceDN w:val="0"/>
        <w:adjustRightInd w:val="0"/>
        <w:spacing w:line="360" w:lineRule="auto"/>
        <w:jc w:val="center"/>
        <w:rPr>
          <w:rFonts w:hint="eastAsia" w:ascii="宋体" w:hAnsi="宋体"/>
          <w:b/>
          <w:color w:val="auto"/>
          <w:sz w:val="24"/>
          <w:highlight w:val="none"/>
          <w:lang w:val="en-GB"/>
        </w:rPr>
      </w:pPr>
    </w:p>
    <w:p w14:paraId="68A36F0F">
      <w:pPr>
        <w:tabs>
          <w:tab w:val="left" w:pos="840"/>
        </w:tabs>
        <w:autoSpaceDE w:val="0"/>
        <w:autoSpaceDN w:val="0"/>
        <w:adjustRightInd w:val="0"/>
        <w:spacing w:line="360" w:lineRule="auto"/>
        <w:jc w:val="center"/>
        <w:rPr>
          <w:rFonts w:hint="eastAsia" w:ascii="宋体" w:hAnsi="宋体"/>
          <w:b/>
          <w:color w:val="auto"/>
          <w:sz w:val="24"/>
          <w:highlight w:val="none"/>
          <w:lang w:val="en-GB"/>
        </w:rPr>
      </w:pPr>
    </w:p>
    <w:p w14:paraId="7FCB497D">
      <w:pPr>
        <w:tabs>
          <w:tab w:val="left" w:pos="840"/>
        </w:tabs>
        <w:autoSpaceDE w:val="0"/>
        <w:autoSpaceDN w:val="0"/>
        <w:adjustRightInd w:val="0"/>
        <w:spacing w:line="360" w:lineRule="auto"/>
        <w:jc w:val="center"/>
        <w:rPr>
          <w:rFonts w:ascii="宋体" w:hAnsi="宋体" w:cs="宋体"/>
          <w:b/>
          <w:color w:val="auto"/>
          <w:szCs w:val="21"/>
          <w:highlight w:val="none"/>
          <w:lang w:val="en-GB"/>
        </w:rPr>
      </w:pPr>
      <w:r>
        <w:rPr>
          <w:rFonts w:hint="eastAsia" w:ascii="宋体" w:hAnsi="宋体"/>
          <w:b/>
          <w:color w:val="auto"/>
          <w:sz w:val="24"/>
          <w:highlight w:val="none"/>
          <w:lang w:val="en-GB"/>
        </w:rPr>
        <w:t>环境标志产品明细表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916"/>
        <w:gridCol w:w="916"/>
        <w:gridCol w:w="916"/>
        <w:gridCol w:w="917"/>
        <w:gridCol w:w="917"/>
        <w:gridCol w:w="917"/>
        <w:gridCol w:w="917"/>
        <w:gridCol w:w="917"/>
      </w:tblGrid>
      <w:tr w14:paraId="314C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noWrap w:val="0"/>
            <w:vAlign w:val="center"/>
          </w:tcPr>
          <w:p w14:paraId="08AF68C0">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序号</w:t>
            </w:r>
          </w:p>
        </w:tc>
        <w:tc>
          <w:tcPr>
            <w:tcW w:w="916" w:type="dxa"/>
            <w:noWrap w:val="0"/>
            <w:vAlign w:val="center"/>
          </w:tcPr>
          <w:p w14:paraId="7594A541">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设备名称</w:t>
            </w:r>
          </w:p>
        </w:tc>
        <w:tc>
          <w:tcPr>
            <w:tcW w:w="916" w:type="dxa"/>
            <w:noWrap w:val="0"/>
            <w:vAlign w:val="center"/>
          </w:tcPr>
          <w:p w14:paraId="5D38F954">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品牌</w:t>
            </w:r>
          </w:p>
          <w:p w14:paraId="46231F6F">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型号</w:t>
            </w:r>
          </w:p>
        </w:tc>
        <w:tc>
          <w:tcPr>
            <w:tcW w:w="916" w:type="dxa"/>
            <w:noWrap w:val="0"/>
            <w:vAlign w:val="center"/>
          </w:tcPr>
          <w:p w14:paraId="61A7F4E9">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制造商名称</w:t>
            </w:r>
          </w:p>
        </w:tc>
        <w:tc>
          <w:tcPr>
            <w:tcW w:w="917" w:type="dxa"/>
            <w:noWrap w:val="0"/>
            <w:vAlign w:val="center"/>
          </w:tcPr>
          <w:p w14:paraId="1E8212D1">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中国环境标志认证证书编号</w:t>
            </w:r>
          </w:p>
        </w:tc>
        <w:tc>
          <w:tcPr>
            <w:tcW w:w="917" w:type="dxa"/>
            <w:noWrap w:val="0"/>
            <w:vAlign w:val="center"/>
          </w:tcPr>
          <w:p w14:paraId="582AFCE2">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认证证书有效</w:t>
            </w:r>
          </w:p>
          <w:p w14:paraId="3F745353">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截止日期</w:t>
            </w:r>
          </w:p>
        </w:tc>
        <w:tc>
          <w:tcPr>
            <w:tcW w:w="917" w:type="dxa"/>
            <w:noWrap w:val="0"/>
            <w:vAlign w:val="center"/>
          </w:tcPr>
          <w:p w14:paraId="2B01383A">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数量</w:t>
            </w:r>
          </w:p>
        </w:tc>
        <w:tc>
          <w:tcPr>
            <w:tcW w:w="917" w:type="dxa"/>
            <w:noWrap w:val="0"/>
            <w:vAlign w:val="center"/>
          </w:tcPr>
          <w:p w14:paraId="3625DFB3">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单价</w:t>
            </w:r>
          </w:p>
        </w:tc>
        <w:tc>
          <w:tcPr>
            <w:tcW w:w="917" w:type="dxa"/>
            <w:noWrap w:val="0"/>
            <w:vAlign w:val="center"/>
          </w:tcPr>
          <w:p w14:paraId="1F3B13D7">
            <w:pPr>
              <w:adjustRightInd w:val="0"/>
              <w:snapToGrid w:val="0"/>
              <w:jc w:val="center"/>
              <w:rPr>
                <w:rFonts w:ascii="宋体" w:hAnsi="宋体" w:cs="宋体"/>
                <w:b/>
                <w:color w:val="auto"/>
                <w:szCs w:val="21"/>
                <w:highlight w:val="none"/>
                <w:lang w:val="en-GB"/>
              </w:rPr>
            </w:pPr>
            <w:r>
              <w:rPr>
                <w:rFonts w:hint="eastAsia" w:ascii="宋体" w:hAnsi="宋体" w:cs="宋体"/>
                <w:color w:val="auto"/>
                <w:szCs w:val="21"/>
                <w:highlight w:val="none"/>
              </w:rPr>
              <w:t>总价</w:t>
            </w:r>
          </w:p>
        </w:tc>
      </w:tr>
      <w:tr w14:paraId="0FD6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noWrap w:val="0"/>
            <w:vAlign w:val="top"/>
          </w:tcPr>
          <w:p w14:paraId="1701892F">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6DC09E93">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4D39A9A0">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5CF57E4A">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0E11C42C">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27E47F1A">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3E09913E">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225279C4">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450F3C18">
            <w:pPr>
              <w:tabs>
                <w:tab w:val="left" w:pos="840"/>
              </w:tabs>
              <w:autoSpaceDE w:val="0"/>
              <w:autoSpaceDN w:val="0"/>
              <w:adjustRightInd w:val="0"/>
              <w:spacing w:line="360" w:lineRule="auto"/>
              <w:rPr>
                <w:rFonts w:ascii="宋体" w:hAnsi="宋体" w:cs="宋体"/>
                <w:b/>
                <w:color w:val="auto"/>
                <w:szCs w:val="21"/>
                <w:highlight w:val="none"/>
                <w:lang w:val="en-GB"/>
              </w:rPr>
            </w:pPr>
          </w:p>
        </w:tc>
      </w:tr>
      <w:tr w14:paraId="797F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noWrap w:val="0"/>
            <w:vAlign w:val="top"/>
          </w:tcPr>
          <w:p w14:paraId="5C34C324">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0E62C534">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0B8DFCC8">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2E59960A">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61995312">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7DCAB30F">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2BD912DD">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093AB830">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3E8C1038">
            <w:pPr>
              <w:tabs>
                <w:tab w:val="left" w:pos="840"/>
              </w:tabs>
              <w:autoSpaceDE w:val="0"/>
              <w:autoSpaceDN w:val="0"/>
              <w:adjustRightInd w:val="0"/>
              <w:spacing w:line="360" w:lineRule="auto"/>
              <w:rPr>
                <w:rFonts w:ascii="宋体" w:hAnsi="宋体" w:cs="宋体"/>
                <w:b/>
                <w:color w:val="auto"/>
                <w:szCs w:val="21"/>
                <w:highlight w:val="none"/>
                <w:lang w:val="en-GB"/>
              </w:rPr>
            </w:pPr>
          </w:p>
        </w:tc>
      </w:tr>
      <w:tr w14:paraId="25AA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noWrap w:val="0"/>
            <w:vAlign w:val="top"/>
          </w:tcPr>
          <w:p w14:paraId="37CCEDF9">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0311F689">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569E536A">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6" w:type="dxa"/>
            <w:noWrap w:val="0"/>
            <w:vAlign w:val="top"/>
          </w:tcPr>
          <w:p w14:paraId="0F08F901">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2A69A40E">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0357C648">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49397526">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2C409FC7">
            <w:pPr>
              <w:tabs>
                <w:tab w:val="left" w:pos="840"/>
              </w:tabs>
              <w:autoSpaceDE w:val="0"/>
              <w:autoSpaceDN w:val="0"/>
              <w:adjustRightInd w:val="0"/>
              <w:spacing w:line="360" w:lineRule="auto"/>
              <w:rPr>
                <w:rFonts w:ascii="宋体" w:hAnsi="宋体" w:cs="宋体"/>
                <w:b/>
                <w:color w:val="auto"/>
                <w:szCs w:val="21"/>
                <w:highlight w:val="none"/>
                <w:lang w:val="en-GB"/>
              </w:rPr>
            </w:pPr>
          </w:p>
        </w:tc>
        <w:tc>
          <w:tcPr>
            <w:tcW w:w="917" w:type="dxa"/>
            <w:noWrap w:val="0"/>
            <w:vAlign w:val="top"/>
          </w:tcPr>
          <w:p w14:paraId="1F440F04">
            <w:pPr>
              <w:tabs>
                <w:tab w:val="left" w:pos="840"/>
              </w:tabs>
              <w:autoSpaceDE w:val="0"/>
              <w:autoSpaceDN w:val="0"/>
              <w:adjustRightInd w:val="0"/>
              <w:spacing w:line="360" w:lineRule="auto"/>
              <w:rPr>
                <w:rFonts w:ascii="宋体" w:hAnsi="宋体" w:cs="宋体"/>
                <w:b/>
                <w:color w:val="auto"/>
                <w:szCs w:val="21"/>
                <w:highlight w:val="none"/>
                <w:lang w:val="en-GB"/>
              </w:rPr>
            </w:pPr>
          </w:p>
        </w:tc>
      </w:tr>
    </w:tbl>
    <w:p w14:paraId="60BF2409">
      <w:pPr>
        <w:tabs>
          <w:tab w:val="left" w:pos="840"/>
        </w:tabs>
        <w:autoSpaceDE w:val="0"/>
        <w:autoSpaceDN w:val="0"/>
        <w:adjustRightInd w:val="0"/>
        <w:spacing w:line="360" w:lineRule="auto"/>
        <w:rPr>
          <w:rFonts w:ascii="宋体" w:hAnsi="宋体" w:cs="宋体"/>
          <w:b/>
          <w:color w:val="auto"/>
          <w:szCs w:val="21"/>
          <w:highlight w:val="none"/>
          <w:lang w:val="en-GB"/>
        </w:rPr>
      </w:pPr>
    </w:p>
    <w:p w14:paraId="31B32DCE">
      <w:pPr>
        <w:spacing w:line="480" w:lineRule="exact"/>
        <w:ind w:firstLine="3360" w:firstLineChars="1600"/>
        <w:rPr>
          <w:rFonts w:ascii="宋体" w:hAnsi="宋体"/>
          <w:bCs/>
          <w:color w:val="auto"/>
          <w:szCs w:val="21"/>
          <w:highlight w:val="none"/>
        </w:rPr>
      </w:pPr>
      <w:r>
        <w:rPr>
          <w:rFonts w:hint="eastAsia" w:ascii="宋体" w:hAnsi="宋体" w:cs="微软雅黑"/>
          <w:color w:val="auto"/>
          <w:kern w:val="0"/>
          <w:szCs w:val="21"/>
          <w:highlight w:val="none"/>
          <w:lang w:val="en-US" w:eastAsia="zh-CN"/>
        </w:rPr>
        <w:t>供 应 商</w:t>
      </w:r>
      <w:r>
        <w:rPr>
          <w:rFonts w:hint="eastAsia" w:ascii="宋体" w:hAnsi="宋体"/>
          <w:bCs/>
          <w:color w:val="auto"/>
          <w:szCs w:val="21"/>
          <w:highlight w:val="none"/>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rPr>
        <w:t>（企业电子公章）</w:t>
      </w:r>
    </w:p>
    <w:p w14:paraId="2EDD4B59">
      <w:pPr>
        <w:spacing w:line="480" w:lineRule="exact"/>
        <w:ind w:firstLine="3360" w:firstLineChars="1600"/>
        <w:rPr>
          <w:rFonts w:ascii="宋体" w:hAnsi="宋体"/>
          <w:bCs/>
          <w:color w:val="auto"/>
          <w:szCs w:val="21"/>
          <w:highlight w:val="none"/>
        </w:rPr>
      </w:pPr>
      <w:r>
        <w:rPr>
          <w:rFonts w:hint="eastAsia" w:ascii="宋体" w:hAnsi="宋体"/>
          <w:bCs/>
          <w:color w:val="auto"/>
          <w:szCs w:val="21"/>
          <w:highlight w:val="none"/>
        </w:rPr>
        <w:t>法定代表人或其委托代理人：</w:t>
      </w:r>
      <w:r>
        <w:rPr>
          <w:rFonts w:hint="eastAsia" w:ascii="宋体" w:hAnsi="宋体"/>
          <w:bCs/>
          <w:color w:val="auto"/>
          <w:szCs w:val="21"/>
          <w:highlight w:val="none"/>
          <w:u w:val="single"/>
        </w:rPr>
        <w:t xml:space="preserve">        </w:t>
      </w:r>
      <w:r>
        <w:rPr>
          <w:rFonts w:hint="eastAsia" w:ascii="宋体" w:hAnsi="宋体"/>
          <w:bCs/>
          <w:color w:val="auto"/>
          <w:szCs w:val="21"/>
          <w:highlight w:val="none"/>
        </w:rPr>
        <w:t>（</w:t>
      </w:r>
      <w:r>
        <w:rPr>
          <w:rFonts w:hint="eastAsia" w:ascii="宋体" w:hAnsi="宋体"/>
          <w:color w:val="auto"/>
          <w:szCs w:val="21"/>
          <w:highlight w:val="none"/>
        </w:rPr>
        <w:t>签字或盖章</w:t>
      </w:r>
      <w:r>
        <w:rPr>
          <w:rFonts w:hint="eastAsia" w:ascii="宋体" w:hAnsi="宋体"/>
          <w:bCs/>
          <w:color w:val="auto"/>
          <w:szCs w:val="21"/>
          <w:highlight w:val="none"/>
        </w:rPr>
        <w:t>）</w:t>
      </w:r>
    </w:p>
    <w:p w14:paraId="6BAD8E3C">
      <w:pPr>
        <w:tabs>
          <w:tab w:val="left" w:pos="5380"/>
          <w:tab w:val="left" w:pos="6520"/>
          <w:tab w:val="left" w:pos="7680"/>
        </w:tabs>
        <w:autoSpaceDE w:val="0"/>
        <w:autoSpaceDN w:val="0"/>
        <w:adjustRightInd w:val="0"/>
        <w:spacing w:line="380" w:lineRule="exact"/>
        <w:ind w:right="-23" w:firstLine="4620" w:firstLineChars="2200"/>
        <w:jc w:val="left"/>
        <w:rPr>
          <w:rFonts w:ascii="宋体" w:hAnsi="宋体" w:cs="宋体"/>
          <w:bCs/>
          <w:color w:val="auto"/>
          <w:kern w:val="0"/>
          <w:szCs w:val="21"/>
          <w:highlight w:val="none"/>
        </w:rPr>
      </w:pPr>
      <w:r>
        <w:rPr>
          <w:rFonts w:hint="eastAsia" w:ascii="宋体" w:hAnsi="宋体" w:cs="宋体"/>
          <w:bCs/>
          <w:color w:val="auto"/>
          <w:kern w:val="0"/>
          <w:szCs w:val="21"/>
          <w:highlight w:val="none"/>
          <w:u w:val="single"/>
        </w:rPr>
        <w:t xml:space="preserve">     </w:t>
      </w:r>
      <w:r>
        <w:rPr>
          <w:rFonts w:hint="eastAsia" w:ascii="宋体" w:hAnsi="宋体" w:cs="宋体"/>
          <w:bCs/>
          <w:color w:val="auto"/>
          <w:spacing w:val="43"/>
          <w:kern w:val="0"/>
          <w:szCs w:val="21"/>
          <w:highlight w:val="none"/>
          <w:u w:val="single"/>
        </w:rPr>
        <w:t xml:space="preserve"> </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rPr>
        <w:t>日</w:t>
      </w:r>
    </w:p>
    <w:p w14:paraId="3E925B3C">
      <w:pPr>
        <w:pStyle w:val="234"/>
        <w:spacing w:line="360" w:lineRule="auto"/>
        <w:ind w:left="718" w:hanging="718" w:hangingChars="342"/>
        <w:rPr>
          <w:rFonts w:ascii="宋体" w:hAnsi="宋体" w:cs="宋体"/>
          <w:color w:val="auto"/>
          <w:highlight w:val="none"/>
          <w:lang w:val="en-GB"/>
        </w:rPr>
      </w:pPr>
    </w:p>
    <w:p w14:paraId="3AB5EDAC">
      <w:pPr>
        <w:pStyle w:val="234"/>
        <w:spacing w:line="360" w:lineRule="auto"/>
        <w:ind w:left="718" w:hanging="718" w:hangingChars="342"/>
        <w:rPr>
          <w:rFonts w:ascii="宋体" w:hAnsi="宋体" w:cs="宋体"/>
          <w:color w:val="auto"/>
          <w:highlight w:val="none"/>
          <w:lang w:val="en-GB"/>
        </w:rPr>
      </w:pPr>
      <w:r>
        <w:rPr>
          <w:rFonts w:hint="eastAsia" w:ascii="宋体" w:hAnsi="宋体" w:cs="宋体"/>
          <w:color w:val="auto"/>
          <w:highlight w:val="none"/>
          <w:lang w:val="en-GB"/>
        </w:rPr>
        <w:t>填报要求：</w:t>
      </w:r>
    </w:p>
    <w:p w14:paraId="1B12D0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本表的设备名称、品牌型号、金额应与</w:t>
      </w:r>
      <w:r>
        <w:rPr>
          <w:rFonts w:hint="eastAsia" w:ascii="宋体" w:hAnsi="宋体" w:cs="宋体"/>
          <w:bCs/>
          <w:color w:val="auto"/>
          <w:szCs w:val="21"/>
          <w:highlight w:val="none"/>
        </w:rPr>
        <w:t>货物分项报价一览表</w:t>
      </w:r>
      <w:r>
        <w:rPr>
          <w:rFonts w:hint="eastAsia" w:ascii="宋体" w:hAnsi="宋体" w:cs="宋体"/>
          <w:color w:val="auto"/>
          <w:szCs w:val="21"/>
          <w:highlight w:val="none"/>
        </w:rPr>
        <w:t>一致。</w:t>
      </w:r>
    </w:p>
    <w:p w14:paraId="5FEDEB79">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2. 节能产品是指财政部和国家发展改革委员会公布的《节能产品政府采购品目清单》中的产品，可在中华人民共和国财政部网站（http://www.mof.gov.cn）、中国政府采购网（http://www.ccgp.gov.cn/）查阅。</w:t>
      </w:r>
      <w:r>
        <w:rPr>
          <w:rFonts w:hint="eastAsia" w:ascii="宋体" w:hAnsi="宋体" w:cs="宋体"/>
          <w:b/>
          <w:color w:val="auto"/>
          <w:szCs w:val="21"/>
          <w:highlight w:val="none"/>
        </w:rPr>
        <w:t>投标人须在投标文件中附该产品经国家确定的认证机构出具的、处于有效期之内的《国家节能产品认证证书》复印件，否则评标委员会有权不予认可。</w:t>
      </w:r>
    </w:p>
    <w:p w14:paraId="021696F7">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3. 环境标志产品是指财政部、环境保护部发布的《环境标志产品政府采购品目清单》中的产品，可在中华人民共和国财政部网站（http://www.mof.gov.cn）、中国政府采购网（http://www.ccgp.gov.cn/）查阅。</w:t>
      </w:r>
      <w:r>
        <w:rPr>
          <w:rFonts w:hint="eastAsia" w:ascii="宋体" w:hAnsi="宋体" w:cs="宋体"/>
          <w:b/>
          <w:color w:val="auto"/>
          <w:szCs w:val="21"/>
          <w:highlight w:val="none"/>
        </w:rPr>
        <w:t>投标人须在投标文件中附该产品经国家确定的认证机构出具的、处于有效期之内的《中国环境标志产品认证证书》复印件，否则评委委员会有权不予认可。</w:t>
      </w:r>
    </w:p>
    <w:p w14:paraId="7F8581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 请投标人正确填写本表，所填内容将作为评审的依据。其内容或数据应与对应的证明资料相符。</w:t>
      </w:r>
    </w:p>
    <w:p w14:paraId="0A9639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 没有相关产品可不提供本表。</w:t>
      </w:r>
    </w:p>
    <w:p w14:paraId="0848DC96">
      <w:pPr>
        <w:ind w:firstLine="482"/>
        <w:rPr>
          <w:color w:val="auto"/>
          <w:sz w:val="24"/>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此表可后附相关证明材料。</w:t>
      </w:r>
    </w:p>
    <w:sectPr>
      <w:pgSz w:w="11920" w:h="16840"/>
      <w:pgMar w:top="1440" w:right="1417" w:bottom="1440" w:left="1417" w:header="794" w:footer="851" w:gutter="284"/>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05001">
    <w:pPr>
      <w:pStyle w:val="23"/>
      <w:jc w:val="center"/>
    </w:pPr>
  </w:p>
  <w:p w14:paraId="03A5A3F5">
    <w:pPr>
      <w:pStyle w:val="23"/>
      <w:tabs>
        <w:tab w:val="center" w:pos="4485"/>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521E8">
    <w:pPr>
      <w:pStyle w:val="2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7016"/>
    </w:sdtPr>
    <w:sdtContent>
      <w:p w14:paraId="56E714A0">
        <w:pPr>
          <w:pStyle w:val="23"/>
          <w:jc w:val="center"/>
        </w:pPr>
        <w:r>
          <w:fldChar w:fldCharType="begin"/>
        </w:r>
        <w:r>
          <w:instrText xml:space="preserve">PAGE   \* MERGEFORMAT</w:instrText>
        </w:r>
        <w:r>
          <w:fldChar w:fldCharType="separate"/>
        </w:r>
        <w:r>
          <w:rPr>
            <w:lang w:val="zh-CN"/>
          </w:rPr>
          <w:t>1</w:t>
        </w:r>
        <w:r>
          <w:rPr>
            <w:lang w:val="zh-CN"/>
          </w:rPr>
          <w:fldChar w:fldCharType="end"/>
        </w:r>
      </w:p>
    </w:sdtContent>
  </w:sdt>
  <w:p w14:paraId="13E956DF">
    <w:pPr>
      <w:pStyle w:val="2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B5DF3">
    <w:pPr>
      <w:pStyle w:val="23"/>
      <w:pBdr>
        <w:top w:val="none" w:color="auto" w:sz="0" w:space="1"/>
        <w:left w:val="none" w:color="auto" w:sz="0" w:space="4"/>
        <w:bottom w:val="thinThickSmallGap" w:color="974706" w:sz="24" w:space="1"/>
        <w:right w:val="none" w:color="auto" w:sz="0" w:space="4"/>
      </w:pBdr>
      <w:tabs>
        <w:tab w:val="left" w:pos="8820"/>
        <w:tab w:val="clear" w:pos="4153"/>
        <w:tab w:val="clear" w:pos="8306"/>
      </w:tabs>
      <w:ind w:right="58"/>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972185" cy="147955"/>
              <wp:effectExtent l="0" t="0" r="0" b="0"/>
              <wp:wrapNone/>
              <wp:docPr id="16" name="文本框 33"/>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13412C9D">
                          <w:pPr>
                            <w:pStyle w:val="23"/>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3" o:spid="_x0000_s1026" o:spt="202" type="#_x0000_t202" style="position:absolute;left:0pt;margin-top:0pt;height:11.65pt;width:76.55pt;mso-position-horizontal:right;mso-position-horizontal-relative:margin;mso-wrap-style:none;z-index:251660288;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AxfGZ0gAAAAQBAAAPAAAAAAAAAAEAIAAAACIAAABkcnMvZG93bnJldi54&#10;bWxQSwECFAAUAAAACACHTuJASShlMjkCAABjBAAADgAAAAAAAAABACAAAAAhAQAAZHJzL2Uyb0Rv&#10;Yy54bWxQSwUGAAAAAAYABgBZAQAAzAUAAAAA&#10;">
              <v:fill on="f" focussize="0,0"/>
              <v:stroke on="f" weight="0.5pt"/>
              <v:imagedata o:title=""/>
              <o:lock v:ext="edit" aspectratio="f"/>
              <v:textbox inset="0mm,0mm,0mm,0mm" style="mso-fit-shape-to-text:t;">
                <w:txbxContent>
                  <w:p w14:paraId="13412C9D">
                    <w:pPr>
                      <w:pStyle w:val="23"/>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r>
      <w:rPr>
        <w:rFonts w:hint="eastAsia"/>
        <w:b/>
        <w:bCs/>
      </w:rPr>
      <w:t>河南诚信工程管理有限公司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981A5">
    <w:pPr>
      <w:pStyle w:val="2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B519A8">
                          <w:pPr>
                            <w:pStyle w:val="2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1CB519A8">
                    <w:pPr>
                      <w:pStyle w:val="23"/>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8474C">
    <w:pPr>
      <w:pStyle w:val="24"/>
      <w:pBdr>
        <w:bottom w:val="thickThinMediumGap" w:color="5E0000" w:sz="18" w:space="0"/>
      </w:pBdr>
      <w:jc w:val="left"/>
    </w:pPr>
    <w:r>
      <w:rPr>
        <w:rFonts w:hint="eastAsia"/>
        <w:b w:val="0"/>
        <w:bCs w:val="0"/>
        <w:sz w:val="18"/>
        <w:szCs w:val="18"/>
        <w:lang w:eastAsia="zh-CN"/>
      </w:rPr>
      <w:t>河南省精神病医院北京大学第六医院河南医院国家区域医疗中心一期项目生物反馈治疗仪采购项目</w:t>
    </w:r>
    <w:r>
      <w:rPr>
        <w:rFonts w:hint="eastAsia"/>
        <w:b w:val="0"/>
        <w:bCs w:val="0"/>
        <w:sz w:val="18"/>
        <w:szCs w:val="18"/>
      </w:rPr>
      <w:t xml:space="preserve"> </w:t>
    </w:r>
    <w:r>
      <w:rPr>
        <w:rFonts w:hint="eastAsia"/>
        <w:b w:val="0"/>
        <w:bCs w:val="0"/>
        <w:sz w:val="18"/>
        <w:szCs w:val="18"/>
        <w:lang w:val="en-US" w:eastAsia="zh-CN"/>
      </w:rPr>
      <w:t xml:space="preserve">  磋商</w:t>
    </w:r>
    <w:r>
      <w:rPr>
        <w:rFonts w:hint="eastAsia"/>
        <w:b w:val="0"/>
        <w:bCs w:val="0"/>
        <w:sz w:val="18"/>
        <w:szCs w:val="18"/>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0E94A">
    <w:pPr>
      <w:pStyle w:val="2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6CF6AF"/>
    <w:multiLevelType w:val="singleLevel"/>
    <w:tmpl w:val="B36CF6AF"/>
    <w:lvl w:ilvl="0" w:tentative="0">
      <w:start w:val="1"/>
      <w:numFmt w:val="decimal"/>
      <w:lvlText w:val="%1."/>
      <w:lvlJc w:val="left"/>
      <w:pPr>
        <w:tabs>
          <w:tab w:val="left" w:pos="312"/>
        </w:tabs>
      </w:p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24E3EE8"/>
    <w:multiLevelType w:val="singleLevel"/>
    <w:tmpl w:val="F24E3EE8"/>
    <w:lvl w:ilvl="0" w:tentative="0">
      <w:start w:val="1"/>
      <w:numFmt w:val="decimal"/>
      <w:lvlText w:val="%1."/>
      <w:lvlJc w:val="left"/>
      <w:pPr>
        <w:tabs>
          <w:tab w:val="left" w:pos="312"/>
        </w:tabs>
      </w:p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656BD43D"/>
    <w:multiLevelType w:val="singleLevel"/>
    <w:tmpl w:val="656BD43D"/>
    <w:lvl w:ilvl="0" w:tentative="0">
      <w:start w:val="1"/>
      <w:numFmt w:val="decimal"/>
      <w:suff w:val="space"/>
      <w:lvlText w:val="%1."/>
      <w:lvlJc w:val="left"/>
    </w:lvl>
  </w:abstractNum>
  <w:abstractNum w:abstractNumId="9">
    <w:nsid w:val="7A0F6431"/>
    <w:multiLevelType w:val="singleLevel"/>
    <w:tmpl w:val="7A0F6431"/>
    <w:lvl w:ilvl="0" w:tentative="0">
      <w:start w:val="1"/>
      <w:numFmt w:val="decimal"/>
      <w:suff w:val="space"/>
      <w:lvlText w:val="%1."/>
      <w:lvlJc w:val="left"/>
    </w:lvl>
  </w:abstractNum>
  <w:num w:numId="1">
    <w:abstractNumId w:val="6"/>
  </w:num>
  <w:num w:numId="2">
    <w:abstractNumId w:val="9"/>
  </w:num>
  <w:num w:numId="3">
    <w:abstractNumId w:val="2"/>
  </w:num>
  <w:num w:numId="4">
    <w:abstractNumId w:val="7"/>
  </w:num>
  <w:num w:numId="5">
    <w:abstractNumId w:val="4"/>
  </w:num>
  <w:num w:numId="6">
    <w:abstractNumId w:val="3"/>
  </w:num>
  <w:num w:numId="7">
    <w:abstractNumId w:val="1"/>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jYzFiZTQ0ZTZjZTMzOWMxZWNlYzM4NTY1YWJkZDUifQ=="/>
  </w:docVars>
  <w:rsids>
    <w:rsidRoot w:val="0002742D"/>
    <w:rsid w:val="00003CFE"/>
    <w:rsid w:val="00017BD2"/>
    <w:rsid w:val="0002742D"/>
    <w:rsid w:val="00031123"/>
    <w:rsid w:val="000336E2"/>
    <w:rsid w:val="00043B14"/>
    <w:rsid w:val="000457CC"/>
    <w:rsid w:val="00052405"/>
    <w:rsid w:val="0006697A"/>
    <w:rsid w:val="00071048"/>
    <w:rsid w:val="000749E3"/>
    <w:rsid w:val="00077A37"/>
    <w:rsid w:val="000824D2"/>
    <w:rsid w:val="00082B44"/>
    <w:rsid w:val="00091EC7"/>
    <w:rsid w:val="000A343E"/>
    <w:rsid w:val="000A6902"/>
    <w:rsid w:val="000A7BE6"/>
    <w:rsid w:val="000B061E"/>
    <w:rsid w:val="000B20FF"/>
    <w:rsid w:val="000B2FE0"/>
    <w:rsid w:val="000B6A4A"/>
    <w:rsid w:val="000D3A0E"/>
    <w:rsid w:val="000D49CA"/>
    <w:rsid w:val="000E056F"/>
    <w:rsid w:val="000F6842"/>
    <w:rsid w:val="001003EC"/>
    <w:rsid w:val="00100AD4"/>
    <w:rsid w:val="001072F7"/>
    <w:rsid w:val="00117865"/>
    <w:rsid w:val="001226D1"/>
    <w:rsid w:val="00122E40"/>
    <w:rsid w:val="00130884"/>
    <w:rsid w:val="0013568C"/>
    <w:rsid w:val="001357D8"/>
    <w:rsid w:val="00143505"/>
    <w:rsid w:val="00154321"/>
    <w:rsid w:val="001618A9"/>
    <w:rsid w:val="001661B9"/>
    <w:rsid w:val="001669D4"/>
    <w:rsid w:val="00166AFB"/>
    <w:rsid w:val="001717F1"/>
    <w:rsid w:val="00175E4F"/>
    <w:rsid w:val="001761A4"/>
    <w:rsid w:val="001917B1"/>
    <w:rsid w:val="00197708"/>
    <w:rsid w:val="001A13D1"/>
    <w:rsid w:val="001A2D1F"/>
    <w:rsid w:val="001B2AAD"/>
    <w:rsid w:val="001C048E"/>
    <w:rsid w:val="001C4313"/>
    <w:rsid w:val="001C4728"/>
    <w:rsid w:val="001D040C"/>
    <w:rsid w:val="001E3CBA"/>
    <w:rsid w:val="001E587F"/>
    <w:rsid w:val="001E6469"/>
    <w:rsid w:val="001F406B"/>
    <w:rsid w:val="001F48A1"/>
    <w:rsid w:val="001F6654"/>
    <w:rsid w:val="001F6CA5"/>
    <w:rsid w:val="00216AF9"/>
    <w:rsid w:val="00241F2A"/>
    <w:rsid w:val="002442C3"/>
    <w:rsid w:val="0025059A"/>
    <w:rsid w:val="0025719D"/>
    <w:rsid w:val="002620A7"/>
    <w:rsid w:val="002656BB"/>
    <w:rsid w:val="00267DA7"/>
    <w:rsid w:val="0027002B"/>
    <w:rsid w:val="002720CF"/>
    <w:rsid w:val="00277540"/>
    <w:rsid w:val="002864CE"/>
    <w:rsid w:val="00292B7C"/>
    <w:rsid w:val="002A35D6"/>
    <w:rsid w:val="002B402B"/>
    <w:rsid w:val="002B5D3B"/>
    <w:rsid w:val="002C567B"/>
    <w:rsid w:val="002D2AB7"/>
    <w:rsid w:val="002D3CEF"/>
    <w:rsid w:val="002D5B44"/>
    <w:rsid w:val="002E2083"/>
    <w:rsid w:val="002E7DCD"/>
    <w:rsid w:val="002E7F94"/>
    <w:rsid w:val="002F326E"/>
    <w:rsid w:val="00303BBA"/>
    <w:rsid w:val="003153B9"/>
    <w:rsid w:val="003165E6"/>
    <w:rsid w:val="003262C6"/>
    <w:rsid w:val="003269A6"/>
    <w:rsid w:val="00326FA0"/>
    <w:rsid w:val="00331F8F"/>
    <w:rsid w:val="00340241"/>
    <w:rsid w:val="00352B2A"/>
    <w:rsid w:val="0035508E"/>
    <w:rsid w:val="0036057F"/>
    <w:rsid w:val="00365AB7"/>
    <w:rsid w:val="00394FA0"/>
    <w:rsid w:val="00395D26"/>
    <w:rsid w:val="003A37E5"/>
    <w:rsid w:val="003B0314"/>
    <w:rsid w:val="003B25D9"/>
    <w:rsid w:val="003B3E90"/>
    <w:rsid w:val="003C14B9"/>
    <w:rsid w:val="003D2A8A"/>
    <w:rsid w:val="003D424E"/>
    <w:rsid w:val="003E19D8"/>
    <w:rsid w:val="003F4CF8"/>
    <w:rsid w:val="00400342"/>
    <w:rsid w:val="00410330"/>
    <w:rsid w:val="00412E1D"/>
    <w:rsid w:val="00431DA1"/>
    <w:rsid w:val="00443DB5"/>
    <w:rsid w:val="00450749"/>
    <w:rsid w:val="00451C7A"/>
    <w:rsid w:val="0047106D"/>
    <w:rsid w:val="00474FAE"/>
    <w:rsid w:val="00476288"/>
    <w:rsid w:val="00476F95"/>
    <w:rsid w:val="00480A5E"/>
    <w:rsid w:val="00480E4E"/>
    <w:rsid w:val="00481885"/>
    <w:rsid w:val="004826DE"/>
    <w:rsid w:val="004A411B"/>
    <w:rsid w:val="004B2165"/>
    <w:rsid w:val="004B53DC"/>
    <w:rsid w:val="004C36CE"/>
    <w:rsid w:val="004D4960"/>
    <w:rsid w:val="004D65C8"/>
    <w:rsid w:val="004E0FC6"/>
    <w:rsid w:val="004F25AF"/>
    <w:rsid w:val="0050127D"/>
    <w:rsid w:val="00510B6C"/>
    <w:rsid w:val="00526CE9"/>
    <w:rsid w:val="0053106F"/>
    <w:rsid w:val="00531FA0"/>
    <w:rsid w:val="00535E7A"/>
    <w:rsid w:val="00536572"/>
    <w:rsid w:val="005457CC"/>
    <w:rsid w:val="005466E3"/>
    <w:rsid w:val="00551133"/>
    <w:rsid w:val="00554467"/>
    <w:rsid w:val="00561F76"/>
    <w:rsid w:val="00571450"/>
    <w:rsid w:val="00574112"/>
    <w:rsid w:val="00577271"/>
    <w:rsid w:val="00577400"/>
    <w:rsid w:val="00580E35"/>
    <w:rsid w:val="00586544"/>
    <w:rsid w:val="005978F5"/>
    <w:rsid w:val="005A6C8C"/>
    <w:rsid w:val="005B014F"/>
    <w:rsid w:val="005B0385"/>
    <w:rsid w:val="005B381D"/>
    <w:rsid w:val="005C0133"/>
    <w:rsid w:val="005C0CA7"/>
    <w:rsid w:val="005C511A"/>
    <w:rsid w:val="005C6775"/>
    <w:rsid w:val="005C7585"/>
    <w:rsid w:val="005D0601"/>
    <w:rsid w:val="005D3C42"/>
    <w:rsid w:val="005D4889"/>
    <w:rsid w:val="005D4CCC"/>
    <w:rsid w:val="005E4D71"/>
    <w:rsid w:val="00607D9F"/>
    <w:rsid w:val="00612099"/>
    <w:rsid w:val="00613A9A"/>
    <w:rsid w:val="006332CB"/>
    <w:rsid w:val="00645991"/>
    <w:rsid w:val="006500A5"/>
    <w:rsid w:val="00661724"/>
    <w:rsid w:val="006631C8"/>
    <w:rsid w:val="00667D50"/>
    <w:rsid w:val="00671A35"/>
    <w:rsid w:val="00680310"/>
    <w:rsid w:val="00680428"/>
    <w:rsid w:val="0068260D"/>
    <w:rsid w:val="00685F59"/>
    <w:rsid w:val="006A1578"/>
    <w:rsid w:val="006A260B"/>
    <w:rsid w:val="006A5781"/>
    <w:rsid w:val="006A7CD5"/>
    <w:rsid w:val="006B0566"/>
    <w:rsid w:val="006B3D42"/>
    <w:rsid w:val="006B58EF"/>
    <w:rsid w:val="006B6FA3"/>
    <w:rsid w:val="006B72B6"/>
    <w:rsid w:val="006D2E30"/>
    <w:rsid w:val="006D3152"/>
    <w:rsid w:val="006D52CC"/>
    <w:rsid w:val="006E0378"/>
    <w:rsid w:val="006E25AB"/>
    <w:rsid w:val="006E41B6"/>
    <w:rsid w:val="006E4C56"/>
    <w:rsid w:val="006F0010"/>
    <w:rsid w:val="006F388F"/>
    <w:rsid w:val="006F4F29"/>
    <w:rsid w:val="00702C30"/>
    <w:rsid w:val="007041CB"/>
    <w:rsid w:val="007101C6"/>
    <w:rsid w:val="007115AE"/>
    <w:rsid w:val="007148DC"/>
    <w:rsid w:val="00715138"/>
    <w:rsid w:val="0072647B"/>
    <w:rsid w:val="007348A9"/>
    <w:rsid w:val="00734B3B"/>
    <w:rsid w:val="00740CC5"/>
    <w:rsid w:val="00741002"/>
    <w:rsid w:val="00743FA4"/>
    <w:rsid w:val="00755DF0"/>
    <w:rsid w:val="0075762B"/>
    <w:rsid w:val="00764EF1"/>
    <w:rsid w:val="00764F17"/>
    <w:rsid w:val="007668BE"/>
    <w:rsid w:val="00771107"/>
    <w:rsid w:val="00776358"/>
    <w:rsid w:val="00781FE5"/>
    <w:rsid w:val="0078407A"/>
    <w:rsid w:val="007938AA"/>
    <w:rsid w:val="007A3EC1"/>
    <w:rsid w:val="007B6B49"/>
    <w:rsid w:val="007D4C3B"/>
    <w:rsid w:val="007D76EC"/>
    <w:rsid w:val="007E0E72"/>
    <w:rsid w:val="007E638B"/>
    <w:rsid w:val="007F27A0"/>
    <w:rsid w:val="007F3BF8"/>
    <w:rsid w:val="007F5BB4"/>
    <w:rsid w:val="007F6AF6"/>
    <w:rsid w:val="00812303"/>
    <w:rsid w:val="00824390"/>
    <w:rsid w:val="00826854"/>
    <w:rsid w:val="00830CB3"/>
    <w:rsid w:val="00832B48"/>
    <w:rsid w:val="008363BE"/>
    <w:rsid w:val="0083742C"/>
    <w:rsid w:val="008422B2"/>
    <w:rsid w:val="0085205B"/>
    <w:rsid w:val="00853402"/>
    <w:rsid w:val="008620FA"/>
    <w:rsid w:val="008709C4"/>
    <w:rsid w:val="0087509B"/>
    <w:rsid w:val="00887653"/>
    <w:rsid w:val="008A475A"/>
    <w:rsid w:val="008A5922"/>
    <w:rsid w:val="008A64F0"/>
    <w:rsid w:val="008A6D57"/>
    <w:rsid w:val="008B0401"/>
    <w:rsid w:val="008B505D"/>
    <w:rsid w:val="008C6979"/>
    <w:rsid w:val="008C6C47"/>
    <w:rsid w:val="008D0283"/>
    <w:rsid w:val="008D2E82"/>
    <w:rsid w:val="008D48FA"/>
    <w:rsid w:val="008E7077"/>
    <w:rsid w:val="008F067F"/>
    <w:rsid w:val="008F2129"/>
    <w:rsid w:val="008F533E"/>
    <w:rsid w:val="009012F8"/>
    <w:rsid w:val="00904155"/>
    <w:rsid w:val="00912096"/>
    <w:rsid w:val="00914B25"/>
    <w:rsid w:val="0091787D"/>
    <w:rsid w:val="00924FCE"/>
    <w:rsid w:val="0092751C"/>
    <w:rsid w:val="00946C58"/>
    <w:rsid w:val="00950FEE"/>
    <w:rsid w:val="00954223"/>
    <w:rsid w:val="00970685"/>
    <w:rsid w:val="0098135E"/>
    <w:rsid w:val="00983B1A"/>
    <w:rsid w:val="00992B5A"/>
    <w:rsid w:val="00992F23"/>
    <w:rsid w:val="009953CA"/>
    <w:rsid w:val="00996A93"/>
    <w:rsid w:val="009977ED"/>
    <w:rsid w:val="00997D9B"/>
    <w:rsid w:val="009A1580"/>
    <w:rsid w:val="009A6C92"/>
    <w:rsid w:val="009B6505"/>
    <w:rsid w:val="009C34B7"/>
    <w:rsid w:val="009D01D5"/>
    <w:rsid w:val="009D2A25"/>
    <w:rsid w:val="009D3B40"/>
    <w:rsid w:val="009D5EB3"/>
    <w:rsid w:val="009E3138"/>
    <w:rsid w:val="009F31DC"/>
    <w:rsid w:val="009F443E"/>
    <w:rsid w:val="009F7429"/>
    <w:rsid w:val="00A0074E"/>
    <w:rsid w:val="00A07F90"/>
    <w:rsid w:val="00A104C5"/>
    <w:rsid w:val="00A114C6"/>
    <w:rsid w:val="00A22AEF"/>
    <w:rsid w:val="00A26DE5"/>
    <w:rsid w:val="00A44DA6"/>
    <w:rsid w:val="00A47FB7"/>
    <w:rsid w:val="00A60E99"/>
    <w:rsid w:val="00A8235B"/>
    <w:rsid w:val="00A83D6D"/>
    <w:rsid w:val="00A840E0"/>
    <w:rsid w:val="00A90877"/>
    <w:rsid w:val="00A94F3F"/>
    <w:rsid w:val="00A956AC"/>
    <w:rsid w:val="00AA3A24"/>
    <w:rsid w:val="00AA5F0C"/>
    <w:rsid w:val="00AC59DE"/>
    <w:rsid w:val="00AC622A"/>
    <w:rsid w:val="00AD55D8"/>
    <w:rsid w:val="00AD5B92"/>
    <w:rsid w:val="00AF558B"/>
    <w:rsid w:val="00B008A7"/>
    <w:rsid w:val="00B0159E"/>
    <w:rsid w:val="00B054EC"/>
    <w:rsid w:val="00B05B2C"/>
    <w:rsid w:val="00B05D6C"/>
    <w:rsid w:val="00B15043"/>
    <w:rsid w:val="00B206F0"/>
    <w:rsid w:val="00B251B8"/>
    <w:rsid w:val="00B32474"/>
    <w:rsid w:val="00B357F7"/>
    <w:rsid w:val="00B45CA3"/>
    <w:rsid w:val="00B57661"/>
    <w:rsid w:val="00B618B1"/>
    <w:rsid w:val="00B7043E"/>
    <w:rsid w:val="00B77DF1"/>
    <w:rsid w:val="00B81789"/>
    <w:rsid w:val="00B91054"/>
    <w:rsid w:val="00B91712"/>
    <w:rsid w:val="00BA6D93"/>
    <w:rsid w:val="00BA7BAF"/>
    <w:rsid w:val="00BB14C7"/>
    <w:rsid w:val="00BB3D3B"/>
    <w:rsid w:val="00BB4C14"/>
    <w:rsid w:val="00BC2B79"/>
    <w:rsid w:val="00BD0895"/>
    <w:rsid w:val="00BD3986"/>
    <w:rsid w:val="00BD4CA6"/>
    <w:rsid w:val="00BD5BCA"/>
    <w:rsid w:val="00BD61B0"/>
    <w:rsid w:val="00BE6170"/>
    <w:rsid w:val="00BF0ABB"/>
    <w:rsid w:val="00BF2260"/>
    <w:rsid w:val="00BF5533"/>
    <w:rsid w:val="00BF6611"/>
    <w:rsid w:val="00C01F1D"/>
    <w:rsid w:val="00C031D2"/>
    <w:rsid w:val="00C12039"/>
    <w:rsid w:val="00C12322"/>
    <w:rsid w:val="00C17227"/>
    <w:rsid w:val="00C20760"/>
    <w:rsid w:val="00C3110C"/>
    <w:rsid w:val="00C31309"/>
    <w:rsid w:val="00C36E42"/>
    <w:rsid w:val="00C37FCF"/>
    <w:rsid w:val="00C41078"/>
    <w:rsid w:val="00C417A3"/>
    <w:rsid w:val="00C436C4"/>
    <w:rsid w:val="00C44682"/>
    <w:rsid w:val="00C44C42"/>
    <w:rsid w:val="00C50596"/>
    <w:rsid w:val="00C52E28"/>
    <w:rsid w:val="00C610E3"/>
    <w:rsid w:val="00C61CF4"/>
    <w:rsid w:val="00C74396"/>
    <w:rsid w:val="00C74E3A"/>
    <w:rsid w:val="00C90893"/>
    <w:rsid w:val="00C9549C"/>
    <w:rsid w:val="00C9622D"/>
    <w:rsid w:val="00CA0456"/>
    <w:rsid w:val="00CC3A5E"/>
    <w:rsid w:val="00CC7317"/>
    <w:rsid w:val="00CC7887"/>
    <w:rsid w:val="00CD12C7"/>
    <w:rsid w:val="00CE02FE"/>
    <w:rsid w:val="00CE55CA"/>
    <w:rsid w:val="00CE5D65"/>
    <w:rsid w:val="00CF453E"/>
    <w:rsid w:val="00CF45E8"/>
    <w:rsid w:val="00D04014"/>
    <w:rsid w:val="00D16379"/>
    <w:rsid w:val="00D2164E"/>
    <w:rsid w:val="00D244D7"/>
    <w:rsid w:val="00D27544"/>
    <w:rsid w:val="00D32A9E"/>
    <w:rsid w:val="00D3353F"/>
    <w:rsid w:val="00D34EA4"/>
    <w:rsid w:val="00D416A2"/>
    <w:rsid w:val="00D44C92"/>
    <w:rsid w:val="00D5028D"/>
    <w:rsid w:val="00D53C23"/>
    <w:rsid w:val="00D600B1"/>
    <w:rsid w:val="00D72972"/>
    <w:rsid w:val="00D81B2B"/>
    <w:rsid w:val="00D81DFE"/>
    <w:rsid w:val="00D85614"/>
    <w:rsid w:val="00D9252C"/>
    <w:rsid w:val="00D93A0C"/>
    <w:rsid w:val="00D943D5"/>
    <w:rsid w:val="00DA1E7C"/>
    <w:rsid w:val="00DA7438"/>
    <w:rsid w:val="00DB6673"/>
    <w:rsid w:val="00DB6C92"/>
    <w:rsid w:val="00DC22FE"/>
    <w:rsid w:val="00DD32D2"/>
    <w:rsid w:val="00DD33F4"/>
    <w:rsid w:val="00DF6ABB"/>
    <w:rsid w:val="00DF7B38"/>
    <w:rsid w:val="00E034BD"/>
    <w:rsid w:val="00E03E32"/>
    <w:rsid w:val="00E06FD5"/>
    <w:rsid w:val="00E13F7B"/>
    <w:rsid w:val="00E17321"/>
    <w:rsid w:val="00E251C7"/>
    <w:rsid w:val="00E25CE2"/>
    <w:rsid w:val="00E26B21"/>
    <w:rsid w:val="00E27AF0"/>
    <w:rsid w:val="00E31492"/>
    <w:rsid w:val="00E434E3"/>
    <w:rsid w:val="00E51E3B"/>
    <w:rsid w:val="00E53003"/>
    <w:rsid w:val="00E54045"/>
    <w:rsid w:val="00E54D24"/>
    <w:rsid w:val="00E606FA"/>
    <w:rsid w:val="00E61838"/>
    <w:rsid w:val="00E665D4"/>
    <w:rsid w:val="00E72176"/>
    <w:rsid w:val="00E76C05"/>
    <w:rsid w:val="00E773FD"/>
    <w:rsid w:val="00E81226"/>
    <w:rsid w:val="00E86588"/>
    <w:rsid w:val="00E90E5A"/>
    <w:rsid w:val="00E90E79"/>
    <w:rsid w:val="00E916E3"/>
    <w:rsid w:val="00EA491C"/>
    <w:rsid w:val="00EA62A2"/>
    <w:rsid w:val="00EB0055"/>
    <w:rsid w:val="00EB4DFC"/>
    <w:rsid w:val="00EC364B"/>
    <w:rsid w:val="00EC5D6F"/>
    <w:rsid w:val="00EC6DF6"/>
    <w:rsid w:val="00EC6EF4"/>
    <w:rsid w:val="00ED69DF"/>
    <w:rsid w:val="00ED7961"/>
    <w:rsid w:val="00EE0F81"/>
    <w:rsid w:val="00EE1BC6"/>
    <w:rsid w:val="00EE2F29"/>
    <w:rsid w:val="00EF3D06"/>
    <w:rsid w:val="00EF7672"/>
    <w:rsid w:val="00F03B88"/>
    <w:rsid w:val="00F07869"/>
    <w:rsid w:val="00F07ED8"/>
    <w:rsid w:val="00F14D45"/>
    <w:rsid w:val="00F24DE5"/>
    <w:rsid w:val="00F36FDF"/>
    <w:rsid w:val="00F42D96"/>
    <w:rsid w:val="00F4395E"/>
    <w:rsid w:val="00F541CD"/>
    <w:rsid w:val="00F6194D"/>
    <w:rsid w:val="00F724DE"/>
    <w:rsid w:val="00F87B62"/>
    <w:rsid w:val="00F87FA0"/>
    <w:rsid w:val="00F94A85"/>
    <w:rsid w:val="00FA1B3B"/>
    <w:rsid w:val="00FA7CCA"/>
    <w:rsid w:val="00FB311C"/>
    <w:rsid w:val="00FB760B"/>
    <w:rsid w:val="00FB7999"/>
    <w:rsid w:val="00FC3D10"/>
    <w:rsid w:val="00FD3D2F"/>
    <w:rsid w:val="00FD55A6"/>
    <w:rsid w:val="00FE31A0"/>
    <w:rsid w:val="00FF1ACD"/>
    <w:rsid w:val="00FF3720"/>
    <w:rsid w:val="00FF646D"/>
    <w:rsid w:val="01064C9A"/>
    <w:rsid w:val="0119677B"/>
    <w:rsid w:val="013435B5"/>
    <w:rsid w:val="013902A4"/>
    <w:rsid w:val="0147778C"/>
    <w:rsid w:val="014A102B"/>
    <w:rsid w:val="01514167"/>
    <w:rsid w:val="015E4AD6"/>
    <w:rsid w:val="017D6A20"/>
    <w:rsid w:val="01B01BF0"/>
    <w:rsid w:val="01B14539"/>
    <w:rsid w:val="01CC1A40"/>
    <w:rsid w:val="021533E7"/>
    <w:rsid w:val="025A704C"/>
    <w:rsid w:val="027D0F8C"/>
    <w:rsid w:val="027F4D04"/>
    <w:rsid w:val="02881E0B"/>
    <w:rsid w:val="028D4CF1"/>
    <w:rsid w:val="02C25806"/>
    <w:rsid w:val="02D432A2"/>
    <w:rsid w:val="030F6088"/>
    <w:rsid w:val="032A0773"/>
    <w:rsid w:val="034918BB"/>
    <w:rsid w:val="034C108A"/>
    <w:rsid w:val="035166A0"/>
    <w:rsid w:val="03523B0F"/>
    <w:rsid w:val="03680CBF"/>
    <w:rsid w:val="036A7762"/>
    <w:rsid w:val="03816DD3"/>
    <w:rsid w:val="03862F00"/>
    <w:rsid w:val="03944F06"/>
    <w:rsid w:val="03AA4003"/>
    <w:rsid w:val="03BE360A"/>
    <w:rsid w:val="03BE637D"/>
    <w:rsid w:val="03E72982"/>
    <w:rsid w:val="03ED379D"/>
    <w:rsid w:val="03EF1A15"/>
    <w:rsid w:val="03F84D6E"/>
    <w:rsid w:val="040078F8"/>
    <w:rsid w:val="040A2CF3"/>
    <w:rsid w:val="04115E30"/>
    <w:rsid w:val="04137DFA"/>
    <w:rsid w:val="0438160E"/>
    <w:rsid w:val="043F299D"/>
    <w:rsid w:val="048E7480"/>
    <w:rsid w:val="04CB2483"/>
    <w:rsid w:val="04D56E5D"/>
    <w:rsid w:val="05026DAC"/>
    <w:rsid w:val="0507301D"/>
    <w:rsid w:val="053E4A03"/>
    <w:rsid w:val="05632411"/>
    <w:rsid w:val="057C377D"/>
    <w:rsid w:val="058C17F3"/>
    <w:rsid w:val="05B178CA"/>
    <w:rsid w:val="05C2726E"/>
    <w:rsid w:val="05F67A6A"/>
    <w:rsid w:val="060519C4"/>
    <w:rsid w:val="0607573C"/>
    <w:rsid w:val="061340E1"/>
    <w:rsid w:val="06145C04"/>
    <w:rsid w:val="063D0DEC"/>
    <w:rsid w:val="06546748"/>
    <w:rsid w:val="06856661"/>
    <w:rsid w:val="0694296F"/>
    <w:rsid w:val="0694647B"/>
    <w:rsid w:val="06C22288"/>
    <w:rsid w:val="06C23411"/>
    <w:rsid w:val="06CB49BC"/>
    <w:rsid w:val="072916E2"/>
    <w:rsid w:val="073302F4"/>
    <w:rsid w:val="07352051"/>
    <w:rsid w:val="073A569E"/>
    <w:rsid w:val="07487DBA"/>
    <w:rsid w:val="07493F9A"/>
    <w:rsid w:val="075F5104"/>
    <w:rsid w:val="07634BF4"/>
    <w:rsid w:val="07733FFE"/>
    <w:rsid w:val="07852D63"/>
    <w:rsid w:val="079C3C62"/>
    <w:rsid w:val="079E5C2C"/>
    <w:rsid w:val="07B23486"/>
    <w:rsid w:val="07CA3D59"/>
    <w:rsid w:val="07F42666"/>
    <w:rsid w:val="07F7533D"/>
    <w:rsid w:val="080C528C"/>
    <w:rsid w:val="082500FC"/>
    <w:rsid w:val="082C76F8"/>
    <w:rsid w:val="083B791F"/>
    <w:rsid w:val="084F6F27"/>
    <w:rsid w:val="086E7FA8"/>
    <w:rsid w:val="087A77E0"/>
    <w:rsid w:val="08816B15"/>
    <w:rsid w:val="088E3EF3"/>
    <w:rsid w:val="08CA3480"/>
    <w:rsid w:val="08D538D0"/>
    <w:rsid w:val="08DF64FD"/>
    <w:rsid w:val="08E65ADD"/>
    <w:rsid w:val="08FF26FB"/>
    <w:rsid w:val="09153CCC"/>
    <w:rsid w:val="09323682"/>
    <w:rsid w:val="093305F6"/>
    <w:rsid w:val="097053A7"/>
    <w:rsid w:val="09736C45"/>
    <w:rsid w:val="09815806"/>
    <w:rsid w:val="09A52D83"/>
    <w:rsid w:val="09BC2ED7"/>
    <w:rsid w:val="09DA6CC4"/>
    <w:rsid w:val="09E57B43"/>
    <w:rsid w:val="09EF44EC"/>
    <w:rsid w:val="09F47D86"/>
    <w:rsid w:val="0A1C69FF"/>
    <w:rsid w:val="0A460C25"/>
    <w:rsid w:val="0A7E3AF3"/>
    <w:rsid w:val="0A943317"/>
    <w:rsid w:val="0ABD1C25"/>
    <w:rsid w:val="0AD32091"/>
    <w:rsid w:val="0AD433E5"/>
    <w:rsid w:val="0AE53B72"/>
    <w:rsid w:val="0AE93662"/>
    <w:rsid w:val="0B105BB6"/>
    <w:rsid w:val="0B1B1342"/>
    <w:rsid w:val="0B2641CE"/>
    <w:rsid w:val="0B39329D"/>
    <w:rsid w:val="0B455CE4"/>
    <w:rsid w:val="0B6E1DBA"/>
    <w:rsid w:val="0B9E444D"/>
    <w:rsid w:val="0BA252F1"/>
    <w:rsid w:val="0BC077EA"/>
    <w:rsid w:val="0BD376FD"/>
    <w:rsid w:val="0BEF4CA9"/>
    <w:rsid w:val="0BF056CB"/>
    <w:rsid w:val="0C087501"/>
    <w:rsid w:val="0C1C1816"/>
    <w:rsid w:val="0C2A5CE1"/>
    <w:rsid w:val="0C2D1EF2"/>
    <w:rsid w:val="0C452B1A"/>
    <w:rsid w:val="0C790A16"/>
    <w:rsid w:val="0C805690"/>
    <w:rsid w:val="0C9C35F4"/>
    <w:rsid w:val="0CA36DAE"/>
    <w:rsid w:val="0CAD06C0"/>
    <w:rsid w:val="0CD926C8"/>
    <w:rsid w:val="0CEB5F40"/>
    <w:rsid w:val="0D0F589A"/>
    <w:rsid w:val="0D251794"/>
    <w:rsid w:val="0D2C7836"/>
    <w:rsid w:val="0D301714"/>
    <w:rsid w:val="0D305579"/>
    <w:rsid w:val="0D613D9A"/>
    <w:rsid w:val="0D6214AA"/>
    <w:rsid w:val="0D9518A9"/>
    <w:rsid w:val="0D957AD2"/>
    <w:rsid w:val="0DA90E87"/>
    <w:rsid w:val="0DCB704F"/>
    <w:rsid w:val="0DF522C3"/>
    <w:rsid w:val="0DF57CE4"/>
    <w:rsid w:val="0E2624D8"/>
    <w:rsid w:val="0E287BBE"/>
    <w:rsid w:val="0E2D5A46"/>
    <w:rsid w:val="0E4C574A"/>
    <w:rsid w:val="0E603C3C"/>
    <w:rsid w:val="0E7B0A75"/>
    <w:rsid w:val="0EA0672E"/>
    <w:rsid w:val="0EA224A6"/>
    <w:rsid w:val="0EA77ABC"/>
    <w:rsid w:val="0EAC52AB"/>
    <w:rsid w:val="0EAF6971"/>
    <w:rsid w:val="0EC56195"/>
    <w:rsid w:val="0ED91C40"/>
    <w:rsid w:val="0EDD3D57"/>
    <w:rsid w:val="0F28091B"/>
    <w:rsid w:val="0F384BB8"/>
    <w:rsid w:val="0F3B6457"/>
    <w:rsid w:val="0F470958"/>
    <w:rsid w:val="0F501F02"/>
    <w:rsid w:val="0F5512C6"/>
    <w:rsid w:val="0F833AD6"/>
    <w:rsid w:val="0FB87AA7"/>
    <w:rsid w:val="0FC01AF5"/>
    <w:rsid w:val="0FD73D21"/>
    <w:rsid w:val="10090303"/>
    <w:rsid w:val="101C3B92"/>
    <w:rsid w:val="103A0204"/>
    <w:rsid w:val="1045133B"/>
    <w:rsid w:val="10A1053B"/>
    <w:rsid w:val="10BF1C27"/>
    <w:rsid w:val="10C04E65"/>
    <w:rsid w:val="10D601E5"/>
    <w:rsid w:val="10EA3C90"/>
    <w:rsid w:val="10F13271"/>
    <w:rsid w:val="110034B4"/>
    <w:rsid w:val="11027246"/>
    <w:rsid w:val="11164A85"/>
    <w:rsid w:val="112F78F5"/>
    <w:rsid w:val="11360C9E"/>
    <w:rsid w:val="11511F61"/>
    <w:rsid w:val="11551A52"/>
    <w:rsid w:val="115D0906"/>
    <w:rsid w:val="116C28F7"/>
    <w:rsid w:val="117414FE"/>
    <w:rsid w:val="11823EC9"/>
    <w:rsid w:val="118B5473"/>
    <w:rsid w:val="118F65E6"/>
    <w:rsid w:val="11904B62"/>
    <w:rsid w:val="11A85DB2"/>
    <w:rsid w:val="11AE1D12"/>
    <w:rsid w:val="11CA7FC4"/>
    <w:rsid w:val="11CC15E8"/>
    <w:rsid w:val="11DF131B"/>
    <w:rsid w:val="120363E1"/>
    <w:rsid w:val="121216F1"/>
    <w:rsid w:val="1215263F"/>
    <w:rsid w:val="12176D07"/>
    <w:rsid w:val="121D602C"/>
    <w:rsid w:val="122338FE"/>
    <w:rsid w:val="123C676E"/>
    <w:rsid w:val="124E024F"/>
    <w:rsid w:val="125266DB"/>
    <w:rsid w:val="125515DD"/>
    <w:rsid w:val="125A3098"/>
    <w:rsid w:val="12AE7FE8"/>
    <w:rsid w:val="12D746E8"/>
    <w:rsid w:val="12EF15FF"/>
    <w:rsid w:val="12EF6AAC"/>
    <w:rsid w:val="131D034D"/>
    <w:rsid w:val="1350134D"/>
    <w:rsid w:val="139131DB"/>
    <w:rsid w:val="13AC2411"/>
    <w:rsid w:val="13BE1705"/>
    <w:rsid w:val="13DE01AE"/>
    <w:rsid w:val="13E9022F"/>
    <w:rsid w:val="140212F1"/>
    <w:rsid w:val="140B2796"/>
    <w:rsid w:val="141334FE"/>
    <w:rsid w:val="141A2ADF"/>
    <w:rsid w:val="141C0605"/>
    <w:rsid w:val="14772070"/>
    <w:rsid w:val="14B60DBE"/>
    <w:rsid w:val="14D233B9"/>
    <w:rsid w:val="14ED41E9"/>
    <w:rsid w:val="14F85249"/>
    <w:rsid w:val="150D619F"/>
    <w:rsid w:val="152A4FA3"/>
    <w:rsid w:val="1533692A"/>
    <w:rsid w:val="15632263"/>
    <w:rsid w:val="156E0D28"/>
    <w:rsid w:val="15783F61"/>
    <w:rsid w:val="15793835"/>
    <w:rsid w:val="157E709D"/>
    <w:rsid w:val="15B72998"/>
    <w:rsid w:val="15BA7C50"/>
    <w:rsid w:val="15BE79F8"/>
    <w:rsid w:val="15DB004C"/>
    <w:rsid w:val="15DB629E"/>
    <w:rsid w:val="15E72E94"/>
    <w:rsid w:val="15EC04AB"/>
    <w:rsid w:val="15FA56EA"/>
    <w:rsid w:val="15FC0BA0"/>
    <w:rsid w:val="15FD7FC2"/>
    <w:rsid w:val="161237ED"/>
    <w:rsid w:val="161A735C"/>
    <w:rsid w:val="16691AFB"/>
    <w:rsid w:val="168A23ED"/>
    <w:rsid w:val="16921052"/>
    <w:rsid w:val="169E2AE5"/>
    <w:rsid w:val="16A1359E"/>
    <w:rsid w:val="16AF39B2"/>
    <w:rsid w:val="16DD3F72"/>
    <w:rsid w:val="16DE7DF3"/>
    <w:rsid w:val="16EF2001"/>
    <w:rsid w:val="173B5246"/>
    <w:rsid w:val="17504430"/>
    <w:rsid w:val="175B58E8"/>
    <w:rsid w:val="176A5B2B"/>
    <w:rsid w:val="178E5684"/>
    <w:rsid w:val="17B86896"/>
    <w:rsid w:val="17BF0DF3"/>
    <w:rsid w:val="17BF5E77"/>
    <w:rsid w:val="17D132FC"/>
    <w:rsid w:val="17E05CBA"/>
    <w:rsid w:val="181546BD"/>
    <w:rsid w:val="181F6915"/>
    <w:rsid w:val="18214554"/>
    <w:rsid w:val="182C2DE0"/>
    <w:rsid w:val="18407B66"/>
    <w:rsid w:val="18461F74"/>
    <w:rsid w:val="185540BD"/>
    <w:rsid w:val="185A5C67"/>
    <w:rsid w:val="1867549B"/>
    <w:rsid w:val="18820B70"/>
    <w:rsid w:val="18856C43"/>
    <w:rsid w:val="1891242E"/>
    <w:rsid w:val="1899186D"/>
    <w:rsid w:val="189F7A56"/>
    <w:rsid w:val="18A92021"/>
    <w:rsid w:val="18CA5813"/>
    <w:rsid w:val="18CB25F9"/>
    <w:rsid w:val="1930193F"/>
    <w:rsid w:val="198527A8"/>
    <w:rsid w:val="198D5B01"/>
    <w:rsid w:val="19921369"/>
    <w:rsid w:val="19C83575"/>
    <w:rsid w:val="19DC4392"/>
    <w:rsid w:val="19E03E83"/>
    <w:rsid w:val="1A646862"/>
    <w:rsid w:val="1A686637"/>
    <w:rsid w:val="1AA730C1"/>
    <w:rsid w:val="1AC13CB4"/>
    <w:rsid w:val="1AC535E0"/>
    <w:rsid w:val="1ACC74C0"/>
    <w:rsid w:val="1AD00105"/>
    <w:rsid w:val="1ADB6D8F"/>
    <w:rsid w:val="1ADF05DE"/>
    <w:rsid w:val="1AE23C2A"/>
    <w:rsid w:val="1B045628"/>
    <w:rsid w:val="1B2674C4"/>
    <w:rsid w:val="1B2A3FBC"/>
    <w:rsid w:val="1B43291B"/>
    <w:rsid w:val="1B4B1ACE"/>
    <w:rsid w:val="1B4B2134"/>
    <w:rsid w:val="1B6C00C4"/>
    <w:rsid w:val="1B6D5BEA"/>
    <w:rsid w:val="1B866CAC"/>
    <w:rsid w:val="1B886580"/>
    <w:rsid w:val="1B897CC3"/>
    <w:rsid w:val="1B8E3E5C"/>
    <w:rsid w:val="1B9273FE"/>
    <w:rsid w:val="1BB43819"/>
    <w:rsid w:val="1BCA303C"/>
    <w:rsid w:val="1BEB0073"/>
    <w:rsid w:val="1BF237A2"/>
    <w:rsid w:val="1C183B46"/>
    <w:rsid w:val="1C191A02"/>
    <w:rsid w:val="1C4260DE"/>
    <w:rsid w:val="1C7B2391"/>
    <w:rsid w:val="1CA7512B"/>
    <w:rsid w:val="1CCF465A"/>
    <w:rsid w:val="1CD31A7D"/>
    <w:rsid w:val="1CE53D89"/>
    <w:rsid w:val="1D37200B"/>
    <w:rsid w:val="1D3A5FA0"/>
    <w:rsid w:val="1D3E2F4F"/>
    <w:rsid w:val="1D4961E3"/>
    <w:rsid w:val="1D4D5CD3"/>
    <w:rsid w:val="1D5022F0"/>
    <w:rsid w:val="1D5070CD"/>
    <w:rsid w:val="1D5F1562"/>
    <w:rsid w:val="1D6945D8"/>
    <w:rsid w:val="1D7E27C4"/>
    <w:rsid w:val="1D8C009C"/>
    <w:rsid w:val="1DA40055"/>
    <w:rsid w:val="1DAF4298"/>
    <w:rsid w:val="1DB01DBE"/>
    <w:rsid w:val="1DB4365C"/>
    <w:rsid w:val="1DC51D0D"/>
    <w:rsid w:val="1DC53ABB"/>
    <w:rsid w:val="1DD514BE"/>
    <w:rsid w:val="1DEA038E"/>
    <w:rsid w:val="1E026ABD"/>
    <w:rsid w:val="1E0D0DC4"/>
    <w:rsid w:val="1E0F4D36"/>
    <w:rsid w:val="1E236A34"/>
    <w:rsid w:val="1E334EC9"/>
    <w:rsid w:val="1E3447B5"/>
    <w:rsid w:val="1E4744D0"/>
    <w:rsid w:val="1E4B06F4"/>
    <w:rsid w:val="1E6C78C7"/>
    <w:rsid w:val="1E7D1053"/>
    <w:rsid w:val="1E8F7E4C"/>
    <w:rsid w:val="1E9258DD"/>
    <w:rsid w:val="1E946C79"/>
    <w:rsid w:val="1E9C7214"/>
    <w:rsid w:val="1EDA6B5F"/>
    <w:rsid w:val="1EE461C3"/>
    <w:rsid w:val="1EE67708"/>
    <w:rsid w:val="1EF81C6E"/>
    <w:rsid w:val="1F0966CF"/>
    <w:rsid w:val="1F226000"/>
    <w:rsid w:val="1F226CEB"/>
    <w:rsid w:val="1F330EF8"/>
    <w:rsid w:val="1F464D09"/>
    <w:rsid w:val="1F5D27BB"/>
    <w:rsid w:val="1F602B3B"/>
    <w:rsid w:val="1F643D58"/>
    <w:rsid w:val="1F6501F2"/>
    <w:rsid w:val="1F6D61B8"/>
    <w:rsid w:val="1F6D6B38"/>
    <w:rsid w:val="1F9951FF"/>
    <w:rsid w:val="1FB913FE"/>
    <w:rsid w:val="200230F1"/>
    <w:rsid w:val="200D34F7"/>
    <w:rsid w:val="200D5F0D"/>
    <w:rsid w:val="200E78F3"/>
    <w:rsid w:val="202B1BD0"/>
    <w:rsid w:val="204F5180"/>
    <w:rsid w:val="205C5ABE"/>
    <w:rsid w:val="20825C93"/>
    <w:rsid w:val="20893ED4"/>
    <w:rsid w:val="209D0D1F"/>
    <w:rsid w:val="20B87907"/>
    <w:rsid w:val="20B941BB"/>
    <w:rsid w:val="20C52024"/>
    <w:rsid w:val="20CE09F4"/>
    <w:rsid w:val="210E7DC4"/>
    <w:rsid w:val="2110329F"/>
    <w:rsid w:val="211F1734"/>
    <w:rsid w:val="21464F13"/>
    <w:rsid w:val="214C62A1"/>
    <w:rsid w:val="215D1AC5"/>
    <w:rsid w:val="21635AC5"/>
    <w:rsid w:val="21717AB6"/>
    <w:rsid w:val="21892883"/>
    <w:rsid w:val="218B6DCA"/>
    <w:rsid w:val="21C422DC"/>
    <w:rsid w:val="21E90987"/>
    <w:rsid w:val="220056ED"/>
    <w:rsid w:val="220E4992"/>
    <w:rsid w:val="222A5E3C"/>
    <w:rsid w:val="22372AAE"/>
    <w:rsid w:val="224852D2"/>
    <w:rsid w:val="22521696"/>
    <w:rsid w:val="22531984"/>
    <w:rsid w:val="22592A24"/>
    <w:rsid w:val="228C6E46"/>
    <w:rsid w:val="22965A26"/>
    <w:rsid w:val="22B61C24"/>
    <w:rsid w:val="22E569AE"/>
    <w:rsid w:val="22EF1483"/>
    <w:rsid w:val="22EF3388"/>
    <w:rsid w:val="233F044D"/>
    <w:rsid w:val="234B4A63"/>
    <w:rsid w:val="236773C3"/>
    <w:rsid w:val="23893828"/>
    <w:rsid w:val="238B30B1"/>
    <w:rsid w:val="23A35ADA"/>
    <w:rsid w:val="23C16AD3"/>
    <w:rsid w:val="23DD7F43"/>
    <w:rsid w:val="240D3AC6"/>
    <w:rsid w:val="242332EA"/>
    <w:rsid w:val="24247B5C"/>
    <w:rsid w:val="247826A7"/>
    <w:rsid w:val="247B55C5"/>
    <w:rsid w:val="247C00E4"/>
    <w:rsid w:val="247C34F8"/>
    <w:rsid w:val="247D50F0"/>
    <w:rsid w:val="24807011"/>
    <w:rsid w:val="249754FF"/>
    <w:rsid w:val="24A30154"/>
    <w:rsid w:val="24DB5972"/>
    <w:rsid w:val="252950A3"/>
    <w:rsid w:val="25472D7E"/>
    <w:rsid w:val="256736AA"/>
    <w:rsid w:val="257007B0"/>
    <w:rsid w:val="25754248"/>
    <w:rsid w:val="257A73DB"/>
    <w:rsid w:val="25AD64F9"/>
    <w:rsid w:val="25B763DF"/>
    <w:rsid w:val="25BD151C"/>
    <w:rsid w:val="25C66AF5"/>
    <w:rsid w:val="25F767DC"/>
    <w:rsid w:val="25FA62CC"/>
    <w:rsid w:val="26213859"/>
    <w:rsid w:val="26291992"/>
    <w:rsid w:val="262E2C1F"/>
    <w:rsid w:val="26363EB4"/>
    <w:rsid w:val="26811F6C"/>
    <w:rsid w:val="268304A8"/>
    <w:rsid w:val="26A61FB0"/>
    <w:rsid w:val="26AA091A"/>
    <w:rsid w:val="26B20955"/>
    <w:rsid w:val="26C55CB8"/>
    <w:rsid w:val="26D47A49"/>
    <w:rsid w:val="26DD470D"/>
    <w:rsid w:val="270D4128"/>
    <w:rsid w:val="2725381D"/>
    <w:rsid w:val="273245C8"/>
    <w:rsid w:val="27367074"/>
    <w:rsid w:val="276E2ACE"/>
    <w:rsid w:val="278D79CD"/>
    <w:rsid w:val="278E4AF5"/>
    <w:rsid w:val="27962024"/>
    <w:rsid w:val="27D52B4D"/>
    <w:rsid w:val="27E4778A"/>
    <w:rsid w:val="28011574"/>
    <w:rsid w:val="280E42B1"/>
    <w:rsid w:val="283755B5"/>
    <w:rsid w:val="28375750"/>
    <w:rsid w:val="286766E4"/>
    <w:rsid w:val="286F3F95"/>
    <w:rsid w:val="2874680A"/>
    <w:rsid w:val="288D39BF"/>
    <w:rsid w:val="288F53F1"/>
    <w:rsid w:val="289A78F2"/>
    <w:rsid w:val="28B95242"/>
    <w:rsid w:val="28D23530"/>
    <w:rsid w:val="28DC7F0B"/>
    <w:rsid w:val="28E03E9F"/>
    <w:rsid w:val="290D27BA"/>
    <w:rsid w:val="290D32C7"/>
    <w:rsid w:val="29155DCF"/>
    <w:rsid w:val="29181DA8"/>
    <w:rsid w:val="29384061"/>
    <w:rsid w:val="2946704A"/>
    <w:rsid w:val="29491244"/>
    <w:rsid w:val="294B335F"/>
    <w:rsid w:val="294C5322"/>
    <w:rsid w:val="295757E3"/>
    <w:rsid w:val="296A5517"/>
    <w:rsid w:val="296E05F3"/>
    <w:rsid w:val="297445E7"/>
    <w:rsid w:val="29765306"/>
    <w:rsid w:val="298522E6"/>
    <w:rsid w:val="29A20FDC"/>
    <w:rsid w:val="29AE5D4B"/>
    <w:rsid w:val="29B315F2"/>
    <w:rsid w:val="29B844D4"/>
    <w:rsid w:val="29BA649E"/>
    <w:rsid w:val="29C72969"/>
    <w:rsid w:val="29D14D4B"/>
    <w:rsid w:val="29EF3C6E"/>
    <w:rsid w:val="2A243451"/>
    <w:rsid w:val="2A3E3504"/>
    <w:rsid w:val="2A475858"/>
    <w:rsid w:val="2A725CF9"/>
    <w:rsid w:val="2AAB228B"/>
    <w:rsid w:val="2AAF138F"/>
    <w:rsid w:val="2AB033FD"/>
    <w:rsid w:val="2AD96F50"/>
    <w:rsid w:val="2AE13EFE"/>
    <w:rsid w:val="2AE412F9"/>
    <w:rsid w:val="2AEF2177"/>
    <w:rsid w:val="2AF23A16"/>
    <w:rsid w:val="2AFC4894"/>
    <w:rsid w:val="2B1B2F6C"/>
    <w:rsid w:val="2B273B46"/>
    <w:rsid w:val="2B295323"/>
    <w:rsid w:val="2B2D2CA0"/>
    <w:rsid w:val="2B3C1135"/>
    <w:rsid w:val="2B40163B"/>
    <w:rsid w:val="2B504399"/>
    <w:rsid w:val="2B681F2A"/>
    <w:rsid w:val="2B8F395A"/>
    <w:rsid w:val="2BE315B0"/>
    <w:rsid w:val="2BE9306B"/>
    <w:rsid w:val="2BF832AE"/>
    <w:rsid w:val="2BFF288E"/>
    <w:rsid w:val="2C120DE4"/>
    <w:rsid w:val="2C131E96"/>
    <w:rsid w:val="2C42277B"/>
    <w:rsid w:val="2C485E67"/>
    <w:rsid w:val="2C620A7A"/>
    <w:rsid w:val="2C6646BB"/>
    <w:rsid w:val="2C8902AD"/>
    <w:rsid w:val="2C8C2E75"/>
    <w:rsid w:val="2C8D1C48"/>
    <w:rsid w:val="2CB2345D"/>
    <w:rsid w:val="2CC54BA6"/>
    <w:rsid w:val="2CD66475"/>
    <w:rsid w:val="2D0D4B37"/>
    <w:rsid w:val="2D2B320F"/>
    <w:rsid w:val="2D6D0000"/>
    <w:rsid w:val="2D70363C"/>
    <w:rsid w:val="2D7928B5"/>
    <w:rsid w:val="2D7C646F"/>
    <w:rsid w:val="2DB15E0A"/>
    <w:rsid w:val="2DC31151"/>
    <w:rsid w:val="2E3E48F3"/>
    <w:rsid w:val="2E3F6F72"/>
    <w:rsid w:val="2E402CEA"/>
    <w:rsid w:val="2E59753B"/>
    <w:rsid w:val="2E597998"/>
    <w:rsid w:val="2E615D08"/>
    <w:rsid w:val="2E6B420B"/>
    <w:rsid w:val="2E7B1410"/>
    <w:rsid w:val="2E840E29"/>
    <w:rsid w:val="2E8B0409"/>
    <w:rsid w:val="2EB45BB2"/>
    <w:rsid w:val="2EE53602"/>
    <w:rsid w:val="2EF266DA"/>
    <w:rsid w:val="2EF35FAE"/>
    <w:rsid w:val="2F106FC4"/>
    <w:rsid w:val="2F144DE4"/>
    <w:rsid w:val="2F5729E1"/>
    <w:rsid w:val="2FA5374C"/>
    <w:rsid w:val="2FBD0A96"/>
    <w:rsid w:val="2FBE092B"/>
    <w:rsid w:val="2FCA31B3"/>
    <w:rsid w:val="2FEA73B1"/>
    <w:rsid w:val="2FFB02D5"/>
    <w:rsid w:val="30163879"/>
    <w:rsid w:val="301D32E3"/>
    <w:rsid w:val="30314FE0"/>
    <w:rsid w:val="305F1B4D"/>
    <w:rsid w:val="307F3F9D"/>
    <w:rsid w:val="308A20DF"/>
    <w:rsid w:val="30B54058"/>
    <w:rsid w:val="30DE562E"/>
    <w:rsid w:val="30DF7CE7"/>
    <w:rsid w:val="310D77FB"/>
    <w:rsid w:val="312D39F9"/>
    <w:rsid w:val="314239BA"/>
    <w:rsid w:val="316E2211"/>
    <w:rsid w:val="31745184"/>
    <w:rsid w:val="3184488C"/>
    <w:rsid w:val="318D1AB1"/>
    <w:rsid w:val="318F0210"/>
    <w:rsid w:val="31BC4B14"/>
    <w:rsid w:val="31C57D7D"/>
    <w:rsid w:val="31CA1248"/>
    <w:rsid w:val="31E22A36"/>
    <w:rsid w:val="32045515"/>
    <w:rsid w:val="32226FF0"/>
    <w:rsid w:val="322C3CB1"/>
    <w:rsid w:val="324A2760"/>
    <w:rsid w:val="325A2A82"/>
    <w:rsid w:val="327D450D"/>
    <w:rsid w:val="327D62BB"/>
    <w:rsid w:val="32847649"/>
    <w:rsid w:val="32D54349"/>
    <w:rsid w:val="32EE260F"/>
    <w:rsid w:val="33093FF2"/>
    <w:rsid w:val="330C395A"/>
    <w:rsid w:val="330D6EC0"/>
    <w:rsid w:val="3330157F"/>
    <w:rsid w:val="333515BA"/>
    <w:rsid w:val="33466FF4"/>
    <w:rsid w:val="3376291B"/>
    <w:rsid w:val="337B4EF0"/>
    <w:rsid w:val="339A080C"/>
    <w:rsid w:val="339B54BF"/>
    <w:rsid w:val="339D204D"/>
    <w:rsid w:val="33AA1331"/>
    <w:rsid w:val="33B71CA0"/>
    <w:rsid w:val="33CD6E6A"/>
    <w:rsid w:val="33D463AE"/>
    <w:rsid w:val="33D86F81"/>
    <w:rsid w:val="34003796"/>
    <w:rsid w:val="343F0906"/>
    <w:rsid w:val="34535F8E"/>
    <w:rsid w:val="34722249"/>
    <w:rsid w:val="34A915E9"/>
    <w:rsid w:val="34AA710F"/>
    <w:rsid w:val="34D67F04"/>
    <w:rsid w:val="350B5E00"/>
    <w:rsid w:val="352E1AEE"/>
    <w:rsid w:val="35365881"/>
    <w:rsid w:val="35366A4B"/>
    <w:rsid w:val="353C06AF"/>
    <w:rsid w:val="355546CD"/>
    <w:rsid w:val="35575444"/>
    <w:rsid w:val="356419B4"/>
    <w:rsid w:val="3581357E"/>
    <w:rsid w:val="358D2CB9"/>
    <w:rsid w:val="358F63E6"/>
    <w:rsid w:val="35A65B28"/>
    <w:rsid w:val="35C506A4"/>
    <w:rsid w:val="35D52B53"/>
    <w:rsid w:val="35DC09ED"/>
    <w:rsid w:val="360A4309"/>
    <w:rsid w:val="36106E70"/>
    <w:rsid w:val="3619454C"/>
    <w:rsid w:val="365C6EEF"/>
    <w:rsid w:val="36940077"/>
    <w:rsid w:val="369817C2"/>
    <w:rsid w:val="36A050BB"/>
    <w:rsid w:val="36AB7FC1"/>
    <w:rsid w:val="36B97ADD"/>
    <w:rsid w:val="36BB3856"/>
    <w:rsid w:val="36CA26CF"/>
    <w:rsid w:val="36D6068F"/>
    <w:rsid w:val="36D6243D"/>
    <w:rsid w:val="36F237D1"/>
    <w:rsid w:val="36FD3E6E"/>
    <w:rsid w:val="371116C7"/>
    <w:rsid w:val="371511B8"/>
    <w:rsid w:val="3718309A"/>
    <w:rsid w:val="371A4A20"/>
    <w:rsid w:val="37274FCF"/>
    <w:rsid w:val="37357164"/>
    <w:rsid w:val="37411FAD"/>
    <w:rsid w:val="374E6478"/>
    <w:rsid w:val="37751C56"/>
    <w:rsid w:val="377C523C"/>
    <w:rsid w:val="37893954"/>
    <w:rsid w:val="378C0D4E"/>
    <w:rsid w:val="37953CB4"/>
    <w:rsid w:val="37B207B5"/>
    <w:rsid w:val="37C23BFB"/>
    <w:rsid w:val="37C64260"/>
    <w:rsid w:val="37DE612D"/>
    <w:rsid w:val="37EE37B7"/>
    <w:rsid w:val="380B25BB"/>
    <w:rsid w:val="38137AD8"/>
    <w:rsid w:val="3814603E"/>
    <w:rsid w:val="38183D07"/>
    <w:rsid w:val="38284F1B"/>
    <w:rsid w:val="382947EF"/>
    <w:rsid w:val="384C640F"/>
    <w:rsid w:val="38561A88"/>
    <w:rsid w:val="38561B88"/>
    <w:rsid w:val="385B52F0"/>
    <w:rsid w:val="38B844F1"/>
    <w:rsid w:val="38BE762D"/>
    <w:rsid w:val="38C06F01"/>
    <w:rsid w:val="38CC3481"/>
    <w:rsid w:val="38EC7CF6"/>
    <w:rsid w:val="38F9066F"/>
    <w:rsid w:val="394B230B"/>
    <w:rsid w:val="39553AED"/>
    <w:rsid w:val="3963744A"/>
    <w:rsid w:val="39817AC8"/>
    <w:rsid w:val="398377B4"/>
    <w:rsid w:val="39851A9B"/>
    <w:rsid w:val="39934616"/>
    <w:rsid w:val="39B747A8"/>
    <w:rsid w:val="39BD13B3"/>
    <w:rsid w:val="39BD7C95"/>
    <w:rsid w:val="39E76710"/>
    <w:rsid w:val="39EB79E1"/>
    <w:rsid w:val="39EF3F42"/>
    <w:rsid w:val="3A0D43A4"/>
    <w:rsid w:val="3A1514CF"/>
    <w:rsid w:val="3A305611"/>
    <w:rsid w:val="3A3D2D41"/>
    <w:rsid w:val="3A5E52DE"/>
    <w:rsid w:val="3A695377"/>
    <w:rsid w:val="3A766411"/>
    <w:rsid w:val="3A7D0F55"/>
    <w:rsid w:val="3A916042"/>
    <w:rsid w:val="3AA20D0A"/>
    <w:rsid w:val="3AA661B2"/>
    <w:rsid w:val="3AB111F7"/>
    <w:rsid w:val="3ADC3D9A"/>
    <w:rsid w:val="3AF5659F"/>
    <w:rsid w:val="3B0965D5"/>
    <w:rsid w:val="3B0A0908"/>
    <w:rsid w:val="3B2C5DFC"/>
    <w:rsid w:val="3B331C0C"/>
    <w:rsid w:val="3B4200A1"/>
    <w:rsid w:val="3B4356EC"/>
    <w:rsid w:val="3B4D5566"/>
    <w:rsid w:val="3B5B5607"/>
    <w:rsid w:val="3B6472F4"/>
    <w:rsid w:val="3B6F3EB1"/>
    <w:rsid w:val="3B762441"/>
    <w:rsid w:val="3B883250"/>
    <w:rsid w:val="3B9A64E4"/>
    <w:rsid w:val="3BA86871"/>
    <w:rsid w:val="3BC27434"/>
    <w:rsid w:val="3BD123EF"/>
    <w:rsid w:val="3BFB3CEC"/>
    <w:rsid w:val="3C0B6222"/>
    <w:rsid w:val="3C0C4D9E"/>
    <w:rsid w:val="3C1B6501"/>
    <w:rsid w:val="3C3E6CAB"/>
    <w:rsid w:val="3C4165AB"/>
    <w:rsid w:val="3C6A3835"/>
    <w:rsid w:val="3C8A46CC"/>
    <w:rsid w:val="3C9708C1"/>
    <w:rsid w:val="3CC830E3"/>
    <w:rsid w:val="3CE600D4"/>
    <w:rsid w:val="3D2128F6"/>
    <w:rsid w:val="3D3305EA"/>
    <w:rsid w:val="3D5A6244"/>
    <w:rsid w:val="3D5D5666"/>
    <w:rsid w:val="3D6469F5"/>
    <w:rsid w:val="3DAB374E"/>
    <w:rsid w:val="3DC079A3"/>
    <w:rsid w:val="3DE52E43"/>
    <w:rsid w:val="3E014951"/>
    <w:rsid w:val="3E096628"/>
    <w:rsid w:val="3E0E257B"/>
    <w:rsid w:val="3E5C591E"/>
    <w:rsid w:val="3E612F34"/>
    <w:rsid w:val="3E7569E0"/>
    <w:rsid w:val="3E834C59"/>
    <w:rsid w:val="3E8B7FB1"/>
    <w:rsid w:val="3EA80B63"/>
    <w:rsid w:val="3ED25BE0"/>
    <w:rsid w:val="3EF01DFA"/>
    <w:rsid w:val="3EF73899"/>
    <w:rsid w:val="3EFB6EE5"/>
    <w:rsid w:val="3F011FB6"/>
    <w:rsid w:val="3F077CDD"/>
    <w:rsid w:val="3F36616F"/>
    <w:rsid w:val="3F3917BB"/>
    <w:rsid w:val="3F3F0C0D"/>
    <w:rsid w:val="3F484CFB"/>
    <w:rsid w:val="3F5C6695"/>
    <w:rsid w:val="3F697D56"/>
    <w:rsid w:val="3F746C97"/>
    <w:rsid w:val="3F781209"/>
    <w:rsid w:val="3F807E73"/>
    <w:rsid w:val="3F877AC9"/>
    <w:rsid w:val="3FAD70AA"/>
    <w:rsid w:val="3FC714BD"/>
    <w:rsid w:val="3FCA4527"/>
    <w:rsid w:val="3FE741FA"/>
    <w:rsid w:val="3FEB51AC"/>
    <w:rsid w:val="3FF4616B"/>
    <w:rsid w:val="4013200C"/>
    <w:rsid w:val="40216A9E"/>
    <w:rsid w:val="40556BCC"/>
    <w:rsid w:val="40632F94"/>
    <w:rsid w:val="40704A1D"/>
    <w:rsid w:val="40776F3C"/>
    <w:rsid w:val="407A208B"/>
    <w:rsid w:val="40830988"/>
    <w:rsid w:val="408847A8"/>
    <w:rsid w:val="408D603A"/>
    <w:rsid w:val="409A0980"/>
    <w:rsid w:val="40B24DB9"/>
    <w:rsid w:val="40B64407"/>
    <w:rsid w:val="40D55396"/>
    <w:rsid w:val="40D82A90"/>
    <w:rsid w:val="40DE308D"/>
    <w:rsid w:val="40F462E2"/>
    <w:rsid w:val="410C362B"/>
    <w:rsid w:val="413D6B91"/>
    <w:rsid w:val="41483F38"/>
    <w:rsid w:val="416436EA"/>
    <w:rsid w:val="41735459"/>
    <w:rsid w:val="41774B95"/>
    <w:rsid w:val="41807B75"/>
    <w:rsid w:val="419E7FFC"/>
    <w:rsid w:val="41BB6E00"/>
    <w:rsid w:val="41D35EF7"/>
    <w:rsid w:val="41DB4DAC"/>
    <w:rsid w:val="4202058A"/>
    <w:rsid w:val="42172706"/>
    <w:rsid w:val="421F2EEA"/>
    <w:rsid w:val="42366F83"/>
    <w:rsid w:val="423948E8"/>
    <w:rsid w:val="424C7E36"/>
    <w:rsid w:val="424E557E"/>
    <w:rsid w:val="4262727B"/>
    <w:rsid w:val="42695225"/>
    <w:rsid w:val="4269685C"/>
    <w:rsid w:val="42721F4D"/>
    <w:rsid w:val="42725710"/>
    <w:rsid w:val="429F5DD9"/>
    <w:rsid w:val="42BA550C"/>
    <w:rsid w:val="42BE6BA7"/>
    <w:rsid w:val="42BE7250"/>
    <w:rsid w:val="42D261AF"/>
    <w:rsid w:val="42EA13A8"/>
    <w:rsid w:val="42F36125"/>
    <w:rsid w:val="42F44DB5"/>
    <w:rsid w:val="433359A4"/>
    <w:rsid w:val="43346E69"/>
    <w:rsid w:val="43417C92"/>
    <w:rsid w:val="436B215F"/>
    <w:rsid w:val="436B7C53"/>
    <w:rsid w:val="43741014"/>
    <w:rsid w:val="439876ED"/>
    <w:rsid w:val="439E2535"/>
    <w:rsid w:val="43AE09CA"/>
    <w:rsid w:val="43B160C9"/>
    <w:rsid w:val="43BA0A15"/>
    <w:rsid w:val="43C35BF6"/>
    <w:rsid w:val="43C917E9"/>
    <w:rsid w:val="43DE3EEE"/>
    <w:rsid w:val="43E41C5D"/>
    <w:rsid w:val="43EF0FE2"/>
    <w:rsid w:val="43FD5E7F"/>
    <w:rsid w:val="44004F9E"/>
    <w:rsid w:val="443A225E"/>
    <w:rsid w:val="443C4228"/>
    <w:rsid w:val="443D426D"/>
    <w:rsid w:val="444430DC"/>
    <w:rsid w:val="44613C8E"/>
    <w:rsid w:val="44686700"/>
    <w:rsid w:val="44782D86"/>
    <w:rsid w:val="44CF638C"/>
    <w:rsid w:val="44E346A3"/>
    <w:rsid w:val="44F00B6E"/>
    <w:rsid w:val="45250832"/>
    <w:rsid w:val="452B7DF8"/>
    <w:rsid w:val="45891C56"/>
    <w:rsid w:val="45D97854"/>
    <w:rsid w:val="45E8353E"/>
    <w:rsid w:val="46141AA7"/>
    <w:rsid w:val="46416AD6"/>
    <w:rsid w:val="464B69A4"/>
    <w:rsid w:val="464C0026"/>
    <w:rsid w:val="465F41FD"/>
    <w:rsid w:val="4674757D"/>
    <w:rsid w:val="46763A5E"/>
    <w:rsid w:val="46B502C1"/>
    <w:rsid w:val="46C422B2"/>
    <w:rsid w:val="46E74042"/>
    <w:rsid w:val="46F25071"/>
    <w:rsid w:val="471A6376"/>
    <w:rsid w:val="47242D51"/>
    <w:rsid w:val="47291754"/>
    <w:rsid w:val="47304D8B"/>
    <w:rsid w:val="473236C0"/>
    <w:rsid w:val="47841A42"/>
    <w:rsid w:val="479D3648"/>
    <w:rsid w:val="47A46F2C"/>
    <w:rsid w:val="47CB7671"/>
    <w:rsid w:val="47CC15CE"/>
    <w:rsid w:val="47FB3ECB"/>
    <w:rsid w:val="4822651A"/>
    <w:rsid w:val="483B0352"/>
    <w:rsid w:val="48667975"/>
    <w:rsid w:val="486C49B0"/>
    <w:rsid w:val="486F26F2"/>
    <w:rsid w:val="48710218"/>
    <w:rsid w:val="488D612A"/>
    <w:rsid w:val="48BA2C13"/>
    <w:rsid w:val="48D91D1D"/>
    <w:rsid w:val="48FC4FAF"/>
    <w:rsid w:val="49090450"/>
    <w:rsid w:val="49144E77"/>
    <w:rsid w:val="492E5CB9"/>
    <w:rsid w:val="49680B13"/>
    <w:rsid w:val="49883A6B"/>
    <w:rsid w:val="499222AC"/>
    <w:rsid w:val="49AB59AC"/>
    <w:rsid w:val="49CC2EDA"/>
    <w:rsid w:val="4A143654"/>
    <w:rsid w:val="4A2E69CA"/>
    <w:rsid w:val="4A2F3EE7"/>
    <w:rsid w:val="4A327866"/>
    <w:rsid w:val="4A371147"/>
    <w:rsid w:val="4A6873F9"/>
    <w:rsid w:val="4A745D9D"/>
    <w:rsid w:val="4A7A2BED"/>
    <w:rsid w:val="4A841EEE"/>
    <w:rsid w:val="4AC62A9D"/>
    <w:rsid w:val="4AC8374B"/>
    <w:rsid w:val="4AD34DF2"/>
    <w:rsid w:val="4ADA311C"/>
    <w:rsid w:val="4AE96277"/>
    <w:rsid w:val="4AF71D17"/>
    <w:rsid w:val="4B0B4954"/>
    <w:rsid w:val="4B1B446B"/>
    <w:rsid w:val="4B2B2900"/>
    <w:rsid w:val="4B346D20"/>
    <w:rsid w:val="4B447E66"/>
    <w:rsid w:val="4B49722A"/>
    <w:rsid w:val="4B5B50BB"/>
    <w:rsid w:val="4B5F67EB"/>
    <w:rsid w:val="4B6422B6"/>
    <w:rsid w:val="4B7778F3"/>
    <w:rsid w:val="4B970143"/>
    <w:rsid w:val="4BA34BD7"/>
    <w:rsid w:val="4BB62FE7"/>
    <w:rsid w:val="4BBE0B8F"/>
    <w:rsid w:val="4BDE7972"/>
    <w:rsid w:val="4BEA27BB"/>
    <w:rsid w:val="4BEB1526"/>
    <w:rsid w:val="4BEB7E55"/>
    <w:rsid w:val="4C2757BD"/>
    <w:rsid w:val="4C2C7C0F"/>
    <w:rsid w:val="4C3D1913"/>
    <w:rsid w:val="4C443961"/>
    <w:rsid w:val="4C792459"/>
    <w:rsid w:val="4C7C718B"/>
    <w:rsid w:val="4C7E73A7"/>
    <w:rsid w:val="4CA623B3"/>
    <w:rsid w:val="4CB6269D"/>
    <w:rsid w:val="4CC84BA2"/>
    <w:rsid w:val="4CC923FD"/>
    <w:rsid w:val="4CF072D7"/>
    <w:rsid w:val="4D0553D3"/>
    <w:rsid w:val="4D2B228A"/>
    <w:rsid w:val="4D403F08"/>
    <w:rsid w:val="4D445EFB"/>
    <w:rsid w:val="4D461C92"/>
    <w:rsid w:val="4D5301FB"/>
    <w:rsid w:val="4D55133A"/>
    <w:rsid w:val="4D6D5069"/>
    <w:rsid w:val="4D950505"/>
    <w:rsid w:val="4D9F3A3B"/>
    <w:rsid w:val="4DAA4702"/>
    <w:rsid w:val="4DC219A6"/>
    <w:rsid w:val="4DDC79D2"/>
    <w:rsid w:val="4DF421EA"/>
    <w:rsid w:val="4DF80A94"/>
    <w:rsid w:val="4E02745E"/>
    <w:rsid w:val="4E327FDB"/>
    <w:rsid w:val="4E3304EA"/>
    <w:rsid w:val="4E3D1CED"/>
    <w:rsid w:val="4E43519A"/>
    <w:rsid w:val="4E51609D"/>
    <w:rsid w:val="4E5171B3"/>
    <w:rsid w:val="4E577EB0"/>
    <w:rsid w:val="4E5854D8"/>
    <w:rsid w:val="4E5B34FC"/>
    <w:rsid w:val="4E604FB7"/>
    <w:rsid w:val="4E764B3D"/>
    <w:rsid w:val="4E872543"/>
    <w:rsid w:val="4EAE171F"/>
    <w:rsid w:val="4ECA14D7"/>
    <w:rsid w:val="4ECF7A46"/>
    <w:rsid w:val="4ED212E5"/>
    <w:rsid w:val="4ED432AF"/>
    <w:rsid w:val="4ED51FCD"/>
    <w:rsid w:val="4EFD0A57"/>
    <w:rsid w:val="4F06696A"/>
    <w:rsid w:val="4F445960"/>
    <w:rsid w:val="4F4E7E9B"/>
    <w:rsid w:val="4F610EDB"/>
    <w:rsid w:val="4F8151E4"/>
    <w:rsid w:val="4FE97B59"/>
    <w:rsid w:val="4FEA6F0B"/>
    <w:rsid w:val="50160AAE"/>
    <w:rsid w:val="50182EB1"/>
    <w:rsid w:val="502E69EF"/>
    <w:rsid w:val="50463D38"/>
    <w:rsid w:val="50772144"/>
    <w:rsid w:val="50820882"/>
    <w:rsid w:val="5095081C"/>
    <w:rsid w:val="50A64B69"/>
    <w:rsid w:val="50A8433A"/>
    <w:rsid w:val="50B96C00"/>
    <w:rsid w:val="50DD469C"/>
    <w:rsid w:val="50DE6609"/>
    <w:rsid w:val="50E1178F"/>
    <w:rsid w:val="50ED4FD9"/>
    <w:rsid w:val="50FE4613"/>
    <w:rsid w:val="51137546"/>
    <w:rsid w:val="512D394D"/>
    <w:rsid w:val="51937451"/>
    <w:rsid w:val="519F5DF6"/>
    <w:rsid w:val="51A13422"/>
    <w:rsid w:val="51B66C4D"/>
    <w:rsid w:val="51D35A9F"/>
    <w:rsid w:val="51DB6702"/>
    <w:rsid w:val="51E113BD"/>
    <w:rsid w:val="51E27A91"/>
    <w:rsid w:val="51EA3BB2"/>
    <w:rsid w:val="522C1228"/>
    <w:rsid w:val="522C36B8"/>
    <w:rsid w:val="52310336"/>
    <w:rsid w:val="523F4EE3"/>
    <w:rsid w:val="528F7C18"/>
    <w:rsid w:val="529945F3"/>
    <w:rsid w:val="529C2335"/>
    <w:rsid w:val="52B23907"/>
    <w:rsid w:val="52BD04CE"/>
    <w:rsid w:val="52E02B54"/>
    <w:rsid w:val="52E635B0"/>
    <w:rsid w:val="52F13AA8"/>
    <w:rsid w:val="53112043"/>
    <w:rsid w:val="53185E60"/>
    <w:rsid w:val="534356DB"/>
    <w:rsid w:val="5369461E"/>
    <w:rsid w:val="537D5CC3"/>
    <w:rsid w:val="538C23AA"/>
    <w:rsid w:val="539D0113"/>
    <w:rsid w:val="539F032F"/>
    <w:rsid w:val="53B92A73"/>
    <w:rsid w:val="53BB67EB"/>
    <w:rsid w:val="53C25DCC"/>
    <w:rsid w:val="53E126F6"/>
    <w:rsid w:val="54300F87"/>
    <w:rsid w:val="543C5B7E"/>
    <w:rsid w:val="54703A7A"/>
    <w:rsid w:val="548E3F00"/>
    <w:rsid w:val="54A84FC1"/>
    <w:rsid w:val="54C16FFB"/>
    <w:rsid w:val="54C17E31"/>
    <w:rsid w:val="54D16739"/>
    <w:rsid w:val="54D933CD"/>
    <w:rsid w:val="54E87AB4"/>
    <w:rsid w:val="551C150B"/>
    <w:rsid w:val="55244616"/>
    <w:rsid w:val="55445B7F"/>
    <w:rsid w:val="5559450E"/>
    <w:rsid w:val="556C2493"/>
    <w:rsid w:val="55856CDB"/>
    <w:rsid w:val="558C043F"/>
    <w:rsid w:val="55B80A01"/>
    <w:rsid w:val="55B83D89"/>
    <w:rsid w:val="55CC4337"/>
    <w:rsid w:val="55D25CF5"/>
    <w:rsid w:val="55E464CD"/>
    <w:rsid w:val="55EB1088"/>
    <w:rsid w:val="5613290E"/>
    <w:rsid w:val="561F30DA"/>
    <w:rsid w:val="561F610A"/>
    <w:rsid w:val="565B7EBC"/>
    <w:rsid w:val="566E7EBE"/>
    <w:rsid w:val="568E6439"/>
    <w:rsid w:val="56B92AB4"/>
    <w:rsid w:val="571E77BD"/>
    <w:rsid w:val="572D2C22"/>
    <w:rsid w:val="57316165"/>
    <w:rsid w:val="573E7E5F"/>
    <w:rsid w:val="57413847"/>
    <w:rsid w:val="57461E23"/>
    <w:rsid w:val="57493490"/>
    <w:rsid w:val="57566F57"/>
    <w:rsid w:val="575A3DD1"/>
    <w:rsid w:val="57727B09"/>
    <w:rsid w:val="57995095"/>
    <w:rsid w:val="57A05CB7"/>
    <w:rsid w:val="57B343A9"/>
    <w:rsid w:val="57CD501D"/>
    <w:rsid w:val="57D305A7"/>
    <w:rsid w:val="57D63BF4"/>
    <w:rsid w:val="57D85BBE"/>
    <w:rsid w:val="57E36310"/>
    <w:rsid w:val="57E75E01"/>
    <w:rsid w:val="57EE0AD3"/>
    <w:rsid w:val="57FA5FD2"/>
    <w:rsid w:val="580A5802"/>
    <w:rsid w:val="580B5F93"/>
    <w:rsid w:val="580F4728"/>
    <w:rsid w:val="58137125"/>
    <w:rsid w:val="581A61D6"/>
    <w:rsid w:val="58403763"/>
    <w:rsid w:val="585329E1"/>
    <w:rsid w:val="58584F50"/>
    <w:rsid w:val="585B234B"/>
    <w:rsid w:val="5862192B"/>
    <w:rsid w:val="58673227"/>
    <w:rsid w:val="586C6306"/>
    <w:rsid w:val="58AD704A"/>
    <w:rsid w:val="58C3562A"/>
    <w:rsid w:val="58CA1BF9"/>
    <w:rsid w:val="58D178D4"/>
    <w:rsid w:val="58E67606"/>
    <w:rsid w:val="58E7648B"/>
    <w:rsid w:val="58E77BC3"/>
    <w:rsid w:val="58EF7663"/>
    <w:rsid w:val="59012EF2"/>
    <w:rsid w:val="590649AC"/>
    <w:rsid w:val="59092357"/>
    <w:rsid w:val="591E1CF6"/>
    <w:rsid w:val="592117E6"/>
    <w:rsid w:val="59253D2C"/>
    <w:rsid w:val="59350ABE"/>
    <w:rsid w:val="59383FF1"/>
    <w:rsid w:val="59577BD8"/>
    <w:rsid w:val="59653481"/>
    <w:rsid w:val="597F1138"/>
    <w:rsid w:val="59A65848"/>
    <w:rsid w:val="59BA0405"/>
    <w:rsid w:val="59BB4688"/>
    <w:rsid w:val="59EA1BD8"/>
    <w:rsid w:val="59FA7861"/>
    <w:rsid w:val="5A1604FF"/>
    <w:rsid w:val="5A166E71"/>
    <w:rsid w:val="5A607778"/>
    <w:rsid w:val="5A7616BE"/>
    <w:rsid w:val="5A783688"/>
    <w:rsid w:val="5A9A35FE"/>
    <w:rsid w:val="5ABD001D"/>
    <w:rsid w:val="5ACD132B"/>
    <w:rsid w:val="5AD81838"/>
    <w:rsid w:val="5AFC41D6"/>
    <w:rsid w:val="5AFF0700"/>
    <w:rsid w:val="5B116A47"/>
    <w:rsid w:val="5B172EA1"/>
    <w:rsid w:val="5B1A1E2F"/>
    <w:rsid w:val="5B1E23DA"/>
    <w:rsid w:val="5B321A89"/>
    <w:rsid w:val="5B48528C"/>
    <w:rsid w:val="5B5D1AF7"/>
    <w:rsid w:val="5B6A7475"/>
    <w:rsid w:val="5BA90C6C"/>
    <w:rsid w:val="5BB4249E"/>
    <w:rsid w:val="5BCB77E7"/>
    <w:rsid w:val="5BCE7A03"/>
    <w:rsid w:val="5BD963A8"/>
    <w:rsid w:val="5C0D7E00"/>
    <w:rsid w:val="5C294C3A"/>
    <w:rsid w:val="5C29540E"/>
    <w:rsid w:val="5C7550A1"/>
    <w:rsid w:val="5C7D31D8"/>
    <w:rsid w:val="5CA6628A"/>
    <w:rsid w:val="5CCE758F"/>
    <w:rsid w:val="5CE13766"/>
    <w:rsid w:val="5CE45005"/>
    <w:rsid w:val="5CE70651"/>
    <w:rsid w:val="5D1D22C5"/>
    <w:rsid w:val="5D2E44D2"/>
    <w:rsid w:val="5D722610"/>
    <w:rsid w:val="5D8F7131"/>
    <w:rsid w:val="5D9A56C3"/>
    <w:rsid w:val="5D9F2CDA"/>
    <w:rsid w:val="5DA36C6E"/>
    <w:rsid w:val="5DA56542"/>
    <w:rsid w:val="5DB669A1"/>
    <w:rsid w:val="5DDD2180"/>
    <w:rsid w:val="5DE51034"/>
    <w:rsid w:val="5DF95989"/>
    <w:rsid w:val="5E044958"/>
    <w:rsid w:val="5E4928F7"/>
    <w:rsid w:val="5E5C4733"/>
    <w:rsid w:val="5E5E4943"/>
    <w:rsid w:val="5E6318C3"/>
    <w:rsid w:val="5E8720EC"/>
    <w:rsid w:val="5E8E5228"/>
    <w:rsid w:val="5EA70098"/>
    <w:rsid w:val="5EA762EA"/>
    <w:rsid w:val="5EAA4966"/>
    <w:rsid w:val="5EC56770"/>
    <w:rsid w:val="5EEF313F"/>
    <w:rsid w:val="5F013C4C"/>
    <w:rsid w:val="5F1576F7"/>
    <w:rsid w:val="5F242515"/>
    <w:rsid w:val="5F2D2C93"/>
    <w:rsid w:val="5F3B02CD"/>
    <w:rsid w:val="5F4B136B"/>
    <w:rsid w:val="5F4D6E91"/>
    <w:rsid w:val="5F61293D"/>
    <w:rsid w:val="5F6366B5"/>
    <w:rsid w:val="5F6E1C6A"/>
    <w:rsid w:val="5F7C1524"/>
    <w:rsid w:val="5F84662B"/>
    <w:rsid w:val="5F8B1768"/>
    <w:rsid w:val="5F9C1774"/>
    <w:rsid w:val="5FAA48C9"/>
    <w:rsid w:val="5FC66C44"/>
    <w:rsid w:val="5FCE4878"/>
    <w:rsid w:val="5FD96977"/>
    <w:rsid w:val="5FE349C2"/>
    <w:rsid w:val="5FEA0B84"/>
    <w:rsid w:val="5FF72E14"/>
    <w:rsid w:val="5FF84A4E"/>
    <w:rsid w:val="5FFC0181"/>
    <w:rsid w:val="6009018A"/>
    <w:rsid w:val="600C0AFA"/>
    <w:rsid w:val="60172FFB"/>
    <w:rsid w:val="602A0F80"/>
    <w:rsid w:val="602D0A71"/>
    <w:rsid w:val="6032416C"/>
    <w:rsid w:val="60344B00"/>
    <w:rsid w:val="603B13E0"/>
    <w:rsid w:val="604E731C"/>
    <w:rsid w:val="605E569A"/>
    <w:rsid w:val="60723D53"/>
    <w:rsid w:val="60812D22"/>
    <w:rsid w:val="609C334B"/>
    <w:rsid w:val="60A056E7"/>
    <w:rsid w:val="60C05441"/>
    <w:rsid w:val="60CE0A09"/>
    <w:rsid w:val="60E73DD7"/>
    <w:rsid w:val="60EC092C"/>
    <w:rsid w:val="611214CA"/>
    <w:rsid w:val="611C70C4"/>
    <w:rsid w:val="61202D2E"/>
    <w:rsid w:val="613144C8"/>
    <w:rsid w:val="614A2AB0"/>
    <w:rsid w:val="614B38A4"/>
    <w:rsid w:val="61533A94"/>
    <w:rsid w:val="618F2664"/>
    <w:rsid w:val="619743F4"/>
    <w:rsid w:val="61A777C7"/>
    <w:rsid w:val="61AB7E9F"/>
    <w:rsid w:val="61AD1E69"/>
    <w:rsid w:val="61CB26B1"/>
    <w:rsid w:val="61E909C7"/>
    <w:rsid w:val="61FC4B9F"/>
    <w:rsid w:val="62033520"/>
    <w:rsid w:val="620D0B5A"/>
    <w:rsid w:val="62155CCB"/>
    <w:rsid w:val="62404A8B"/>
    <w:rsid w:val="625247BE"/>
    <w:rsid w:val="62583C23"/>
    <w:rsid w:val="625E7DFD"/>
    <w:rsid w:val="6283706E"/>
    <w:rsid w:val="629A641D"/>
    <w:rsid w:val="629E7A04"/>
    <w:rsid w:val="62B71437"/>
    <w:rsid w:val="62E61243"/>
    <w:rsid w:val="62EF200D"/>
    <w:rsid w:val="62FA152C"/>
    <w:rsid w:val="63004A99"/>
    <w:rsid w:val="63023AED"/>
    <w:rsid w:val="632048BD"/>
    <w:rsid w:val="632A14E1"/>
    <w:rsid w:val="632D1C9C"/>
    <w:rsid w:val="633A597E"/>
    <w:rsid w:val="63551DC3"/>
    <w:rsid w:val="637123C4"/>
    <w:rsid w:val="63786700"/>
    <w:rsid w:val="637A21EF"/>
    <w:rsid w:val="637A221F"/>
    <w:rsid w:val="637F357C"/>
    <w:rsid w:val="638B1B7B"/>
    <w:rsid w:val="639F3A33"/>
    <w:rsid w:val="63A43DC5"/>
    <w:rsid w:val="63E7207B"/>
    <w:rsid w:val="64197BDC"/>
    <w:rsid w:val="641F6922"/>
    <w:rsid w:val="643F3DE3"/>
    <w:rsid w:val="644C4DBF"/>
    <w:rsid w:val="6468651B"/>
    <w:rsid w:val="64691F74"/>
    <w:rsid w:val="646F46AB"/>
    <w:rsid w:val="648C045C"/>
    <w:rsid w:val="64A24811"/>
    <w:rsid w:val="64AA08E2"/>
    <w:rsid w:val="64AA6B34"/>
    <w:rsid w:val="64B56A61"/>
    <w:rsid w:val="64D140C0"/>
    <w:rsid w:val="64D37E39"/>
    <w:rsid w:val="64D46DD5"/>
    <w:rsid w:val="64DC257D"/>
    <w:rsid w:val="64E253F6"/>
    <w:rsid w:val="64EE4C72"/>
    <w:rsid w:val="6522491C"/>
    <w:rsid w:val="65271F32"/>
    <w:rsid w:val="6531690D"/>
    <w:rsid w:val="653F54CE"/>
    <w:rsid w:val="65757142"/>
    <w:rsid w:val="658C41A8"/>
    <w:rsid w:val="6598165F"/>
    <w:rsid w:val="65A92947"/>
    <w:rsid w:val="65B430D2"/>
    <w:rsid w:val="65C21C5B"/>
    <w:rsid w:val="65C23A09"/>
    <w:rsid w:val="65C9574D"/>
    <w:rsid w:val="65D25024"/>
    <w:rsid w:val="65EC0A86"/>
    <w:rsid w:val="660914B9"/>
    <w:rsid w:val="661701F9"/>
    <w:rsid w:val="662B03CC"/>
    <w:rsid w:val="662F72F1"/>
    <w:rsid w:val="664B39FF"/>
    <w:rsid w:val="668230CA"/>
    <w:rsid w:val="66886796"/>
    <w:rsid w:val="668B029F"/>
    <w:rsid w:val="669A69A7"/>
    <w:rsid w:val="66A852F5"/>
    <w:rsid w:val="66B04A92"/>
    <w:rsid w:val="66B141AA"/>
    <w:rsid w:val="66C11F13"/>
    <w:rsid w:val="66E015DC"/>
    <w:rsid w:val="66E5629C"/>
    <w:rsid w:val="66F67E0E"/>
    <w:rsid w:val="671C5B08"/>
    <w:rsid w:val="6732696D"/>
    <w:rsid w:val="67386679"/>
    <w:rsid w:val="67424E02"/>
    <w:rsid w:val="67474EB3"/>
    <w:rsid w:val="675C5073"/>
    <w:rsid w:val="67656D42"/>
    <w:rsid w:val="677A27ED"/>
    <w:rsid w:val="67AB0BF9"/>
    <w:rsid w:val="67BD092C"/>
    <w:rsid w:val="67CE0D8B"/>
    <w:rsid w:val="67D07117"/>
    <w:rsid w:val="67F26828"/>
    <w:rsid w:val="67F30F00"/>
    <w:rsid w:val="682D1897"/>
    <w:rsid w:val="68556DB7"/>
    <w:rsid w:val="68727968"/>
    <w:rsid w:val="688269BE"/>
    <w:rsid w:val="688D6550"/>
    <w:rsid w:val="688F4350"/>
    <w:rsid w:val="68AA0EB0"/>
    <w:rsid w:val="68B477F1"/>
    <w:rsid w:val="68E568FF"/>
    <w:rsid w:val="68F16A42"/>
    <w:rsid w:val="68F7364E"/>
    <w:rsid w:val="68F760C0"/>
    <w:rsid w:val="695E7EED"/>
    <w:rsid w:val="69653616"/>
    <w:rsid w:val="696C085C"/>
    <w:rsid w:val="696C1C50"/>
    <w:rsid w:val="69782D5D"/>
    <w:rsid w:val="69801C11"/>
    <w:rsid w:val="699833FF"/>
    <w:rsid w:val="699E56DF"/>
    <w:rsid w:val="69A41DA4"/>
    <w:rsid w:val="69BA3375"/>
    <w:rsid w:val="69BB278D"/>
    <w:rsid w:val="69C02845"/>
    <w:rsid w:val="69D02B99"/>
    <w:rsid w:val="69DD6469"/>
    <w:rsid w:val="6A1D56B2"/>
    <w:rsid w:val="6A3B3D8A"/>
    <w:rsid w:val="6A4D2583"/>
    <w:rsid w:val="6A935974"/>
    <w:rsid w:val="6AC50223"/>
    <w:rsid w:val="6AEE700A"/>
    <w:rsid w:val="6AF231C5"/>
    <w:rsid w:val="6AF418AC"/>
    <w:rsid w:val="6B005971"/>
    <w:rsid w:val="6B014FD4"/>
    <w:rsid w:val="6B0318A7"/>
    <w:rsid w:val="6B301B2C"/>
    <w:rsid w:val="6B3E7FD6"/>
    <w:rsid w:val="6B43739A"/>
    <w:rsid w:val="6B460C38"/>
    <w:rsid w:val="6B5259F4"/>
    <w:rsid w:val="6B572E46"/>
    <w:rsid w:val="6B5869C7"/>
    <w:rsid w:val="6B72005C"/>
    <w:rsid w:val="6B7E03D2"/>
    <w:rsid w:val="6B9372CA"/>
    <w:rsid w:val="6BC70B2F"/>
    <w:rsid w:val="6BDE47B7"/>
    <w:rsid w:val="6C040B29"/>
    <w:rsid w:val="6C3905D2"/>
    <w:rsid w:val="6C3E3E9C"/>
    <w:rsid w:val="6C513046"/>
    <w:rsid w:val="6C6367AC"/>
    <w:rsid w:val="6C6A16B7"/>
    <w:rsid w:val="6C6D0B73"/>
    <w:rsid w:val="6C7816C7"/>
    <w:rsid w:val="6C83517B"/>
    <w:rsid w:val="6C8A3532"/>
    <w:rsid w:val="6C9360FF"/>
    <w:rsid w:val="6CC369E5"/>
    <w:rsid w:val="6CD10307"/>
    <w:rsid w:val="6CD75FEC"/>
    <w:rsid w:val="6D0B038C"/>
    <w:rsid w:val="6D0C7466"/>
    <w:rsid w:val="6D1E2376"/>
    <w:rsid w:val="6D4D0B52"/>
    <w:rsid w:val="6D6244DF"/>
    <w:rsid w:val="6DB47886"/>
    <w:rsid w:val="6DBE0F5A"/>
    <w:rsid w:val="6DC01176"/>
    <w:rsid w:val="6DD93FE6"/>
    <w:rsid w:val="6E060561"/>
    <w:rsid w:val="6E0D2422"/>
    <w:rsid w:val="6E395B01"/>
    <w:rsid w:val="6E3B25AB"/>
    <w:rsid w:val="6E4271BE"/>
    <w:rsid w:val="6E5D4C17"/>
    <w:rsid w:val="6E6715F2"/>
    <w:rsid w:val="6E684F5C"/>
    <w:rsid w:val="6E777A87"/>
    <w:rsid w:val="6EB011EB"/>
    <w:rsid w:val="6EB8009F"/>
    <w:rsid w:val="6EC151A6"/>
    <w:rsid w:val="6ED208E1"/>
    <w:rsid w:val="6EE175F6"/>
    <w:rsid w:val="6EE64C0C"/>
    <w:rsid w:val="6F0155A2"/>
    <w:rsid w:val="6F416D8D"/>
    <w:rsid w:val="6F5002D8"/>
    <w:rsid w:val="6F96218E"/>
    <w:rsid w:val="6FC00FB9"/>
    <w:rsid w:val="6FDD600F"/>
    <w:rsid w:val="6FE5312D"/>
    <w:rsid w:val="6FE9269D"/>
    <w:rsid w:val="6FEA4A7C"/>
    <w:rsid w:val="6FEE6861"/>
    <w:rsid w:val="703A3509"/>
    <w:rsid w:val="7042750F"/>
    <w:rsid w:val="7055204A"/>
    <w:rsid w:val="708E0E9F"/>
    <w:rsid w:val="709255AC"/>
    <w:rsid w:val="70A00DEB"/>
    <w:rsid w:val="70BD199D"/>
    <w:rsid w:val="70CE3697"/>
    <w:rsid w:val="70D9539B"/>
    <w:rsid w:val="70E21340"/>
    <w:rsid w:val="70EB02B8"/>
    <w:rsid w:val="711A0B9D"/>
    <w:rsid w:val="712B2DAA"/>
    <w:rsid w:val="71453E50"/>
    <w:rsid w:val="714D0F73"/>
    <w:rsid w:val="715D270E"/>
    <w:rsid w:val="719B1CDE"/>
    <w:rsid w:val="71A14E1B"/>
    <w:rsid w:val="71AC3EEB"/>
    <w:rsid w:val="71C34D91"/>
    <w:rsid w:val="71C64881"/>
    <w:rsid w:val="71CA611F"/>
    <w:rsid w:val="71D15700"/>
    <w:rsid w:val="71E2790D"/>
    <w:rsid w:val="71F0436C"/>
    <w:rsid w:val="7209285E"/>
    <w:rsid w:val="7217273D"/>
    <w:rsid w:val="723652CB"/>
    <w:rsid w:val="726F08F7"/>
    <w:rsid w:val="727918F3"/>
    <w:rsid w:val="727B38BE"/>
    <w:rsid w:val="72AD735C"/>
    <w:rsid w:val="72BA2638"/>
    <w:rsid w:val="72BB1F0C"/>
    <w:rsid w:val="72C64894"/>
    <w:rsid w:val="72D305D9"/>
    <w:rsid w:val="72E450DB"/>
    <w:rsid w:val="72F42E4A"/>
    <w:rsid w:val="72F464CC"/>
    <w:rsid w:val="730076A1"/>
    <w:rsid w:val="730E62B9"/>
    <w:rsid w:val="73130605"/>
    <w:rsid w:val="73332185"/>
    <w:rsid w:val="738E619E"/>
    <w:rsid w:val="738E711F"/>
    <w:rsid w:val="73981A6B"/>
    <w:rsid w:val="73A53F8B"/>
    <w:rsid w:val="73E51B0C"/>
    <w:rsid w:val="73E84F83"/>
    <w:rsid w:val="74156BE2"/>
    <w:rsid w:val="743E2855"/>
    <w:rsid w:val="744D3038"/>
    <w:rsid w:val="745A13C1"/>
    <w:rsid w:val="74911176"/>
    <w:rsid w:val="74AC7D5E"/>
    <w:rsid w:val="74E20FCC"/>
    <w:rsid w:val="75093403"/>
    <w:rsid w:val="75154854"/>
    <w:rsid w:val="75175B20"/>
    <w:rsid w:val="75220020"/>
    <w:rsid w:val="75264803"/>
    <w:rsid w:val="75287D2D"/>
    <w:rsid w:val="75483F2B"/>
    <w:rsid w:val="75671ED7"/>
    <w:rsid w:val="757860DA"/>
    <w:rsid w:val="758962F1"/>
    <w:rsid w:val="75980321"/>
    <w:rsid w:val="759929D8"/>
    <w:rsid w:val="7599775D"/>
    <w:rsid w:val="75B90231"/>
    <w:rsid w:val="75C6486D"/>
    <w:rsid w:val="75CF4FA6"/>
    <w:rsid w:val="75DE2343"/>
    <w:rsid w:val="75DF705C"/>
    <w:rsid w:val="75E4177A"/>
    <w:rsid w:val="75F25C45"/>
    <w:rsid w:val="760A7432"/>
    <w:rsid w:val="760B1A49"/>
    <w:rsid w:val="7621652A"/>
    <w:rsid w:val="765A1DDB"/>
    <w:rsid w:val="765C57B4"/>
    <w:rsid w:val="766A7A1C"/>
    <w:rsid w:val="767F3E64"/>
    <w:rsid w:val="76825A26"/>
    <w:rsid w:val="76D8308D"/>
    <w:rsid w:val="76DD68F5"/>
    <w:rsid w:val="77027646"/>
    <w:rsid w:val="7703224C"/>
    <w:rsid w:val="770E4D00"/>
    <w:rsid w:val="773E5893"/>
    <w:rsid w:val="774150D6"/>
    <w:rsid w:val="77426B90"/>
    <w:rsid w:val="774C4956"/>
    <w:rsid w:val="776C1A27"/>
    <w:rsid w:val="779F3BAA"/>
    <w:rsid w:val="77A94A29"/>
    <w:rsid w:val="77B04009"/>
    <w:rsid w:val="77CE4490"/>
    <w:rsid w:val="77D42CE5"/>
    <w:rsid w:val="78174088"/>
    <w:rsid w:val="78272A58"/>
    <w:rsid w:val="78484242"/>
    <w:rsid w:val="784A33A1"/>
    <w:rsid w:val="785030F6"/>
    <w:rsid w:val="788A0834"/>
    <w:rsid w:val="78CE2999"/>
    <w:rsid w:val="78D37FAF"/>
    <w:rsid w:val="78D635FC"/>
    <w:rsid w:val="78E026CC"/>
    <w:rsid w:val="78E80F0B"/>
    <w:rsid w:val="78EE4DE9"/>
    <w:rsid w:val="790B0ADB"/>
    <w:rsid w:val="790D6F0A"/>
    <w:rsid w:val="790E2D96"/>
    <w:rsid w:val="79206F6D"/>
    <w:rsid w:val="796230E1"/>
    <w:rsid w:val="79A67472"/>
    <w:rsid w:val="79C201CD"/>
    <w:rsid w:val="79C773E8"/>
    <w:rsid w:val="79CD2C51"/>
    <w:rsid w:val="79D55FA9"/>
    <w:rsid w:val="79D724F5"/>
    <w:rsid w:val="79F5128C"/>
    <w:rsid w:val="7A0643B5"/>
    <w:rsid w:val="7A1B7E60"/>
    <w:rsid w:val="7A2111EE"/>
    <w:rsid w:val="7A574C10"/>
    <w:rsid w:val="7A61783D"/>
    <w:rsid w:val="7AAA7852"/>
    <w:rsid w:val="7ABC4A73"/>
    <w:rsid w:val="7ADD7EC6"/>
    <w:rsid w:val="7AEC2F87"/>
    <w:rsid w:val="7AF4245F"/>
    <w:rsid w:val="7B2C39A7"/>
    <w:rsid w:val="7B4B4617"/>
    <w:rsid w:val="7B783090"/>
    <w:rsid w:val="7B8261D8"/>
    <w:rsid w:val="7B860999"/>
    <w:rsid w:val="7B8F40FC"/>
    <w:rsid w:val="7BC77B74"/>
    <w:rsid w:val="7BD76009"/>
    <w:rsid w:val="7BE11F92"/>
    <w:rsid w:val="7BE26D3D"/>
    <w:rsid w:val="7BE349AD"/>
    <w:rsid w:val="7BF16281"/>
    <w:rsid w:val="7BF85F7F"/>
    <w:rsid w:val="7BFA6773"/>
    <w:rsid w:val="7C05243E"/>
    <w:rsid w:val="7C2C5969"/>
    <w:rsid w:val="7C30396B"/>
    <w:rsid w:val="7C3C7C24"/>
    <w:rsid w:val="7C7D5CFF"/>
    <w:rsid w:val="7C8E4220"/>
    <w:rsid w:val="7C8F2561"/>
    <w:rsid w:val="7CAD6DE1"/>
    <w:rsid w:val="7CB65F24"/>
    <w:rsid w:val="7D0F3580"/>
    <w:rsid w:val="7D244504"/>
    <w:rsid w:val="7D292894"/>
    <w:rsid w:val="7D346AB4"/>
    <w:rsid w:val="7D4D7C3B"/>
    <w:rsid w:val="7D58294E"/>
    <w:rsid w:val="7D8F2B88"/>
    <w:rsid w:val="7DA270F0"/>
    <w:rsid w:val="7DB5221A"/>
    <w:rsid w:val="7DBC3896"/>
    <w:rsid w:val="7DC459D0"/>
    <w:rsid w:val="7DD50326"/>
    <w:rsid w:val="7DEE0806"/>
    <w:rsid w:val="7E024E93"/>
    <w:rsid w:val="7E10774B"/>
    <w:rsid w:val="7E152E18"/>
    <w:rsid w:val="7E2D63B4"/>
    <w:rsid w:val="7E4F2250"/>
    <w:rsid w:val="7E4F632A"/>
    <w:rsid w:val="7E526BA9"/>
    <w:rsid w:val="7E6634E0"/>
    <w:rsid w:val="7E682F48"/>
    <w:rsid w:val="7E71789B"/>
    <w:rsid w:val="7E8D0C00"/>
    <w:rsid w:val="7E8E44E1"/>
    <w:rsid w:val="7EA36676"/>
    <w:rsid w:val="7EEA1BAF"/>
    <w:rsid w:val="7F1D2D77"/>
    <w:rsid w:val="7F203823"/>
    <w:rsid w:val="7F4103D5"/>
    <w:rsid w:val="7F4219EB"/>
    <w:rsid w:val="7F4777E4"/>
    <w:rsid w:val="7F4F291E"/>
    <w:rsid w:val="7F531E4A"/>
    <w:rsid w:val="7F604567"/>
    <w:rsid w:val="7F671451"/>
    <w:rsid w:val="7F6C6E92"/>
    <w:rsid w:val="7F791185"/>
    <w:rsid w:val="7FA3239D"/>
    <w:rsid w:val="7FA86318"/>
    <w:rsid w:val="7FAE073D"/>
    <w:rsid w:val="7FBC5C1E"/>
    <w:rsid w:val="7FC841C1"/>
    <w:rsid w:val="7FCA19E0"/>
    <w:rsid w:val="7FCB178A"/>
    <w:rsid w:val="7FD665D7"/>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qFormat="1" w:unhideWhenUsed="0" w:uiPriority="0" w:semiHidden="0"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7"/>
    <w:qFormat/>
    <w:uiPriority w:val="9"/>
    <w:pPr>
      <w:jc w:val="center"/>
      <w:outlineLvl w:val="0"/>
    </w:pPr>
    <w:rPr>
      <w:rFonts w:eastAsia="黑体"/>
      <w:b/>
      <w:sz w:val="44"/>
      <w:szCs w:val="44"/>
    </w:rPr>
  </w:style>
  <w:style w:type="paragraph" w:styleId="3">
    <w:name w:val="heading 2"/>
    <w:basedOn w:val="1"/>
    <w:next w:val="1"/>
    <w:link w:val="62"/>
    <w:autoRedefine/>
    <w:qFormat/>
    <w:uiPriority w:val="9"/>
    <w:pPr>
      <w:spacing w:line="560" w:lineRule="exact"/>
      <w:jc w:val="center"/>
      <w:outlineLvl w:val="1"/>
    </w:pPr>
    <w:rPr>
      <w:rFonts w:eastAsia="黑体"/>
      <w:b/>
      <w:sz w:val="32"/>
      <w:szCs w:val="32"/>
    </w:rPr>
  </w:style>
  <w:style w:type="paragraph" w:styleId="4">
    <w:name w:val="heading 3"/>
    <w:basedOn w:val="1"/>
    <w:next w:val="1"/>
    <w:link w:val="63"/>
    <w:autoRedefine/>
    <w:qFormat/>
    <w:uiPriority w:val="0"/>
    <w:pPr>
      <w:keepNext/>
      <w:keepLines/>
      <w:spacing w:before="260" w:after="260" w:line="416" w:lineRule="auto"/>
      <w:outlineLvl w:val="2"/>
    </w:pPr>
    <w:rPr>
      <w:rFonts w:ascii="Calibri" w:hAnsi="Calibri"/>
      <w:b/>
      <w:bCs/>
      <w:sz w:val="32"/>
      <w:szCs w:val="32"/>
    </w:rPr>
  </w:style>
  <w:style w:type="paragraph" w:styleId="5">
    <w:name w:val="heading 4"/>
    <w:basedOn w:val="1"/>
    <w:next w:val="1"/>
    <w:link w:val="64"/>
    <w:autoRedefine/>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112"/>
    <w:autoRedefine/>
    <w:qFormat/>
    <w:uiPriority w:val="0"/>
    <w:pPr>
      <w:keepNext/>
      <w:keepLines/>
      <w:spacing w:before="280" w:after="290" w:line="376" w:lineRule="auto"/>
      <w:outlineLvl w:val="4"/>
    </w:pPr>
    <w:rPr>
      <w:b/>
      <w:bCs/>
      <w:sz w:val="28"/>
      <w:szCs w:val="28"/>
    </w:rPr>
  </w:style>
  <w:style w:type="paragraph" w:styleId="7">
    <w:name w:val="heading 6"/>
    <w:basedOn w:val="1"/>
    <w:next w:val="1"/>
    <w:link w:val="122"/>
    <w:autoRedefine/>
    <w:qFormat/>
    <w:uiPriority w:val="0"/>
    <w:pPr>
      <w:keepNext/>
      <w:keepLines/>
      <w:widowControl/>
      <w:tabs>
        <w:tab w:val="left" w:pos="1440"/>
      </w:tabs>
      <w:spacing w:before="240" w:after="64" w:line="317" w:lineRule="auto"/>
      <w:ind w:left="1152" w:hanging="1152"/>
      <w:jc w:val="left"/>
      <w:outlineLvl w:val="5"/>
    </w:pPr>
    <w:rPr>
      <w:rFonts w:ascii="Arial" w:hAnsi="Arial" w:eastAsia="黑体"/>
      <w:b/>
      <w:kern w:val="0"/>
      <w:sz w:val="24"/>
      <w:szCs w:val="20"/>
    </w:rPr>
  </w:style>
  <w:style w:type="paragraph" w:styleId="8">
    <w:name w:val="heading 7"/>
    <w:basedOn w:val="1"/>
    <w:next w:val="1"/>
    <w:link w:val="123"/>
    <w:autoRedefine/>
    <w:qFormat/>
    <w:uiPriority w:val="0"/>
    <w:pPr>
      <w:keepNext/>
      <w:keepLines/>
      <w:widowControl/>
      <w:tabs>
        <w:tab w:val="left" w:pos="2520"/>
      </w:tabs>
      <w:spacing w:before="240" w:after="64" w:line="317" w:lineRule="auto"/>
      <w:ind w:left="1296" w:hanging="1296"/>
      <w:jc w:val="left"/>
      <w:outlineLvl w:val="6"/>
    </w:pPr>
    <w:rPr>
      <w:b/>
      <w:kern w:val="0"/>
      <w:sz w:val="24"/>
      <w:szCs w:val="20"/>
    </w:rPr>
  </w:style>
  <w:style w:type="paragraph" w:styleId="9">
    <w:name w:val="heading 8"/>
    <w:basedOn w:val="1"/>
    <w:next w:val="1"/>
    <w:link w:val="124"/>
    <w:autoRedefine/>
    <w:qFormat/>
    <w:uiPriority w:val="0"/>
    <w:pPr>
      <w:keepNext/>
      <w:keepLines/>
      <w:widowControl/>
      <w:tabs>
        <w:tab w:val="left" w:pos="1440"/>
      </w:tabs>
      <w:spacing w:before="240" w:after="64" w:line="317" w:lineRule="auto"/>
      <w:ind w:left="1440" w:hanging="1440"/>
      <w:jc w:val="left"/>
      <w:outlineLvl w:val="7"/>
    </w:pPr>
    <w:rPr>
      <w:rFonts w:ascii="Arial" w:hAnsi="Arial" w:eastAsia="黑体"/>
      <w:kern w:val="0"/>
      <w:sz w:val="24"/>
      <w:szCs w:val="20"/>
    </w:rPr>
  </w:style>
  <w:style w:type="paragraph" w:styleId="10">
    <w:name w:val="heading 9"/>
    <w:basedOn w:val="1"/>
    <w:next w:val="1"/>
    <w:link w:val="125"/>
    <w:autoRedefine/>
    <w:qFormat/>
    <w:uiPriority w:val="0"/>
    <w:pPr>
      <w:keepNext/>
      <w:keepLines/>
      <w:widowControl/>
      <w:tabs>
        <w:tab w:val="left" w:pos="1584"/>
      </w:tabs>
      <w:spacing w:before="240" w:after="64" w:line="317" w:lineRule="auto"/>
      <w:ind w:left="1584" w:hanging="1584"/>
      <w:jc w:val="left"/>
      <w:outlineLvl w:val="8"/>
    </w:pPr>
    <w:rPr>
      <w:rFonts w:ascii="Arial" w:hAnsi="Arial" w:eastAsia="黑体"/>
      <w:kern w:val="0"/>
      <w:szCs w:val="20"/>
    </w:rPr>
  </w:style>
  <w:style w:type="character" w:default="1" w:styleId="41">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66"/>
    <w:autoRedefine/>
    <w:qFormat/>
    <w:uiPriority w:val="0"/>
    <w:pPr>
      <w:ind w:firstLine="420"/>
    </w:pPr>
    <w:rPr>
      <w:szCs w:val="21"/>
    </w:rPr>
  </w:style>
  <w:style w:type="paragraph" w:styleId="12">
    <w:name w:val="Document Map"/>
    <w:basedOn w:val="1"/>
    <w:link w:val="67"/>
    <w:autoRedefine/>
    <w:qFormat/>
    <w:uiPriority w:val="99"/>
    <w:pPr>
      <w:shd w:val="clear" w:color="auto" w:fill="000080"/>
    </w:pPr>
    <w:rPr>
      <w:rFonts w:ascii="Calibri" w:hAnsi="Calibri"/>
    </w:rPr>
  </w:style>
  <w:style w:type="paragraph" w:styleId="13">
    <w:name w:val="toa heading"/>
    <w:basedOn w:val="1"/>
    <w:next w:val="1"/>
    <w:qFormat/>
    <w:uiPriority w:val="0"/>
    <w:pPr>
      <w:spacing w:before="120"/>
    </w:pPr>
    <w:rPr>
      <w:rFonts w:ascii="Arial" w:hAnsi="Arial"/>
    </w:rPr>
  </w:style>
  <w:style w:type="paragraph" w:styleId="14">
    <w:name w:val="annotation text"/>
    <w:basedOn w:val="1"/>
    <w:link w:val="68"/>
    <w:autoRedefine/>
    <w:qFormat/>
    <w:uiPriority w:val="0"/>
    <w:pPr>
      <w:jc w:val="left"/>
    </w:pPr>
  </w:style>
  <w:style w:type="paragraph" w:styleId="15">
    <w:name w:val="Body Text 3"/>
    <w:basedOn w:val="1"/>
    <w:link w:val="69"/>
    <w:autoRedefine/>
    <w:qFormat/>
    <w:uiPriority w:val="0"/>
    <w:pPr>
      <w:spacing w:after="120"/>
    </w:pPr>
    <w:rPr>
      <w:sz w:val="16"/>
      <w:szCs w:val="16"/>
    </w:rPr>
  </w:style>
  <w:style w:type="paragraph" w:styleId="16">
    <w:name w:val="Body Text"/>
    <w:basedOn w:val="1"/>
    <w:link w:val="65"/>
    <w:autoRedefine/>
    <w:qFormat/>
    <w:uiPriority w:val="0"/>
    <w:pPr>
      <w:spacing w:after="120"/>
    </w:pPr>
  </w:style>
  <w:style w:type="paragraph" w:styleId="17">
    <w:name w:val="Body Text Indent"/>
    <w:basedOn w:val="1"/>
    <w:link w:val="132"/>
    <w:autoRedefine/>
    <w:qFormat/>
    <w:uiPriority w:val="0"/>
    <w:pPr>
      <w:spacing w:after="120"/>
      <w:ind w:left="420" w:leftChars="200"/>
    </w:pPr>
    <w:rPr>
      <w:szCs w:val="20"/>
    </w:rPr>
  </w:style>
  <w:style w:type="paragraph" w:styleId="18">
    <w:name w:val="toc 3"/>
    <w:basedOn w:val="1"/>
    <w:next w:val="1"/>
    <w:autoRedefine/>
    <w:qFormat/>
    <w:uiPriority w:val="39"/>
    <w:pPr>
      <w:ind w:left="840" w:leftChars="400"/>
    </w:pPr>
    <w:rPr>
      <w:rFonts w:ascii="Calibri" w:hAnsi="Calibri"/>
    </w:rPr>
  </w:style>
  <w:style w:type="paragraph" w:styleId="19">
    <w:name w:val="Plain Text"/>
    <w:basedOn w:val="1"/>
    <w:link w:val="133"/>
    <w:autoRedefine/>
    <w:qFormat/>
    <w:uiPriority w:val="99"/>
    <w:rPr>
      <w:rFonts w:ascii="宋体" w:hAnsi="Courier New"/>
    </w:rPr>
  </w:style>
  <w:style w:type="paragraph" w:styleId="20">
    <w:name w:val="Date"/>
    <w:basedOn w:val="1"/>
    <w:next w:val="1"/>
    <w:link w:val="71"/>
    <w:autoRedefine/>
    <w:qFormat/>
    <w:uiPriority w:val="99"/>
    <w:pPr>
      <w:ind w:left="100" w:leftChars="2500"/>
    </w:pPr>
    <w:rPr>
      <w:rFonts w:ascii="Calibri" w:hAnsi="Calibri"/>
    </w:rPr>
  </w:style>
  <w:style w:type="paragraph" w:styleId="21">
    <w:name w:val="Body Text Indent 2"/>
    <w:basedOn w:val="1"/>
    <w:link w:val="72"/>
    <w:autoRedefine/>
    <w:qFormat/>
    <w:uiPriority w:val="0"/>
    <w:pPr>
      <w:autoSpaceDE w:val="0"/>
      <w:autoSpaceDN w:val="0"/>
      <w:adjustRightInd w:val="0"/>
      <w:spacing w:line="360" w:lineRule="auto"/>
      <w:ind w:firstLine="450" w:firstLineChars="198"/>
      <w:jc w:val="left"/>
    </w:pPr>
    <w:rPr>
      <w:rFonts w:ascii="宋体" w:hAnsi="Calibri"/>
      <w:color w:val="000000"/>
      <w:kern w:val="0"/>
      <w:sz w:val="24"/>
      <w:szCs w:val="20"/>
    </w:rPr>
  </w:style>
  <w:style w:type="paragraph" w:styleId="22">
    <w:name w:val="Balloon Text"/>
    <w:basedOn w:val="1"/>
    <w:link w:val="73"/>
    <w:autoRedefine/>
    <w:qFormat/>
    <w:uiPriority w:val="0"/>
    <w:rPr>
      <w:sz w:val="18"/>
      <w:szCs w:val="18"/>
    </w:rPr>
  </w:style>
  <w:style w:type="paragraph" w:styleId="23">
    <w:name w:val="footer"/>
    <w:basedOn w:val="1"/>
    <w:link w:val="74"/>
    <w:autoRedefine/>
    <w:qFormat/>
    <w:uiPriority w:val="0"/>
    <w:pPr>
      <w:tabs>
        <w:tab w:val="center" w:pos="4153"/>
        <w:tab w:val="right" w:pos="8306"/>
      </w:tabs>
      <w:snapToGrid w:val="0"/>
      <w:jc w:val="left"/>
    </w:pPr>
    <w:rPr>
      <w:sz w:val="18"/>
      <w:szCs w:val="18"/>
    </w:rPr>
  </w:style>
  <w:style w:type="paragraph" w:styleId="24">
    <w:name w:val="header"/>
    <w:basedOn w:val="1"/>
    <w:link w:val="75"/>
    <w:autoRedefine/>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qFormat/>
    <w:uiPriority w:val="39"/>
    <w:rPr>
      <w:rFonts w:ascii="Calibri" w:hAnsi="Calibri"/>
    </w:rPr>
  </w:style>
  <w:style w:type="paragraph" w:styleId="26">
    <w:name w:val="Subtitle"/>
    <w:basedOn w:val="1"/>
    <w:next w:val="1"/>
    <w:link w:val="139"/>
    <w:autoRedefine/>
    <w:qFormat/>
    <w:uiPriority w:val="11"/>
    <w:pPr>
      <w:spacing w:before="240" w:after="60" w:line="312" w:lineRule="auto"/>
      <w:jc w:val="center"/>
      <w:outlineLvl w:val="1"/>
    </w:pPr>
    <w:rPr>
      <w:rFonts w:ascii="Cambria" w:hAnsi="Cambria"/>
      <w:b/>
      <w:bCs/>
      <w:kern w:val="28"/>
      <w:sz w:val="32"/>
      <w:szCs w:val="32"/>
    </w:rPr>
  </w:style>
  <w:style w:type="paragraph" w:styleId="27">
    <w:name w:val="footnote text"/>
    <w:basedOn w:val="1"/>
    <w:autoRedefine/>
    <w:unhideWhenUsed/>
    <w:qFormat/>
    <w:uiPriority w:val="99"/>
    <w:pPr>
      <w:snapToGrid w:val="0"/>
    </w:pPr>
    <w:rPr>
      <w:sz w:val="18"/>
    </w:rPr>
  </w:style>
  <w:style w:type="paragraph" w:styleId="28">
    <w:name w:val="Body Text Indent 3"/>
    <w:basedOn w:val="1"/>
    <w:link w:val="141"/>
    <w:autoRedefine/>
    <w:qFormat/>
    <w:uiPriority w:val="0"/>
    <w:pPr>
      <w:spacing w:after="120"/>
      <w:ind w:left="420" w:leftChars="200"/>
    </w:pPr>
    <w:rPr>
      <w:sz w:val="16"/>
      <w:szCs w:val="20"/>
    </w:rPr>
  </w:style>
  <w:style w:type="paragraph" w:styleId="29">
    <w:name w:val="toc 2"/>
    <w:basedOn w:val="1"/>
    <w:next w:val="1"/>
    <w:autoRedefine/>
    <w:qFormat/>
    <w:uiPriority w:val="39"/>
    <w:pPr>
      <w:ind w:left="420" w:leftChars="200"/>
    </w:pPr>
    <w:rPr>
      <w:rFonts w:ascii="Calibri" w:hAnsi="Calibri"/>
    </w:rPr>
  </w:style>
  <w:style w:type="paragraph" w:styleId="30">
    <w:name w:val="Body Text 2"/>
    <w:basedOn w:val="1"/>
    <w:qFormat/>
    <w:uiPriority w:val="0"/>
    <w:pPr>
      <w:spacing w:after="120" w:line="480" w:lineRule="auto"/>
    </w:pPr>
  </w:style>
  <w:style w:type="paragraph" w:styleId="31">
    <w:name w:val="HTML Preformatted"/>
    <w:basedOn w:val="1"/>
    <w:link w:val="142"/>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2">
    <w:name w:val="Normal (Web)"/>
    <w:basedOn w:val="1"/>
    <w:link w:val="143"/>
    <w:autoRedefine/>
    <w:qFormat/>
    <w:uiPriority w:val="0"/>
    <w:pPr>
      <w:widowControl/>
      <w:spacing w:before="100" w:beforeAutospacing="1" w:after="100" w:afterAutospacing="1"/>
      <w:jc w:val="left"/>
    </w:pPr>
    <w:rPr>
      <w:rFonts w:ascii="宋体" w:hAnsi="宋体" w:cs="宋体"/>
      <w:kern w:val="0"/>
      <w:sz w:val="24"/>
    </w:rPr>
  </w:style>
  <w:style w:type="paragraph" w:styleId="33">
    <w:name w:val="index 1"/>
    <w:basedOn w:val="1"/>
    <w:next w:val="1"/>
    <w:autoRedefine/>
    <w:qFormat/>
    <w:uiPriority w:val="0"/>
    <w:pPr>
      <w:spacing w:line="220" w:lineRule="exact"/>
      <w:jc w:val="center"/>
    </w:pPr>
    <w:rPr>
      <w:rFonts w:ascii="仿宋_GB2312" w:eastAsia="仿宋_GB2312"/>
      <w:szCs w:val="20"/>
    </w:rPr>
  </w:style>
  <w:style w:type="paragraph" w:styleId="34">
    <w:name w:val="Title"/>
    <w:basedOn w:val="1"/>
    <w:link w:val="145"/>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5">
    <w:name w:val="annotation subject"/>
    <w:basedOn w:val="14"/>
    <w:next w:val="14"/>
    <w:link w:val="76"/>
    <w:autoRedefine/>
    <w:qFormat/>
    <w:uiPriority w:val="0"/>
    <w:rPr>
      <w:b/>
      <w:bCs/>
    </w:rPr>
  </w:style>
  <w:style w:type="paragraph" w:styleId="36">
    <w:name w:val="Body Text First Indent"/>
    <w:basedOn w:val="16"/>
    <w:next w:val="1"/>
    <w:link w:val="77"/>
    <w:autoRedefine/>
    <w:qFormat/>
    <w:uiPriority w:val="0"/>
    <w:pPr>
      <w:ind w:firstLine="420" w:firstLineChars="100"/>
    </w:pPr>
  </w:style>
  <w:style w:type="paragraph" w:styleId="37">
    <w:name w:val="Body Text First Indent 2"/>
    <w:basedOn w:val="17"/>
    <w:next w:val="1"/>
    <w:unhideWhenUsed/>
    <w:qFormat/>
    <w:uiPriority w:val="99"/>
    <w:pPr>
      <w:ind w:firstLine="420" w:firstLineChars="200"/>
    </w:pPr>
    <w:rPr>
      <w:rFonts w:ascii="Cambria" w:hAnsi="Cambria"/>
    </w:rPr>
  </w:style>
  <w:style w:type="table" w:styleId="39">
    <w:name w:val="Table Grid"/>
    <w:basedOn w:val="3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0">
    <w:name w:val="Table Web 1"/>
    <w:basedOn w:val="38"/>
    <w:autoRedefine/>
    <w:qFormat/>
    <w:uiPriority w:val="0"/>
    <w:pPr>
      <w:wordWrap w:val="0"/>
      <w:topLinePunct/>
      <w:spacing w:line="440" w:lineRule="exact"/>
      <w:ind w:firstLine="200" w:firstLineChars="200"/>
    </w:pPr>
    <w:rPr>
      <w:rFonts w:ascii="Calibri" w:hAnsi="Calibri" w:cs="Arial"/>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styleId="42">
    <w:name w:val="Strong"/>
    <w:basedOn w:val="41"/>
    <w:autoRedefine/>
    <w:qFormat/>
    <w:uiPriority w:val="22"/>
    <w:rPr>
      <w:rFonts w:ascii="Times New Roman" w:hAnsi="Times New Roman" w:eastAsia="宋体" w:cs="Times New Roman"/>
      <w:b/>
      <w:bCs/>
    </w:rPr>
  </w:style>
  <w:style w:type="character" w:styleId="43">
    <w:name w:val="page number"/>
    <w:autoRedefine/>
    <w:qFormat/>
    <w:uiPriority w:val="0"/>
    <w:rPr>
      <w:rFonts w:ascii="Calibri" w:hAnsi="Calibri" w:eastAsia="宋体" w:cs="Times New Roman"/>
    </w:rPr>
  </w:style>
  <w:style w:type="character" w:styleId="44">
    <w:name w:val="FollowedHyperlink"/>
    <w:autoRedefine/>
    <w:qFormat/>
    <w:uiPriority w:val="99"/>
    <w:rPr>
      <w:rFonts w:ascii="Times New Roman" w:hAnsi="Times New Roman" w:eastAsia="宋体" w:cs="Times New Roman"/>
      <w:color w:val="333333"/>
      <w:sz w:val="18"/>
      <w:u w:val="none"/>
    </w:rPr>
  </w:style>
  <w:style w:type="character" w:styleId="45">
    <w:name w:val="Emphasis"/>
    <w:autoRedefine/>
    <w:qFormat/>
    <w:uiPriority w:val="20"/>
    <w:rPr>
      <w:rFonts w:ascii="Times New Roman" w:hAnsi="Times New Roman" w:eastAsia="宋体" w:cs="Times New Roman"/>
      <w:i/>
      <w:iCs/>
    </w:rPr>
  </w:style>
  <w:style w:type="character" w:styleId="46">
    <w:name w:val="HTML Definition"/>
    <w:autoRedefine/>
    <w:qFormat/>
    <w:uiPriority w:val="0"/>
  </w:style>
  <w:style w:type="character" w:styleId="47">
    <w:name w:val="HTML Typewriter"/>
    <w:autoRedefine/>
    <w:qFormat/>
    <w:uiPriority w:val="0"/>
    <w:rPr>
      <w:rFonts w:hint="default" w:ascii="monospace" w:hAnsi="monospace" w:eastAsia="monospace" w:cs="monospace"/>
      <w:sz w:val="20"/>
    </w:rPr>
  </w:style>
  <w:style w:type="character" w:styleId="48">
    <w:name w:val="HTML Acronym"/>
    <w:basedOn w:val="41"/>
    <w:autoRedefine/>
    <w:qFormat/>
    <w:uiPriority w:val="0"/>
  </w:style>
  <w:style w:type="character" w:styleId="49">
    <w:name w:val="HTML Variable"/>
    <w:autoRedefine/>
    <w:qFormat/>
    <w:uiPriority w:val="0"/>
  </w:style>
  <w:style w:type="character" w:styleId="50">
    <w:name w:val="Hyperlink"/>
    <w:autoRedefine/>
    <w:qFormat/>
    <w:uiPriority w:val="99"/>
    <w:rPr>
      <w:rFonts w:ascii="Calibri" w:hAnsi="Calibri" w:eastAsia="宋体" w:cs="Times New Roman"/>
      <w:color w:val="0000FF"/>
      <w:u w:val="single"/>
    </w:rPr>
  </w:style>
  <w:style w:type="character" w:styleId="51">
    <w:name w:val="HTML Code"/>
    <w:autoRedefine/>
    <w:qFormat/>
    <w:uiPriority w:val="0"/>
    <w:rPr>
      <w:rFonts w:ascii="monospace" w:hAnsi="monospace" w:eastAsia="monospace" w:cs="monospace"/>
      <w:sz w:val="20"/>
    </w:rPr>
  </w:style>
  <w:style w:type="character" w:styleId="52">
    <w:name w:val="annotation reference"/>
    <w:autoRedefine/>
    <w:qFormat/>
    <w:uiPriority w:val="0"/>
    <w:rPr>
      <w:rFonts w:ascii="Calibri" w:hAnsi="Calibri" w:eastAsia="宋体" w:cs="Times New Roman"/>
      <w:sz w:val="21"/>
      <w:szCs w:val="21"/>
    </w:rPr>
  </w:style>
  <w:style w:type="character" w:styleId="53">
    <w:name w:val="HTML Cite"/>
    <w:autoRedefine/>
    <w:qFormat/>
    <w:uiPriority w:val="0"/>
  </w:style>
  <w:style w:type="character" w:styleId="54">
    <w:name w:val="footnote reference"/>
    <w:autoRedefine/>
    <w:qFormat/>
    <w:uiPriority w:val="0"/>
    <w:rPr>
      <w:rFonts w:ascii="Times New Roman" w:hAnsi="Times New Roman" w:eastAsia="宋体" w:cs="Times New Roman"/>
      <w:vertAlign w:val="superscript"/>
    </w:rPr>
  </w:style>
  <w:style w:type="character" w:styleId="55">
    <w:name w:val="HTML Keyboard"/>
    <w:autoRedefine/>
    <w:qFormat/>
    <w:uiPriority w:val="0"/>
    <w:rPr>
      <w:rFonts w:hint="default" w:ascii="monospace" w:hAnsi="monospace" w:eastAsia="monospace" w:cs="monospace"/>
      <w:sz w:val="20"/>
    </w:rPr>
  </w:style>
  <w:style w:type="character" w:styleId="56">
    <w:name w:val="HTML Sample"/>
    <w:autoRedefine/>
    <w:qFormat/>
    <w:uiPriority w:val="0"/>
    <w:rPr>
      <w:rFonts w:hint="default" w:ascii="monospace" w:hAnsi="monospace" w:eastAsia="monospace" w:cs="monospace"/>
    </w:rPr>
  </w:style>
  <w:style w:type="paragraph" w:customStyle="1" w:styleId="57">
    <w:name w:val="Default"/>
    <w:next w:val="1"/>
    <w:link w:val="190"/>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Char Char10 Char Char Char Char"/>
    <w:basedOn w:val="1"/>
    <w:next w:val="59"/>
    <w:qFormat/>
    <w:uiPriority w:val="0"/>
    <w:rPr>
      <w:rFonts w:ascii="Calibri" w:hAnsi="Calibri"/>
      <w:kern w:val="0"/>
    </w:rPr>
  </w:style>
  <w:style w:type="paragraph" w:customStyle="1" w:styleId="59">
    <w:name w:val="xl87"/>
    <w:basedOn w:val="1"/>
    <w:next w:val="60"/>
    <w:qFormat/>
    <w:uiPriority w:val="0"/>
    <w:pPr>
      <w:widowControl/>
      <w:shd w:val="clear" w:color="FFFFFF" w:fill="FFFFFF"/>
      <w:spacing w:before="280" w:after="280"/>
      <w:jc w:val="right"/>
    </w:pPr>
    <w:rPr>
      <w:rFonts w:ascii="宋体" w:hAnsi="Calibri"/>
      <w:kern w:val="0"/>
      <w:sz w:val="24"/>
    </w:rPr>
  </w:style>
  <w:style w:type="paragraph" w:customStyle="1" w:styleId="60">
    <w:name w:val="xl72"/>
    <w:basedOn w:val="1"/>
    <w:next w:val="20"/>
    <w:qFormat/>
    <w:uiPriority w:val="0"/>
    <w:pPr>
      <w:widowControl/>
      <w:shd w:val="clear" w:color="FFFFFF" w:fill="FFFFFF"/>
      <w:spacing w:before="280" w:after="280"/>
      <w:jc w:val="right"/>
    </w:pPr>
    <w:rPr>
      <w:rFonts w:ascii="宋体" w:hAnsi="Calibri"/>
      <w:kern w:val="0"/>
      <w:sz w:val="24"/>
    </w:rPr>
  </w:style>
  <w:style w:type="character" w:customStyle="1" w:styleId="61">
    <w:name w:val="标题 1 Char"/>
    <w:basedOn w:val="41"/>
    <w:link w:val="2"/>
    <w:autoRedefine/>
    <w:qFormat/>
    <w:uiPriority w:val="0"/>
    <w:rPr>
      <w:rFonts w:ascii="Times New Roman" w:hAnsi="Times New Roman" w:eastAsia="黑体" w:cs="Times New Roman"/>
      <w:b/>
      <w:sz w:val="44"/>
      <w:szCs w:val="44"/>
    </w:rPr>
  </w:style>
  <w:style w:type="character" w:customStyle="1" w:styleId="62">
    <w:name w:val="标题 2 Char"/>
    <w:basedOn w:val="41"/>
    <w:link w:val="3"/>
    <w:autoRedefine/>
    <w:qFormat/>
    <w:uiPriority w:val="9"/>
    <w:rPr>
      <w:rFonts w:ascii="Times New Roman" w:hAnsi="Times New Roman" w:eastAsia="黑体" w:cs="Times New Roman"/>
      <w:b/>
      <w:sz w:val="32"/>
      <w:szCs w:val="32"/>
    </w:rPr>
  </w:style>
  <w:style w:type="character" w:customStyle="1" w:styleId="63">
    <w:name w:val="标题 3 Char"/>
    <w:basedOn w:val="41"/>
    <w:link w:val="4"/>
    <w:autoRedefine/>
    <w:qFormat/>
    <w:uiPriority w:val="0"/>
    <w:rPr>
      <w:rFonts w:ascii="Calibri" w:hAnsi="Calibri" w:eastAsia="宋体" w:cs="Times New Roman"/>
      <w:b/>
      <w:bCs/>
      <w:sz w:val="32"/>
      <w:szCs w:val="32"/>
    </w:rPr>
  </w:style>
  <w:style w:type="character" w:customStyle="1" w:styleId="64">
    <w:name w:val="标题 4 Char"/>
    <w:basedOn w:val="41"/>
    <w:link w:val="5"/>
    <w:autoRedefine/>
    <w:qFormat/>
    <w:uiPriority w:val="0"/>
    <w:rPr>
      <w:rFonts w:ascii="Cambria" w:hAnsi="Cambria" w:eastAsia="宋体" w:cs="Times New Roman"/>
      <w:b/>
      <w:bCs/>
      <w:sz w:val="28"/>
      <w:szCs w:val="28"/>
    </w:rPr>
  </w:style>
  <w:style w:type="character" w:customStyle="1" w:styleId="65">
    <w:name w:val="正文文本 Char"/>
    <w:basedOn w:val="41"/>
    <w:link w:val="16"/>
    <w:autoRedefine/>
    <w:qFormat/>
    <w:uiPriority w:val="0"/>
    <w:rPr>
      <w:rFonts w:ascii="Times New Roman" w:hAnsi="Times New Roman" w:eastAsia="宋体" w:cs="Times New Roman"/>
      <w:szCs w:val="24"/>
    </w:rPr>
  </w:style>
  <w:style w:type="character" w:customStyle="1" w:styleId="66">
    <w:name w:val="正文缩进 Char"/>
    <w:link w:val="11"/>
    <w:autoRedefine/>
    <w:qFormat/>
    <w:uiPriority w:val="0"/>
    <w:rPr>
      <w:rFonts w:ascii="Times New Roman" w:hAnsi="Times New Roman" w:eastAsia="宋体" w:cs="Times New Roman"/>
      <w:szCs w:val="21"/>
    </w:rPr>
  </w:style>
  <w:style w:type="character" w:customStyle="1" w:styleId="67">
    <w:name w:val="文档结构图 Char"/>
    <w:basedOn w:val="41"/>
    <w:link w:val="12"/>
    <w:autoRedefine/>
    <w:qFormat/>
    <w:uiPriority w:val="0"/>
    <w:rPr>
      <w:rFonts w:ascii="Calibri" w:hAnsi="Calibri" w:eastAsia="宋体" w:cs="Times New Roman"/>
      <w:szCs w:val="24"/>
      <w:shd w:val="clear" w:color="auto" w:fill="000080"/>
    </w:rPr>
  </w:style>
  <w:style w:type="character" w:customStyle="1" w:styleId="68">
    <w:name w:val="批注文字 Char"/>
    <w:basedOn w:val="41"/>
    <w:link w:val="14"/>
    <w:autoRedefine/>
    <w:qFormat/>
    <w:uiPriority w:val="0"/>
    <w:rPr>
      <w:rFonts w:ascii="Times New Roman" w:hAnsi="Times New Roman" w:eastAsia="宋体" w:cs="Times New Roman"/>
      <w:szCs w:val="24"/>
    </w:rPr>
  </w:style>
  <w:style w:type="character" w:customStyle="1" w:styleId="69">
    <w:name w:val="正文文本 3 Char"/>
    <w:basedOn w:val="41"/>
    <w:link w:val="15"/>
    <w:autoRedefine/>
    <w:qFormat/>
    <w:uiPriority w:val="0"/>
    <w:rPr>
      <w:rFonts w:ascii="Times New Roman" w:hAnsi="Times New Roman" w:eastAsia="宋体" w:cs="Times New Roman"/>
      <w:sz w:val="16"/>
      <w:szCs w:val="16"/>
    </w:rPr>
  </w:style>
  <w:style w:type="character" w:customStyle="1" w:styleId="70">
    <w:name w:val="纯文本 Char"/>
    <w:basedOn w:val="41"/>
    <w:link w:val="19"/>
    <w:autoRedefine/>
    <w:qFormat/>
    <w:uiPriority w:val="99"/>
    <w:rPr>
      <w:rFonts w:ascii="宋体" w:hAnsi="Courier New" w:eastAsia="宋体" w:cs="Times New Roman"/>
      <w:szCs w:val="24"/>
    </w:rPr>
  </w:style>
  <w:style w:type="character" w:customStyle="1" w:styleId="71">
    <w:name w:val="日期 Char"/>
    <w:basedOn w:val="41"/>
    <w:link w:val="20"/>
    <w:autoRedefine/>
    <w:qFormat/>
    <w:uiPriority w:val="0"/>
    <w:rPr>
      <w:rFonts w:ascii="Calibri" w:hAnsi="Calibri" w:eastAsia="宋体" w:cs="Times New Roman"/>
      <w:szCs w:val="24"/>
    </w:rPr>
  </w:style>
  <w:style w:type="character" w:customStyle="1" w:styleId="72">
    <w:name w:val="正文文本缩进 2 Char"/>
    <w:basedOn w:val="41"/>
    <w:link w:val="21"/>
    <w:autoRedefine/>
    <w:qFormat/>
    <w:uiPriority w:val="0"/>
    <w:rPr>
      <w:rFonts w:ascii="宋体" w:hAnsi="Calibri" w:eastAsia="宋体" w:cs="Times New Roman"/>
      <w:color w:val="000000"/>
      <w:kern w:val="0"/>
      <w:sz w:val="24"/>
      <w:szCs w:val="20"/>
    </w:rPr>
  </w:style>
  <w:style w:type="character" w:customStyle="1" w:styleId="73">
    <w:name w:val="批注框文本 Char"/>
    <w:basedOn w:val="41"/>
    <w:link w:val="22"/>
    <w:autoRedefine/>
    <w:qFormat/>
    <w:uiPriority w:val="0"/>
    <w:rPr>
      <w:rFonts w:ascii="Times New Roman" w:hAnsi="Times New Roman" w:eastAsia="宋体" w:cs="Times New Roman"/>
      <w:sz w:val="18"/>
      <w:szCs w:val="18"/>
    </w:rPr>
  </w:style>
  <w:style w:type="character" w:customStyle="1" w:styleId="74">
    <w:name w:val="页脚 Char"/>
    <w:basedOn w:val="41"/>
    <w:link w:val="23"/>
    <w:autoRedefine/>
    <w:qFormat/>
    <w:uiPriority w:val="99"/>
    <w:rPr>
      <w:rFonts w:ascii="Times New Roman" w:hAnsi="Times New Roman" w:eastAsia="宋体" w:cs="Times New Roman"/>
      <w:sz w:val="18"/>
      <w:szCs w:val="18"/>
    </w:rPr>
  </w:style>
  <w:style w:type="character" w:customStyle="1" w:styleId="75">
    <w:name w:val="页眉 Char"/>
    <w:basedOn w:val="41"/>
    <w:link w:val="24"/>
    <w:autoRedefine/>
    <w:qFormat/>
    <w:uiPriority w:val="99"/>
    <w:rPr>
      <w:rFonts w:ascii="Times New Roman" w:hAnsi="Times New Roman" w:eastAsia="宋体" w:cs="Times New Roman"/>
      <w:sz w:val="18"/>
      <w:szCs w:val="18"/>
    </w:rPr>
  </w:style>
  <w:style w:type="character" w:customStyle="1" w:styleId="76">
    <w:name w:val="批注主题 Char"/>
    <w:basedOn w:val="68"/>
    <w:link w:val="35"/>
    <w:autoRedefine/>
    <w:qFormat/>
    <w:uiPriority w:val="0"/>
    <w:rPr>
      <w:rFonts w:ascii="Times New Roman" w:hAnsi="Times New Roman" w:eastAsia="宋体" w:cs="Times New Roman"/>
      <w:b/>
      <w:bCs/>
      <w:szCs w:val="24"/>
    </w:rPr>
  </w:style>
  <w:style w:type="character" w:customStyle="1" w:styleId="77">
    <w:name w:val="正文首行缩进 Char"/>
    <w:basedOn w:val="65"/>
    <w:link w:val="36"/>
    <w:autoRedefine/>
    <w:qFormat/>
    <w:uiPriority w:val="0"/>
    <w:rPr>
      <w:rFonts w:ascii="Times New Roman" w:hAnsi="Times New Roman" w:eastAsia="宋体" w:cs="Times New Roman"/>
      <w:szCs w:val="24"/>
    </w:rPr>
  </w:style>
  <w:style w:type="character" w:customStyle="1" w:styleId="78">
    <w:name w:val="正文文本 3 Char1"/>
    <w:autoRedefine/>
    <w:qFormat/>
    <w:uiPriority w:val="0"/>
    <w:rPr>
      <w:rFonts w:ascii="Calibri" w:hAnsi="Calibri" w:eastAsia="宋体" w:cs="Times New Roman"/>
      <w:kern w:val="2"/>
      <w:sz w:val="16"/>
      <w:szCs w:val="16"/>
    </w:rPr>
  </w:style>
  <w:style w:type="character" w:customStyle="1" w:styleId="79">
    <w:name w:val="文档正文 Char"/>
    <w:link w:val="80"/>
    <w:autoRedefine/>
    <w:qFormat/>
    <w:uiPriority w:val="0"/>
    <w:rPr>
      <w:rFonts w:ascii="仿宋_GB2312" w:hAnsi="Calibri" w:eastAsia="仿宋_GB2312" w:cs="Times New Roman"/>
      <w:sz w:val="28"/>
    </w:rPr>
  </w:style>
  <w:style w:type="paragraph" w:customStyle="1" w:styleId="80">
    <w:name w:val="文档正文"/>
    <w:basedOn w:val="1"/>
    <w:link w:val="79"/>
    <w:autoRedefine/>
    <w:qFormat/>
    <w:uiPriority w:val="0"/>
    <w:pPr>
      <w:adjustRightInd w:val="0"/>
      <w:spacing w:line="480" w:lineRule="atLeast"/>
      <w:ind w:firstLine="567"/>
      <w:textAlignment w:val="baseline"/>
    </w:pPr>
    <w:rPr>
      <w:rFonts w:ascii="仿宋_GB2312" w:hAnsi="Calibri" w:eastAsia="仿宋_GB2312"/>
      <w:sz w:val="28"/>
      <w:szCs w:val="22"/>
    </w:rPr>
  </w:style>
  <w:style w:type="character" w:customStyle="1" w:styleId="81">
    <w:name w:val="标题一 Char"/>
    <w:link w:val="82"/>
    <w:qFormat/>
    <w:uiPriority w:val="0"/>
    <w:rPr>
      <w:rFonts w:ascii="宋体" w:hAnsi="宋体"/>
      <w:b/>
      <w:bCs/>
      <w:kern w:val="44"/>
      <w:sz w:val="24"/>
      <w:szCs w:val="44"/>
    </w:rPr>
  </w:style>
  <w:style w:type="paragraph" w:customStyle="1" w:styleId="82">
    <w:name w:val="标题一"/>
    <w:next w:val="1"/>
    <w:link w:val="81"/>
    <w:autoRedefine/>
    <w:qFormat/>
    <w:uiPriority w:val="0"/>
    <w:pPr>
      <w:snapToGrid w:val="0"/>
      <w:spacing w:line="360" w:lineRule="exact"/>
      <w:outlineLvl w:val="0"/>
    </w:pPr>
    <w:rPr>
      <w:rFonts w:ascii="宋体" w:hAnsi="宋体" w:eastAsiaTheme="minorEastAsia" w:cstheme="minorBidi"/>
      <w:b/>
      <w:bCs/>
      <w:kern w:val="44"/>
      <w:sz w:val="24"/>
      <w:szCs w:val="44"/>
      <w:lang w:val="en-US" w:eastAsia="zh-CN" w:bidi="ar-SA"/>
    </w:rPr>
  </w:style>
  <w:style w:type="character" w:customStyle="1" w:styleId="83">
    <w:name w:val="页眉 Char1"/>
    <w:autoRedefine/>
    <w:qFormat/>
    <w:uiPriority w:val="0"/>
    <w:rPr>
      <w:rFonts w:ascii="Calibri" w:hAnsi="Calibri" w:eastAsia="宋体" w:cs="Times New Roman"/>
      <w:kern w:val="2"/>
      <w:sz w:val="18"/>
      <w:szCs w:val="18"/>
    </w:rPr>
  </w:style>
  <w:style w:type="character" w:customStyle="1" w:styleId="84">
    <w:name w:val="正文2 Char"/>
    <w:link w:val="85"/>
    <w:autoRedefine/>
    <w:qFormat/>
    <w:uiPriority w:val="0"/>
    <w:rPr>
      <w:rFonts w:ascii="黑体" w:hAnsi="黑体" w:eastAsia="黑体" w:cs="Times New Roman"/>
      <w:b/>
      <w:sz w:val="24"/>
      <w:szCs w:val="24"/>
    </w:rPr>
  </w:style>
  <w:style w:type="paragraph" w:customStyle="1" w:styleId="85">
    <w:name w:val="正文2"/>
    <w:basedOn w:val="1"/>
    <w:link w:val="84"/>
    <w:autoRedefine/>
    <w:qFormat/>
    <w:uiPriority w:val="0"/>
    <w:rPr>
      <w:rFonts w:ascii="黑体" w:hAnsi="黑体" w:eastAsia="黑体"/>
      <w:b/>
      <w:sz w:val="24"/>
    </w:rPr>
  </w:style>
  <w:style w:type="paragraph" w:customStyle="1" w:styleId="86">
    <w:name w:val="Normal_37"/>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87">
    <w:name w:val="p"/>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Normal_33"/>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89">
    <w:name w:val="16"/>
    <w:basedOn w:val="1"/>
    <w:autoRedefine/>
    <w:qFormat/>
    <w:uiPriority w:val="0"/>
    <w:pPr>
      <w:widowControl/>
      <w:snapToGrid w:val="0"/>
      <w:spacing w:before="100" w:beforeAutospacing="1" w:after="100" w:afterAutospacing="1"/>
    </w:pPr>
    <w:rPr>
      <w:rFonts w:hint="eastAsia" w:ascii="宋体" w:hAnsi="宋体"/>
      <w:kern w:val="0"/>
      <w:szCs w:val="20"/>
    </w:rPr>
  </w:style>
  <w:style w:type="paragraph" w:customStyle="1" w:styleId="90">
    <w:name w:val="正文_1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Normal_32"/>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92">
    <w:name w:val="Normal_38"/>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styleId="93">
    <w:name w:val="List Paragraph"/>
    <w:basedOn w:val="1"/>
    <w:autoRedefine/>
    <w:qFormat/>
    <w:uiPriority w:val="1"/>
    <w:pPr>
      <w:ind w:firstLine="420" w:firstLineChars="200"/>
    </w:pPr>
    <w:rPr>
      <w:rFonts w:ascii="Calibri" w:hAnsi="Calibri"/>
    </w:rPr>
  </w:style>
  <w:style w:type="paragraph" w:customStyle="1" w:styleId="94">
    <w:name w:val="p19"/>
    <w:basedOn w:val="1"/>
    <w:autoRedefine/>
    <w:qFormat/>
    <w:uiPriority w:val="0"/>
    <w:pPr>
      <w:widowControl/>
    </w:pPr>
    <w:rPr>
      <w:rFonts w:ascii="Calibri" w:hAnsi="Calibri"/>
      <w:kern w:val="0"/>
      <w:sz w:val="20"/>
      <w:szCs w:val="20"/>
    </w:rPr>
  </w:style>
  <w:style w:type="paragraph" w:customStyle="1" w:styleId="95">
    <w:name w:val="列出段落1"/>
    <w:basedOn w:val="1"/>
    <w:autoRedefine/>
    <w:qFormat/>
    <w:uiPriority w:val="1"/>
    <w:pPr>
      <w:ind w:firstLine="420" w:firstLineChars="200"/>
    </w:pPr>
    <w:rPr>
      <w:rFonts w:ascii="Calibri" w:hAnsi="Calibri"/>
    </w:rPr>
  </w:style>
  <w:style w:type="paragraph" w:customStyle="1" w:styleId="96">
    <w:name w:val="p0"/>
    <w:basedOn w:val="1"/>
    <w:autoRedefine/>
    <w:qFormat/>
    <w:uiPriority w:val="0"/>
    <w:pPr>
      <w:widowControl/>
    </w:pPr>
    <w:rPr>
      <w:rFonts w:ascii="Calibri" w:hAnsi="Calibri"/>
      <w:kern w:val="0"/>
      <w:szCs w:val="21"/>
    </w:rPr>
  </w:style>
  <w:style w:type="paragraph" w:customStyle="1" w:styleId="97">
    <w:name w:val="p17"/>
    <w:basedOn w:val="1"/>
    <w:autoRedefine/>
    <w:qFormat/>
    <w:uiPriority w:val="0"/>
    <w:pPr>
      <w:widowControl/>
      <w:spacing w:line="360" w:lineRule="atLeast"/>
      <w:jc w:val="left"/>
    </w:pPr>
    <w:rPr>
      <w:rFonts w:ascii="宋体" w:hAnsi="宋体" w:cs="宋体"/>
      <w:b/>
      <w:bCs/>
      <w:kern w:val="0"/>
      <w:sz w:val="24"/>
    </w:rPr>
  </w:style>
  <w:style w:type="paragraph" w:customStyle="1" w:styleId="98">
    <w:name w:val="p15"/>
    <w:basedOn w:val="1"/>
    <w:autoRedefine/>
    <w:qFormat/>
    <w:uiPriority w:val="0"/>
    <w:pPr>
      <w:widowControl/>
      <w:ind w:firstLine="420"/>
    </w:pPr>
    <w:rPr>
      <w:rFonts w:ascii="Calibri" w:hAnsi="Calibri"/>
      <w:kern w:val="0"/>
      <w:szCs w:val="21"/>
    </w:rPr>
  </w:style>
  <w:style w:type="paragraph" w:customStyle="1" w:styleId="99">
    <w:name w:val="p18"/>
    <w:basedOn w:val="1"/>
    <w:autoRedefine/>
    <w:qFormat/>
    <w:uiPriority w:val="0"/>
    <w:pPr>
      <w:widowControl/>
      <w:ind w:firstLine="420"/>
    </w:pPr>
    <w:rPr>
      <w:rFonts w:ascii="Calibri" w:hAnsi="Calibri"/>
      <w:kern w:val="0"/>
      <w:szCs w:val="21"/>
    </w:rPr>
  </w:style>
  <w:style w:type="paragraph" w:customStyle="1" w:styleId="100">
    <w:name w:val="Normal_35"/>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01">
    <w:name w:val="Normal_39"/>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02">
    <w:name w:val="p16"/>
    <w:basedOn w:val="1"/>
    <w:autoRedefine/>
    <w:qFormat/>
    <w:uiPriority w:val="0"/>
    <w:pPr>
      <w:widowControl/>
    </w:pPr>
    <w:rPr>
      <w:rFonts w:ascii="Calibri" w:hAnsi="Calibri"/>
      <w:kern w:val="0"/>
      <w:sz w:val="20"/>
      <w:szCs w:val="20"/>
    </w:rPr>
  </w:style>
  <w:style w:type="paragraph" w:customStyle="1" w:styleId="103">
    <w:name w:val="列出段落11"/>
    <w:basedOn w:val="1"/>
    <w:autoRedefine/>
    <w:qFormat/>
    <w:uiPriority w:val="0"/>
    <w:pPr>
      <w:ind w:firstLine="420" w:firstLineChars="200"/>
    </w:pPr>
    <w:rPr>
      <w:rFonts w:ascii="Calibri" w:hAnsi="Calibri"/>
      <w:szCs w:val="22"/>
    </w:rPr>
  </w:style>
  <w:style w:type="paragraph" w:customStyle="1" w:styleId="104">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5">
    <w:name w:val="Normal_31"/>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06">
    <w:name w:val="正文_1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
    <w:name w:val="Normal_34"/>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08">
    <w:name w:val="Normal_36"/>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09">
    <w:name w:val="无间隔1"/>
    <w:basedOn w:val="1"/>
    <w:autoRedefine/>
    <w:qFormat/>
    <w:uiPriority w:val="1"/>
    <w:pPr>
      <w:spacing w:line="400" w:lineRule="exact"/>
    </w:pPr>
    <w:rPr>
      <w:sz w:val="24"/>
    </w:rPr>
  </w:style>
  <w:style w:type="paragraph" w:customStyle="1" w:styleId="110">
    <w:name w:val="!正文"/>
    <w:basedOn w:val="1"/>
    <w:link w:val="158"/>
    <w:autoRedefine/>
    <w:qFormat/>
    <w:uiPriority w:val="0"/>
    <w:pPr>
      <w:adjustRightInd w:val="0"/>
      <w:snapToGrid w:val="0"/>
      <w:spacing w:line="500" w:lineRule="atLeast"/>
      <w:ind w:firstLine="192" w:firstLineChars="192"/>
    </w:pPr>
    <w:rPr>
      <w:rFonts w:ascii="宋体" w:hAnsi="宋体"/>
      <w:kern w:val="0"/>
      <w:sz w:val="28"/>
      <w:szCs w:val="28"/>
    </w:rPr>
  </w:style>
  <w:style w:type="character" w:customStyle="1" w:styleId="111">
    <w:name w:val="标题 5 Char"/>
    <w:basedOn w:val="41"/>
    <w:autoRedefine/>
    <w:semiHidden/>
    <w:qFormat/>
    <w:uiPriority w:val="9"/>
    <w:rPr>
      <w:rFonts w:ascii="Times New Roman" w:hAnsi="Times New Roman" w:eastAsia="宋体" w:cs="Times New Roman"/>
      <w:b/>
      <w:bCs/>
      <w:kern w:val="2"/>
      <w:sz w:val="28"/>
      <w:szCs w:val="28"/>
    </w:rPr>
  </w:style>
  <w:style w:type="character" w:customStyle="1" w:styleId="112">
    <w:name w:val="标题 5 Char1"/>
    <w:link w:val="6"/>
    <w:autoRedefine/>
    <w:qFormat/>
    <w:uiPriority w:val="0"/>
    <w:rPr>
      <w:rFonts w:ascii="Times New Roman" w:hAnsi="Times New Roman" w:eastAsia="宋体" w:cs="Times New Roman"/>
      <w:b/>
      <w:bCs/>
      <w:kern w:val="2"/>
      <w:sz w:val="28"/>
      <w:szCs w:val="28"/>
    </w:rPr>
  </w:style>
  <w:style w:type="character" w:customStyle="1" w:styleId="113">
    <w:name w:val="标题 6 Char"/>
    <w:basedOn w:val="41"/>
    <w:autoRedefine/>
    <w:semiHidden/>
    <w:qFormat/>
    <w:uiPriority w:val="9"/>
    <w:rPr>
      <w:rFonts w:asciiTheme="majorHAnsi" w:hAnsiTheme="majorHAnsi" w:eastAsiaTheme="majorEastAsia" w:cstheme="majorBidi"/>
      <w:b/>
      <w:bCs/>
      <w:kern w:val="2"/>
      <w:sz w:val="24"/>
      <w:szCs w:val="24"/>
    </w:rPr>
  </w:style>
  <w:style w:type="character" w:customStyle="1" w:styleId="114">
    <w:name w:val="标题 7 Char"/>
    <w:basedOn w:val="41"/>
    <w:autoRedefine/>
    <w:semiHidden/>
    <w:qFormat/>
    <w:uiPriority w:val="9"/>
    <w:rPr>
      <w:rFonts w:ascii="Times New Roman" w:hAnsi="Times New Roman" w:eastAsia="宋体" w:cs="Times New Roman"/>
      <w:b/>
      <w:bCs/>
      <w:kern w:val="2"/>
      <w:sz w:val="24"/>
      <w:szCs w:val="24"/>
    </w:rPr>
  </w:style>
  <w:style w:type="character" w:customStyle="1" w:styleId="115">
    <w:name w:val="标题 8 Char"/>
    <w:basedOn w:val="41"/>
    <w:autoRedefine/>
    <w:semiHidden/>
    <w:qFormat/>
    <w:uiPriority w:val="9"/>
    <w:rPr>
      <w:rFonts w:asciiTheme="majorHAnsi" w:hAnsiTheme="majorHAnsi" w:eastAsiaTheme="majorEastAsia" w:cstheme="majorBidi"/>
      <w:kern w:val="2"/>
      <w:sz w:val="24"/>
      <w:szCs w:val="24"/>
    </w:rPr>
  </w:style>
  <w:style w:type="character" w:customStyle="1" w:styleId="116">
    <w:name w:val="标题 9 Char"/>
    <w:basedOn w:val="41"/>
    <w:autoRedefine/>
    <w:semiHidden/>
    <w:qFormat/>
    <w:uiPriority w:val="9"/>
    <w:rPr>
      <w:rFonts w:asciiTheme="majorHAnsi" w:hAnsiTheme="majorHAnsi" w:eastAsiaTheme="majorEastAsia" w:cstheme="majorBidi"/>
      <w:kern w:val="2"/>
      <w:sz w:val="21"/>
      <w:szCs w:val="21"/>
    </w:rPr>
  </w:style>
  <w:style w:type="character" w:customStyle="1" w:styleId="117">
    <w:name w:val="标题 1 字符"/>
    <w:link w:val="2"/>
    <w:autoRedefine/>
    <w:qFormat/>
    <w:uiPriority w:val="9"/>
    <w:rPr>
      <w:rFonts w:ascii="Times New Roman" w:hAnsi="Times New Roman" w:eastAsia="宋体" w:cs="Times New Roman"/>
      <w:b/>
      <w:kern w:val="44"/>
      <w:sz w:val="44"/>
      <w:lang w:val="en-US" w:eastAsia="zh-CN"/>
    </w:rPr>
  </w:style>
  <w:style w:type="character" w:customStyle="1" w:styleId="118">
    <w:name w:val="标题 2 字符"/>
    <w:autoRedefine/>
    <w:qFormat/>
    <w:uiPriority w:val="0"/>
    <w:rPr>
      <w:rFonts w:ascii="Arial" w:hAnsi="Arial" w:eastAsia="黑体" w:cs="Times New Roman"/>
      <w:b/>
      <w:kern w:val="2"/>
      <w:sz w:val="32"/>
      <w:lang w:val="en-US" w:eastAsia="zh-CN"/>
    </w:rPr>
  </w:style>
  <w:style w:type="character" w:customStyle="1" w:styleId="119">
    <w:name w:val="标题 3 字符"/>
    <w:autoRedefine/>
    <w:qFormat/>
    <w:uiPriority w:val="0"/>
    <w:rPr>
      <w:rFonts w:ascii="黑体" w:hAnsi="宋体" w:eastAsia="黑体" w:cs="Times New Roman"/>
      <w:kern w:val="2"/>
      <w:sz w:val="28"/>
      <w:lang w:val="en-US" w:eastAsia="zh-CN"/>
    </w:rPr>
  </w:style>
  <w:style w:type="character" w:customStyle="1" w:styleId="120">
    <w:name w:val="标题 4 字符"/>
    <w:autoRedefine/>
    <w:qFormat/>
    <w:uiPriority w:val="0"/>
    <w:rPr>
      <w:rFonts w:ascii="Arial" w:hAnsi="Arial" w:eastAsia="黑体" w:cs="Times New Roman"/>
      <w:b/>
      <w:kern w:val="2"/>
      <w:sz w:val="28"/>
      <w:lang w:val="en-US" w:eastAsia="zh-CN"/>
    </w:rPr>
  </w:style>
  <w:style w:type="character" w:customStyle="1" w:styleId="121">
    <w:name w:val="标题 5 字符"/>
    <w:autoRedefine/>
    <w:qFormat/>
    <w:uiPriority w:val="0"/>
    <w:rPr>
      <w:rFonts w:ascii="Times New Roman" w:hAnsi="Times New Roman" w:eastAsia="宋体" w:cs="Times New Roman"/>
      <w:b/>
      <w:bCs/>
      <w:kern w:val="2"/>
      <w:sz w:val="28"/>
      <w:szCs w:val="28"/>
    </w:rPr>
  </w:style>
  <w:style w:type="character" w:customStyle="1" w:styleId="122">
    <w:name w:val="标题 6 Char1"/>
    <w:link w:val="7"/>
    <w:autoRedefine/>
    <w:qFormat/>
    <w:uiPriority w:val="0"/>
    <w:rPr>
      <w:rFonts w:ascii="Arial" w:hAnsi="Arial" w:eastAsia="黑体" w:cs="Times New Roman"/>
      <w:b/>
      <w:sz w:val="24"/>
    </w:rPr>
  </w:style>
  <w:style w:type="character" w:customStyle="1" w:styleId="123">
    <w:name w:val="标题 7 Char1"/>
    <w:link w:val="8"/>
    <w:autoRedefine/>
    <w:qFormat/>
    <w:uiPriority w:val="0"/>
    <w:rPr>
      <w:rFonts w:ascii="Times New Roman" w:hAnsi="Times New Roman" w:eastAsia="宋体" w:cs="Times New Roman"/>
      <w:b/>
      <w:sz w:val="24"/>
    </w:rPr>
  </w:style>
  <w:style w:type="character" w:customStyle="1" w:styleId="124">
    <w:name w:val="标题 8 Char1"/>
    <w:link w:val="9"/>
    <w:autoRedefine/>
    <w:qFormat/>
    <w:uiPriority w:val="0"/>
    <w:rPr>
      <w:rFonts w:ascii="Arial" w:hAnsi="Arial" w:eastAsia="黑体" w:cs="Times New Roman"/>
      <w:sz w:val="24"/>
    </w:rPr>
  </w:style>
  <w:style w:type="character" w:customStyle="1" w:styleId="125">
    <w:name w:val="标题 9 Char1"/>
    <w:link w:val="10"/>
    <w:autoRedefine/>
    <w:qFormat/>
    <w:uiPriority w:val="0"/>
    <w:rPr>
      <w:rFonts w:ascii="Arial" w:hAnsi="Arial" w:eastAsia="黑体" w:cs="Times New Roman"/>
      <w:sz w:val="21"/>
    </w:rPr>
  </w:style>
  <w:style w:type="paragraph" w:customStyle="1" w:styleId="126">
    <w:name w:val="_Style 101"/>
    <w:basedOn w:val="1"/>
    <w:next w:val="93"/>
    <w:link w:val="147"/>
    <w:autoRedefine/>
    <w:qFormat/>
    <w:uiPriority w:val="0"/>
    <w:pPr>
      <w:widowControl/>
      <w:wordWrap w:val="0"/>
      <w:topLinePunct/>
      <w:spacing w:line="440" w:lineRule="exact"/>
      <w:ind w:firstLine="420" w:firstLineChars="200"/>
      <w:jc w:val="left"/>
    </w:pPr>
    <w:rPr>
      <w:szCs w:val="20"/>
    </w:rPr>
  </w:style>
  <w:style w:type="character" w:customStyle="1" w:styleId="127">
    <w:name w:val="文档结构图 字符"/>
    <w:autoRedefine/>
    <w:qFormat/>
    <w:uiPriority w:val="99"/>
    <w:rPr>
      <w:rFonts w:ascii="Times New Roman" w:hAnsi="Times New Roman" w:eastAsia="宋体" w:cs="Times New Roman"/>
      <w:kern w:val="2"/>
      <w:sz w:val="21"/>
      <w:lang w:val="en-US" w:eastAsia="zh-CN"/>
    </w:rPr>
  </w:style>
  <w:style w:type="character" w:customStyle="1" w:styleId="128">
    <w:name w:val="批注文字 字符"/>
    <w:autoRedefine/>
    <w:qFormat/>
    <w:uiPriority w:val="0"/>
    <w:rPr>
      <w:rFonts w:ascii="Times New Roman" w:hAnsi="Times New Roman" w:eastAsia="宋体" w:cs="Times New Roman"/>
      <w:kern w:val="2"/>
      <w:sz w:val="21"/>
      <w:lang w:val="en-US" w:eastAsia="zh-CN"/>
    </w:rPr>
  </w:style>
  <w:style w:type="character" w:customStyle="1" w:styleId="129">
    <w:name w:val="正文文本 3 字符"/>
    <w:autoRedefine/>
    <w:qFormat/>
    <w:uiPriority w:val="0"/>
    <w:rPr>
      <w:rFonts w:ascii="宋体" w:hAnsi="Times New Roman"/>
      <w:kern w:val="2"/>
      <w:sz w:val="24"/>
    </w:rPr>
  </w:style>
  <w:style w:type="character" w:customStyle="1" w:styleId="130">
    <w:name w:val="正文文本 字符"/>
    <w:autoRedefine/>
    <w:qFormat/>
    <w:uiPriority w:val="0"/>
    <w:rPr>
      <w:rFonts w:ascii="Times New Roman" w:hAnsi="Times New Roman" w:eastAsia="宋体" w:cs="Times New Roman"/>
      <w:kern w:val="2"/>
      <w:sz w:val="21"/>
      <w:lang w:val="en-US" w:eastAsia="zh-CN"/>
    </w:rPr>
  </w:style>
  <w:style w:type="character" w:customStyle="1" w:styleId="131">
    <w:name w:val="正文文本缩进 Char"/>
    <w:basedOn w:val="41"/>
    <w:autoRedefine/>
    <w:semiHidden/>
    <w:qFormat/>
    <w:uiPriority w:val="99"/>
    <w:rPr>
      <w:rFonts w:ascii="Times New Roman" w:hAnsi="Times New Roman" w:eastAsia="宋体" w:cs="Times New Roman"/>
      <w:kern w:val="2"/>
      <w:sz w:val="21"/>
      <w:szCs w:val="24"/>
    </w:rPr>
  </w:style>
  <w:style w:type="character" w:customStyle="1" w:styleId="132">
    <w:name w:val="正文文本缩进 Char1"/>
    <w:link w:val="17"/>
    <w:autoRedefine/>
    <w:qFormat/>
    <w:uiPriority w:val="0"/>
    <w:rPr>
      <w:rFonts w:ascii="Times New Roman" w:hAnsi="Times New Roman" w:eastAsia="宋体" w:cs="Times New Roman"/>
      <w:kern w:val="2"/>
      <w:sz w:val="21"/>
    </w:rPr>
  </w:style>
  <w:style w:type="character" w:customStyle="1" w:styleId="133">
    <w:name w:val="纯文本 字符"/>
    <w:link w:val="19"/>
    <w:autoRedefine/>
    <w:qFormat/>
    <w:uiPriority w:val="0"/>
    <w:rPr>
      <w:rFonts w:ascii="Times New Roman" w:hAnsi="Times New Roman" w:eastAsia="宋体" w:cs="Times New Roman"/>
      <w:sz w:val="24"/>
      <w:szCs w:val="24"/>
    </w:rPr>
  </w:style>
  <w:style w:type="character" w:customStyle="1" w:styleId="134">
    <w:name w:val="日期 字符"/>
    <w:autoRedefine/>
    <w:qFormat/>
    <w:uiPriority w:val="99"/>
    <w:rPr>
      <w:rFonts w:ascii="Times New Roman" w:hAnsi="Times New Roman"/>
      <w:kern w:val="2"/>
      <w:sz w:val="24"/>
    </w:rPr>
  </w:style>
  <w:style w:type="character" w:customStyle="1" w:styleId="135">
    <w:name w:val="批注框文本 字符"/>
    <w:autoRedefine/>
    <w:qFormat/>
    <w:uiPriority w:val="0"/>
    <w:rPr>
      <w:rFonts w:ascii="Times New Roman" w:hAnsi="Times New Roman"/>
      <w:kern w:val="2"/>
      <w:sz w:val="18"/>
    </w:rPr>
  </w:style>
  <w:style w:type="character" w:customStyle="1" w:styleId="136">
    <w:name w:val="页脚 字符"/>
    <w:autoRedefine/>
    <w:qFormat/>
    <w:uiPriority w:val="99"/>
    <w:rPr>
      <w:rFonts w:ascii="Times New Roman" w:hAnsi="Times New Roman" w:eastAsia="宋体" w:cs="Times New Roman"/>
      <w:kern w:val="2"/>
      <w:sz w:val="18"/>
      <w:lang w:val="en-US" w:eastAsia="zh-CN"/>
    </w:rPr>
  </w:style>
  <w:style w:type="character" w:customStyle="1" w:styleId="137">
    <w:name w:val="页眉 字符"/>
    <w:autoRedefine/>
    <w:qFormat/>
    <w:uiPriority w:val="0"/>
    <w:rPr>
      <w:rFonts w:ascii="Times New Roman" w:hAnsi="Times New Roman" w:eastAsia="宋体" w:cs="Times New Roman"/>
      <w:kern w:val="2"/>
      <w:sz w:val="18"/>
      <w:lang w:val="en-US" w:eastAsia="zh-CN"/>
    </w:rPr>
  </w:style>
  <w:style w:type="character" w:customStyle="1" w:styleId="138">
    <w:name w:val="副标题 Char"/>
    <w:basedOn w:val="41"/>
    <w:autoRedefine/>
    <w:qFormat/>
    <w:uiPriority w:val="11"/>
    <w:rPr>
      <w:rFonts w:eastAsia="宋体" w:asciiTheme="majorHAnsi" w:hAnsiTheme="majorHAnsi" w:cstheme="majorBidi"/>
      <w:b/>
      <w:bCs/>
      <w:kern w:val="28"/>
      <w:sz w:val="32"/>
      <w:szCs w:val="32"/>
    </w:rPr>
  </w:style>
  <w:style w:type="character" w:customStyle="1" w:styleId="139">
    <w:name w:val="副标题 Char1"/>
    <w:link w:val="26"/>
    <w:autoRedefine/>
    <w:qFormat/>
    <w:uiPriority w:val="11"/>
    <w:rPr>
      <w:rFonts w:ascii="Cambria" w:hAnsi="Cambria" w:eastAsia="宋体" w:cs="Times New Roman"/>
      <w:b/>
      <w:bCs/>
      <w:kern w:val="28"/>
      <w:sz w:val="32"/>
      <w:szCs w:val="32"/>
    </w:rPr>
  </w:style>
  <w:style w:type="character" w:customStyle="1" w:styleId="140">
    <w:name w:val="正文文本缩进 3 Char"/>
    <w:basedOn w:val="41"/>
    <w:autoRedefine/>
    <w:semiHidden/>
    <w:qFormat/>
    <w:uiPriority w:val="99"/>
    <w:rPr>
      <w:rFonts w:ascii="Times New Roman" w:hAnsi="Times New Roman" w:eastAsia="宋体" w:cs="Times New Roman"/>
      <w:kern w:val="2"/>
      <w:sz w:val="16"/>
      <w:szCs w:val="16"/>
    </w:rPr>
  </w:style>
  <w:style w:type="character" w:customStyle="1" w:styleId="141">
    <w:name w:val="正文文本缩进 3 Char1"/>
    <w:link w:val="28"/>
    <w:autoRedefine/>
    <w:qFormat/>
    <w:uiPriority w:val="0"/>
    <w:rPr>
      <w:rFonts w:ascii="Times New Roman" w:hAnsi="Times New Roman" w:eastAsia="宋体" w:cs="Times New Roman"/>
      <w:kern w:val="2"/>
      <w:sz w:val="16"/>
    </w:rPr>
  </w:style>
  <w:style w:type="character" w:customStyle="1" w:styleId="142">
    <w:name w:val="HTML 预设格式 Char"/>
    <w:link w:val="31"/>
    <w:autoRedefine/>
    <w:qFormat/>
    <w:uiPriority w:val="0"/>
    <w:rPr>
      <w:rFonts w:ascii="宋体" w:hAnsi="宋体" w:eastAsia="宋体" w:cs="宋体"/>
      <w:sz w:val="24"/>
      <w:szCs w:val="24"/>
    </w:rPr>
  </w:style>
  <w:style w:type="character" w:customStyle="1" w:styleId="143">
    <w:name w:val="普通(网站) Char"/>
    <w:link w:val="32"/>
    <w:autoRedefine/>
    <w:qFormat/>
    <w:locked/>
    <w:uiPriority w:val="0"/>
    <w:rPr>
      <w:rFonts w:ascii="宋体" w:hAnsi="宋体" w:eastAsia="宋体" w:cs="宋体"/>
      <w:sz w:val="24"/>
      <w:szCs w:val="24"/>
    </w:rPr>
  </w:style>
  <w:style w:type="character" w:customStyle="1" w:styleId="144">
    <w:name w:val="标题 Char"/>
    <w:basedOn w:val="41"/>
    <w:autoRedefine/>
    <w:qFormat/>
    <w:uiPriority w:val="10"/>
    <w:rPr>
      <w:rFonts w:eastAsia="宋体" w:asciiTheme="majorHAnsi" w:hAnsiTheme="majorHAnsi" w:cstheme="majorBidi"/>
      <w:b/>
      <w:bCs/>
      <w:kern w:val="2"/>
      <w:sz w:val="32"/>
      <w:szCs w:val="32"/>
    </w:rPr>
  </w:style>
  <w:style w:type="character" w:customStyle="1" w:styleId="145">
    <w:name w:val="标题 Char1"/>
    <w:link w:val="34"/>
    <w:autoRedefine/>
    <w:qFormat/>
    <w:uiPriority w:val="0"/>
    <w:rPr>
      <w:rFonts w:ascii="Arial" w:hAnsi="Arial" w:eastAsia="宋体" w:cs="Times New Roman"/>
      <w:b/>
      <w:sz w:val="32"/>
    </w:rPr>
  </w:style>
  <w:style w:type="character" w:customStyle="1" w:styleId="146">
    <w:name w:val="批注主题 字符"/>
    <w:autoRedefine/>
    <w:qFormat/>
    <w:uiPriority w:val="0"/>
    <w:rPr>
      <w:rFonts w:ascii="Times New Roman" w:hAnsi="Times New Roman" w:eastAsia="宋体" w:cs="Times New Roman"/>
      <w:b/>
      <w:kern w:val="2"/>
      <w:sz w:val="21"/>
      <w:lang w:val="en-US" w:eastAsia="zh-CN"/>
    </w:rPr>
  </w:style>
  <w:style w:type="character" w:customStyle="1" w:styleId="147">
    <w:name w:val="正文文本首行缩进 字符"/>
    <w:link w:val="126"/>
    <w:autoRedefine/>
    <w:qFormat/>
    <w:uiPriority w:val="0"/>
    <w:rPr>
      <w:rFonts w:ascii="Times New Roman" w:hAnsi="Times New Roman" w:eastAsia="宋体" w:cs="Times New Roman"/>
      <w:kern w:val="2"/>
      <w:sz w:val="21"/>
    </w:rPr>
  </w:style>
  <w:style w:type="table" w:customStyle="1" w:styleId="148">
    <w:name w:val="网格型1"/>
    <w:basedOn w:val="38"/>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49">
    <w:name w:val="纯文本 Char1"/>
    <w:autoRedefine/>
    <w:qFormat/>
    <w:uiPriority w:val="99"/>
    <w:rPr>
      <w:rFonts w:ascii="宋体" w:hAnsi="Courier New" w:eastAsia="宋体" w:cs="Courier New"/>
      <w:kern w:val="2"/>
      <w:sz w:val="21"/>
      <w:szCs w:val="21"/>
    </w:rPr>
  </w:style>
  <w:style w:type="character" w:customStyle="1" w:styleId="150">
    <w:name w:val="正文首行缩进 Char1"/>
    <w:autoRedefine/>
    <w:semiHidden/>
    <w:qFormat/>
    <w:uiPriority w:val="99"/>
  </w:style>
  <w:style w:type="character" w:customStyle="1" w:styleId="151">
    <w:name w:val="样式 标书正文 + 下划线 Char"/>
    <w:autoRedefine/>
    <w:qFormat/>
    <w:uiPriority w:val="0"/>
    <w:rPr>
      <w:rFonts w:ascii="Times New Roman" w:hAnsi="Times New Roman" w:eastAsia="楷体_GB2312" w:cs="Times New Roman"/>
      <w:kern w:val="2"/>
      <w:sz w:val="28"/>
      <w:szCs w:val="28"/>
      <w:u w:val="single"/>
      <w:lang w:val="en-US" w:eastAsia="zh-CN" w:bidi="ar-SA"/>
    </w:rPr>
  </w:style>
  <w:style w:type="character" w:customStyle="1" w:styleId="152">
    <w:name w:val="批注主题 Char1"/>
    <w:autoRedefine/>
    <w:semiHidden/>
    <w:qFormat/>
    <w:uiPriority w:val="99"/>
    <w:rPr>
      <w:rFonts w:ascii="Calibri" w:hAnsi="Calibri" w:eastAsia="宋体" w:cs="Times New Roman"/>
      <w:b/>
      <w:bCs/>
      <w:szCs w:val="20"/>
    </w:rPr>
  </w:style>
  <w:style w:type="character" w:customStyle="1" w:styleId="153">
    <w:name w:val="文档结构图 Char1"/>
    <w:autoRedefine/>
    <w:semiHidden/>
    <w:qFormat/>
    <w:uiPriority w:val="99"/>
    <w:rPr>
      <w:rFonts w:ascii="宋体" w:hAnsi="Calibri" w:eastAsia="宋体" w:cs="Times New Roman"/>
      <w:sz w:val="18"/>
      <w:szCs w:val="18"/>
    </w:rPr>
  </w:style>
  <w:style w:type="character" w:customStyle="1" w:styleId="154">
    <w:name w:val="批注文字 Char1"/>
    <w:autoRedefine/>
    <w:qFormat/>
    <w:uiPriority w:val="0"/>
    <w:rPr>
      <w:rFonts w:ascii="Times New Roman" w:hAnsi="Times New Roman" w:eastAsia="宋体" w:cs="Times New Roman"/>
      <w:szCs w:val="20"/>
    </w:rPr>
  </w:style>
  <w:style w:type="character" w:customStyle="1" w:styleId="155">
    <w:name w:val="标准 Char Char"/>
    <w:autoRedefine/>
    <w:qFormat/>
    <w:uiPriority w:val="0"/>
    <w:rPr>
      <w:rFonts w:ascii="Arial" w:hAnsi="Arial" w:eastAsia="宋体" w:cs="Times New Roman"/>
      <w:kern w:val="2"/>
      <w:sz w:val="24"/>
      <w:lang w:val="en-US" w:eastAsia="zh-CN"/>
    </w:rPr>
  </w:style>
  <w:style w:type="character" w:customStyle="1" w:styleId="156">
    <w:name w:val="正文文本 Char1"/>
    <w:autoRedefine/>
    <w:semiHidden/>
    <w:qFormat/>
    <w:uiPriority w:val="99"/>
    <w:rPr>
      <w:rFonts w:ascii="Calibri" w:hAnsi="Calibri" w:eastAsia="宋体" w:cs="Times New Roman"/>
      <w:szCs w:val="20"/>
    </w:rPr>
  </w:style>
  <w:style w:type="character" w:customStyle="1" w:styleId="157">
    <w:name w:val="t"/>
    <w:autoRedefine/>
    <w:qFormat/>
    <w:uiPriority w:val="0"/>
    <w:rPr>
      <w:rFonts w:ascii="Times New Roman" w:hAnsi="Times New Roman" w:eastAsia="宋体" w:cs="Times New Roman"/>
    </w:rPr>
  </w:style>
  <w:style w:type="character" w:customStyle="1" w:styleId="158">
    <w:name w:val="!正文 Char"/>
    <w:link w:val="110"/>
    <w:autoRedefine/>
    <w:qFormat/>
    <w:uiPriority w:val="0"/>
    <w:rPr>
      <w:rFonts w:ascii="宋体" w:hAnsi="宋体" w:eastAsia="宋体" w:cs="Times New Roman"/>
      <w:sz w:val="28"/>
      <w:szCs w:val="28"/>
    </w:rPr>
  </w:style>
  <w:style w:type="character" w:customStyle="1" w:styleId="159">
    <w:name w:val="font161"/>
    <w:autoRedefine/>
    <w:qFormat/>
    <w:uiPriority w:val="0"/>
    <w:rPr>
      <w:rFonts w:ascii="Times New Roman" w:hAnsi="Times New Roman" w:eastAsia="宋体" w:cs="Times New Roman"/>
      <w:b/>
      <w:sz w:val="32"/>
    </w:rPr>
  </w:style>
  <w:style w:type="character" w:customStyle="1" w:styleId="160">
    <w:name w:val="tdrownotice1"/>
    <w:autoRedefine/>
    <w:qFormat/>
    <w:uiPriority w:val="0"/>
    <w:rPr>
      <w:sz w:val="22"/>
      <w:szCs w:val="22"/>
    </w:rPr>
  </w:style>
  <w:style w:type="character" w:customStyle="1" w:styleId="161">
    <w:name w:val="标题 2 Char1"/>
    <w:autoRedefine/>
    <w:qFormat/>
    <w:uiPriority w:val="0"/>
    <w:rPr>
      <w:rFonts w:ascii="Arial" w:hAnsi="Arial" w:eastAsia="黑体" w:cs="Times New Roman"/>
      <w:b/>
      <w:sz w:val="32"/>
      <w:szCs w:val="20"/>
    </w:rPr>
  </w:style>
  <w:style w:type="character" w:customStyle="1" w:styleId="162">
    <w:name w:val="批注文字 Char3"/>
    <w:autoRedefine/>
    <w:semiHidden/>
    <w:qFormat/>
    <w:uiPriority w:val="99"/>
    <w:rPr>
      <w:rFonts w:ascii="Calibri" w:hAnsi="Calibri" w:eastAsia="宋体" w:cs="Times New Roman"/>
      <w:szCs w:val="20"/>
    </w:rPr>
  </w:style>
  <w:style w:type="character" w:customStyle="1" w:styleId="163">
    <w:name w:val="纯文本 Char3"/>
    <w:autoRedefine/>
    <w:semiHidden/>
    <w:qFormat/>
    <w:uiPriority w:val="99"/>
    <w:rPr>
      <w:rFonts w:ascii="宋体" w:hAnsi="Courier New" w:eastAsia="宋体" w:cs="Courier New"/>
      <w:szCs w:val="21"/>
    </w:rPr>
  </w:style>
  <w:style w:type="character" w:customStyle="1" w:styleId="164">
    <w:name w:val="无间隔 Char"/>
    <w:link w:val="165"/>
    <w:autoRedefine/>
    <w:qFormat/>
    <w:uiPriority w:val="1"/>
    <w:rPr>
      <w:sz w:val="22"/>
    </w:rPr>
  </w:style>
  <w:style w:type="paragraph" w:styleId="165">
    <w:name w:val="No Spacing"/>
    <w:link w:val="164"/>
    <w:autoRedefine/>
    <w:qFormat/>
    <w:uiPriority w:val="1"/>
    <w:rPr>
      <w:rFonts w:asciiTheme="minorHAnsi" w:hAnsiTheme="minorHAnsi" w:eastAsiaTheme="minorEastAsia" w:cstheme="minorBidi"/>
      <w:sz w:val="22"/>
      <w:lang w:val="en-US" w:eastAsia="zh-CN" w:bidi="ar-SA"/>
    </w:rPr>
  </w:style>
  <w:style w:type="paragraph" w:customStyle="1" w:styleId="166">
    <w:name w:val="Char"/>
    <w:basedOn w:val="1"/>
    <w:autoRedefine/>
    <w:qFormat/>
    <w:uiPriority w:val="99"/>
    <w:pPr>
      <w:tabs>
        <w:tab w:val="left" w:pos="360"/>
      </w:tabs>
    </w:pPr>
    <w:rPr>
      <w:sz w:val="24"/>
      <w:szCs w:val="20"/>
    </w:rPr>
  </w:style>
  <w:style w:type="paragraph" w:customStyle="1" w:styleId="167">
    <w:name w:val="Char1"/>
    <w:basedOn w:val="1"/>
    <w:autoRedefine/>
    <w:qFormat/>
    <w:uiPriority w:val="0"/>
    <w:pPr>
      <w:tabs>
        <w:tab w:val="left" w:pos="360"/>
      </w:tabs>
    </w:pPr>
    <w:rPr>
      <w:sz w:val="24"/>
      <w:szCs w:val="20"/>
    </w:rPr>
  </w:style>
  <w:style w:type="paragraph" w:customStyle="1" w:styleId="168">
    <w:name w:val="列出段落2"/>
    <w:basedOn w:val="1"/>
    <w:autoRedefine/>
    <w:qFormat/>
    <w:uiPriority w:val="1"/>
    <w:pPr>
      <w:ind w:left="151"/>
    </w:pPr>
    <w:rPr>
      <w:szCs w:val="20"/>
    </w:rPr>
  </w:style>
  <w:style w:type="paragraph" w:customStyle="1" w:styleId="169">
    <w:name w:val="正文 New New New New New New"/>
    <w:autoRedefine/>
    <w:qFormat/>
    <w:uiPriority w:val="0"/>
    <w:pPr>
      <w:widowControl w:val="0"/>
      <w:jc w:val="both"/>
    </w:pPr>
    <w:rPr>
      <w:rFonts w:ascii="Times New Roman" w:hAnsi="Times New Roman" w:eastAsia="宋体" w:cs="Times New Roman"/>
      <w:lang w:val="en-US" w:eastAsia="zh-CN" w:bidi="ar-SA"/>
    </w:rPr>
  </w:style>
  <w:style w:type="paragraph" w:customStyle="1" w:styleId="170">
    <w:name w:val="WPSOffice手动目录 1"/>
    <w:autoRedefine/>
    <w:qFormat/>
    <w:uiPriority w:val="0"/>
    <w:rPr>
      <w:rFonts w:ascii="Times New Roman" w:hAnsi="Times New Roman" w:eastAsia="宋体" w:cs="Arial"/>
      <w:lang w:val="en-US" w:eastAsia="zh-CN" w:bidi="ar-SA"/>
    </w:rPr>
  </w:style>
  <w:style w:type="paragraph" w:customStyle="1" w:styleId="171">
    <w:name w:val="表格文字"/>
    <w:basedOn w:val="1"/>
    <w:autoRedefine/>
    <w:qFormat/>
    <w:uiPriority w:val="0"/>
    <w:pPr>
      <w:adjustRightInd w:val="0"/>
      <w:spacing w:line="420" w:lineRule="atLeast"/>
      <w:jc w:val="left"/>
      <w:textAlignment w:val="baseline"/>
    </w:pPr>
    <w:rPr>
      <w:kern w:val="0"/>
      <w:szCs w:val="20"/>
    </w:rPr>
  </w:style>
  <w:style w:type="paragraph" w:customStyle="1" w:styleId="172">
    <w:name w:val="标题 21"/>
    <w:basedOn w:val="1"/>
    <w:autoRedefine/>
    <w:qFormat/>
    <w:uiPriority w:val="1"/>
    <w:pPr>
      <w:spacing w:line="269" w:lineRule="exact"/>
      <w:ind w:left="628" w:hanging="477"/>
      <w:outlineLvl w:val="2"/>
    </w:pPr>
    <w:rPr>
      <w:b/>
      <w:bCs/>
      <w:szCs w:val="21"/>
    </w:rPr>
  </w:style>
  <w:style w:type="paragraph" w:customStyle="1" w:styleId="173">
    <w:name w:val="样式 标题 1 + 黑体 三号 非加粗 居中 段前: 6 磅 段后: 6 磅 行距: 固定值 20 磅"/>
    <w:basedOn w:val="2"/>
    <w:autoRedefine/>
    <w:qFormat/>
    <w:uiPriority w:val="0"/>
    <w:pPr>
      <w:keepNext/>
      <w:keepLines/>
      <w:spacing w:before="120" w:after="120" w:line="400" w:lineRule="exact"/>
    </w:pPr>
    <w:rPr>
      <w:rFonts w:ascii="黑体" w:hAnsi="黑体"/>
      <w:b w:val="0"/>
      <w:kern w:val="44"/>
      <w:sz w:val="32"/>
      <w:szCs w:val="20"/>
    </w:rPr>
  </w:style>
  <w:style w:type="paragraph" w:customStyle="1" w:styleId="174">
    <w:name w:val="reader-word-layer reader-word-s6-13"/>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75">
    <w:name w:val="reader-word-layer reader-word-s7-2"/>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76">
    <w:name w:val="reader-word-layer reader-word-s6-8"/>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77">
    <w:name w:val="Table Paragraph"/>
    <w:basedOn w:val="1"/>
    <w:autoRedefine/>
    <w:qFormat/>
    <w:uiPriority w:val="99"/>
    <w:rPr>
      <w:rFonts w:ascii="宋体" w:hAnsi="宋体"/>
      <w:szCs w:val="20"/>
    </w:rPr>
  </w:style>
  <w:style w:type="paragraph" w:customStyle="1" w:styleId="178">
    <w:name w:val="TOC 标题1"/>
    <w:basedOn w:val="2"/>
    <w:next w:val="1"/>
    <w:autoRedefine/>
    <w:qFormat/>
    <w:uiPriority w:val="39"/>
    <w:pPr>
      <w:keepNext/>
      <w:widowControl/>
      <w:wordWrap w:val="0"/>
      <w:topLinePunct/>
      <w:spacing w:before="480" w:line="276" w:lineRule="auto"/>
      <w:ind w:firstLine="200" w:firstLineChars="200"/>
      <w:jc w:val="left"/>
      <w:outlineLvl w:val="9"/>
    </w:pPr>
    <w:rPr>
      <w:rFonts w:ascii="Cambria" w:hAnsi="Cambria" w:eastAsia="宋体"/>
      <w:bCs/>
      <w:color w:val="365F91"/>
      <w:kern w:val="0"/>
      <w:sz w:val="28"/>
      <w:szCs w:val="28"/>
    </w:rPr>
  </w:style>
  <w:style w:type="paragraph" w:customStyle="1" w:styleId="179">
    <w:name w:val="reader-word-layer reader-word-s6-7"/>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80">
    <w:name w:val="1"/>
    <w:basedOn w:val="1"/>
    <w:autoRedefine/>
    <w:qFormat/>
    <w:uiPriority w:val="0"/>
    <w:rPr>
      <w:szCs w:val="20"/>
    </w:rPr>
  </w:style>
  <w:style w:type="paragraph" w:customStyle="1" w:styleId="181">
    <w:name w:val="Char Char Char Char Char Char Char"/>
    <w:basedOn w:val="1"/>
    <w:autoRedefine/>
    <w:qFormat/>
    <w:uiPriority w:val="0"/>
    <w:pPr>
      <w:adjustRightInd w:val="0"/>
      <w:spacing w:line="360" w:lineRule="auto"/>
    </w:pPr>
    <w:rPr>
      <w:kern w:val="0"/>
      <w:sz w:val="24"/>
    </w:rPr>
  </w:style>
  <w:style w:type="paragraph" w:customStyle="1" w:styleId="182">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83">
    <w:name w:val="修订1"/>
    <w:autoRedefine/>
    <w:qFormat/>
    <w:uiPriority w:val="0"/>
    <w:rPr>
      <w:rFonts w:ascii="Times New Roman" w:hAnsi="Times New Roman" w:eastAsia="宋体" w:cs="Times New Roman"/>
      <w:kern w:val="2"/>
      <w:sz w:val="21"/>
      <w:lang w:val="en-US" w:eastAsia="zh-CN" w:bidi="ar-SA"/>
    </w:rPr>
  </w:style>
  <w:style w:type="paragraph" w:customStyle="1" w:styleId="184">
    <w:name w:val="样式2"/>
    <w:basedOn w:val="4"/>
    <w:autoRedefine/>
    <w:qFormat/>
    <w:uiPriority w:val="0"/>
    <w:pPr>
      <w:spacing w:line="413" w:lineRule="auto"/>
      <w:ind w:firstLine="137" w:firstLineChars="49"/>
    </w:pPr>
    <w:rPr>
      <w:rFonts w:ascii="Times New Roman" w:hAnsi="Times New Roman"/>
      <w:b w:val="0"/>
      <w:bCs w:val="0"/>
      <w:i/>
      <w:sz w:val="28"/>
      <w:szCs w:val="20"/>
    </w:rPr>
  </w:style>
  <w:style w:type="paragraph" w:customStyle="1" w:styleId="185">
    <w:name w:val="样式"/>
    <w:autoRedefine/>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186">
    <w:name w:val="样式 标题 2 + Times New Roman 四号 非加粗 段前: 5 磅 段后: 0 磅 行距: 固定值 20..."/>
    <w:basedOn w:val="3"/>
    <w:autoRedefine/>
    <w:qFormat/>
    <w:uiPriority w:val="0"/>
    <w:pPr>
      <w:keepNext/>
      <w:keepLines/>
      <w:spacing w:before="100" w:line="400" w:lineRule="exact"/>
      <w:jc w:val="both"/>
    </w:pPr>
    <w:rPr>
      <w:rFonts w:eastAsia="宋体"/>
      <w:b w:val="0"/>
      <w:sz w:val="28"/>
      <w:szCs w:val="20"/>
    </w:rPr>
  </w:style>
  <w:style w:type="paragraph" w:customStyle="1" w:styleId="187">
    <w:name w:val="样式 标题 3 + (中文) 黑体 小四 非加粗 段前: 7.8 磅 段后: 0 磅 行距: 固定值 20 磅"/>
    <w:basedOn w:val="4"/>
    <w:autoRedefine/>
    <w:qFormat/>
    <w:uiPriority w:val="0"/>
    <w:pPr>
      <w:spacing w:before="0" w:after="0" w:line="400" w:lineRule="exact"/>
      <w:ind w:firstLine="137" w:firstLineChars="49"/>
    </w:pPr>
    <w:rPr>
      <w:rFonts w:ascii="Times New Roman" w:hAnsi="Times New Roman" w:eastAsia="黑体"/>
      <w:b w:val="0"/>
      <w:bCs w:val="0"/>
      <w:sz w:val="24"/>
      <w:szCs w:val="20"/>
    </w:rPr>
  </w:style>
  <w:style w:type="paragraph" w:customStyle="1" w:styleId="188">
    <w:name w:val="表格"/>
    <w:basedOn w:val="1"/>
    <w:autoRedefine/>
    <w:qFormat/>
    <w:uiPriority w:val="0"/>
    <w:pPr>
      <w:jc w:val="center"/>
      <w:textAlignment w:val="center"/>
    </w:pPr>
    <w:rPr>
      <w:rFonts w:ascii="华文细黑" w:hAnsi="华文细黑"/>
      <w:kern w:val="0"/>
      <w:szCs w:val="20"/>
    </w:rPr>
  </w:style>
  <w:style w:type="paragraph" w:customStyle="1" w:styleId="189">
    <w:name w:val="正文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90">
    <w:name w:val="Default Char"/>
    <w:link w:val="57"/>
    <w:autoRedefine/>
    <w:qFormat/>
    <w:uiPriority w:val="0"/>
    <w:rPr>
      <w:rFonts w:ascii="宋体" w:hAnsi="Times New Roman" w:eastAsia="宋体" w:cs="宋体"/>
      <w:color w:val="000000"/>
      <w:sz w:val="24"/>
      <w:szCs w:val="24"/>
    </w:rPr>
  </w:style>
  <w:style w:type="paragraph" w:customStyle="1" w:styleId="191">
    <w:name w:val="reader-word-layer reader-word-s6-12"/>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2">
    <w:name w:val="cjk"/>
    <w:basedOn w:val="1"/>
    <w:autoRedefine/>
    <w:qFormat/>
    <w:uiPriority w:val="0"/>
    <w:pPr>
      <w:widowControl/>
      <w:spacing w:line="480" w:lineRule="auto"/>
      <w:jc w:val="left"/>
    </w:pPr>
    <w:rPr>
      <w:rFonts w:ascii="宋体" w:hAnsi="宋体"/>
      <w:kern w:val="0"/>
      <w:sz w:val="24"/>
      <w:szCs w:val="20"/>
    </w:rPr>
  </w:style>
  <w:style w:type="paragraph" w:customStyle="1" w:styleId="193">
    <w:name w:val="reader-word-layer reader-word-s6-3"/>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4">
    <w:name w:val="样式1"/>
    <w:basedOn w:val="1"/>
    <w:next w:val="5"/>
    <w:autoRedefine/>
    <w:qFormat/>
    <w:uiPriority w:val="0"/>
    <w:pPr>
      <w:spacing w:line="360" w:lineRule="auto"/>
      <w:ind w:firstLine="420" w:firstLineChars="200"/>
    </w:pPr>
    <w:rPr>
      <w:rFonts w:ascii="宋体" w:hAnsi="宋体"/>
      <w:szCs w:val="20"/>
    </w:rPr>
  </w:style>
  <w:style w:type="paragraph" w:customStyle="1" w:styleId="195">
    <w:name w:val="xl24"/>
    <w:basedOn w:val="1"/>
    <w:autoRedefine/>
    <w:qFormat/>
    <w:uiPriority w:val="0"/>
    <w:pPr>
      <w:widowControl/>
      <w:spacing w:before="100" w:beforeAutospacing="1" w:after="100" w:afterAutospacing="1"/>
      <w:jc w:val="center"/>
      <w:textAlignment w:val="center"/>
    </w:pPr>
    <w:rPr>
      <w:rFonts w:ascii="宋体" w:hAnsi="宋体"/>
      <w:kern w:val="0"/>
      <w:sz w:val="24"/>
      <w:szCs w:val="20"/>
    </w:rPr>
  </w:style>
  <w:style w:type="paragraph" w:customStyle="1" w:styleId="196">
    <w:name w:val="reader-word-layer reader-word-s6-10"/>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7">
    <w:name w:val="reader-word-layer reader-word-s7-5"/>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8">
    <w:name w:val="reader-word-layer reader-word-s6-14"/>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9">
    <w:name w:val="WPSOffice手动目录 2"/>
    <w:autoRedefine/>
    <w:qFormat/>
    <w:uiPriority w:val="0"/>
    <w:pPr>
      <w:ind w:left="200" w:leftChars="200"/>
    </w:pPr>
    <w:rPr>
      <w:rFonts w:ascii="Times New Roman" w:hAnsi="Times New Roman" w:eastAsia="宋体" w:cs="Arial"/>
      <w:lang w:val="en-US" w:eastAsia="zh-CN" w:bidi="ar-SA"/>
    </w:rPr>
  </w:style>
  <w:style w:type="table" w:customStyle="1" w:styleId="200">
    <w:name w:val="网格型11"/>
    <w:basedOn w:val="38"/>
    <w:autoRedefine/>
    <w:qFormat/>
    <w:uiPriority w:val="99"/>
    <w:rPr>
      <w:rFonts w:ascii="Calibri" w:hAnsi="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 w:type="character" w:customStyle="1" w:styleId="201">
    <w:name w:val="Default Char Char"/>
    <w:autoRedefine/>
    <w:qFormat/>
    <w:uiPriority w:val="0"/>
    <w:rPr>
      <w:rFonts w:ascii="宋体"/>
      <w:color w:val="000000"/>
      <w:sz w:val="24"/>
      <w:lang w:bidi="ar-SA"/>
    </w:rPr>
  </w:style>
  <w:style w:type="character" w:customStyle="1" w:styleId="202">
    <w:name w:val="标题 3 Char1"/>
    <w:autoRedefine/>
    <w:qFormat/>
    <w:uiPriority w:val="0"/>
    <w:rPr>
      <w:rFonts w:eastAsia="黑体"/>
      <w:b/>
      <w:kern w:val="2"/>
      <w:sz w:val="24"/>
      <w:szCs w:val="24"/>
      <w:lang w:val="en-US" w:eastAsia="zh-CN" w:bidi="ar-SA"/>
    </w:rPr>
  </w:style>
  <w:style w:type="character" w:customStyle="1" w:styleId="203">
    <w:name w:val="标书正文 Char"/>
    <w:autoRedefine/>
    <w:qFormat/>
    <w:uiPriority w:val="0"/>
    <w:rPr>
      <w:rFonts w:ascii="Times New Roman" w:hAnsi="Times New Roman" w:eastAsia="宋体" w:cs="Times New Roman"/>
      <w:b/>
      <w:kern w:val="2"/>
      <w:sz w:val="28"/>
      <w:szCs w:val="28"/>
      <w:lang w:val="en-US" w:eastAsia="zh-CN" w:bidi="ar-SA"/>
    </w:rPr>
  </w:style>
  <w:style w:type="character" w:customStyle="1" w:styleId="204">
    <w:name w:val="不明显强调1"/>
    <w:autoRedefine/>
    <w:qFormat/>
    <w:uiPriority w:val="19"/>
    <w:rPr>
      <w:rFonts w:ascii="Times New Roman" w:hAnsi="Times New Roman" w:eastAsia="宋体" w:cs="Times New Roman"/>
      <w:i/>
      <w:iCs/>
      <w:color w:val="404040"/>
    </w:rPr>
  </w:style>
  <w:style w:type="paragraph" w:customStyle="1" w:styleId="205">
    <w:name w:val="修订2"/>
    <w:autoRedefine/>
    <w:semiHidden/>
    <w:qFormat/>
    <w:uiPriority w:val="99"/>
    <w:rPr>
      <w:rFonts w:ascii="Times New Roman" w:hAnsi="Times New Roman" w:eastAsia="宋体" w:cs="Times New Roman"/>
      <w:kern w:val="2"/>
      <w:sz w:val="21"/>
      <w:szCs w:val="24"/>
      <w:lang w:val="en-US" w:eastAsia="zh-CN" w:bidi="ar-SA"/>
    </w:rPr>
  </w:style>
  <w:style w:type="character" w:customStyle="1" w:styleId="206">
    <w:name w:val="hover1"/>
    <w:autoRedefine/>
    <w:qFormat/>
    <w:uiPriority w:val="0"/>
    <w:rPr>
      <w:color w:val="2590EB"/>
    </w:rPr>
  </w:style>
  <w:style w:type="character" w:customStyle="1" w:styleId="207">
    <w:name w:val="hover2"/>
    <w:autoRedefine/>
    <w:qFormat/>
    <w:uiPriority w:val="0"/>
    <w:rPr>
      <w:color w:val="2590EB"/>
      <w:shd w:val="clear" w:color="auto" w:fill="E9F4FD"/>
    </w:rPr>
  </w:style>
  <w:style w:type="character" w:customStyle="1" w:styleId="208">
    <w:name w:val="hover3"/>
    <w:autoRedefine/>
    <w:qFormat/>
    <w:uiPriority w:val="0"/>
    <w:rPr>
      <w:color w:val="2590EB"/>
    </w:rPr>
  </w:style>
  <w:style w:type="character" w:customStyle="1" w:styleId="209">
    <w:name w:val="hover4"/>
    <w:autoRedefine/>
    <w:qFormat/>
    <w:uiPriority w:val="0"/>
  </w:style>
  <w:style w:type="character" w:customStyle="1" w:styleId="210">
    <w:name w:val="hover"/>
    <w:autoRedefine/>
    <w:qFormat/>
    <w:uiPriority w:val="0"/>
  </w:style>
  <w:style w:type="paragraph" w:customStyle="1" w:styleId="211">
    <w:name w:val="标题3-1"/>
    <w:basedOn w:val="4"/>
    <w:autoRedefine/>
    <w:qFormat/>
    <w:uiPriority w:val="0"/>
    <w:pPr>
      <w:spacing w:line="413" w:lineRule="auto"/>
    </w:pPr>
    <w:rPr>
      <w:rFonts w:ascii="Times New Roman" w:hAnsi="Times New Roman"/>
      <w:bCs w:val="0"/>
      <w:sz w:val="24"/>
      <w:szCs w:val="20"/>
    </w:rPr>
  </w:style>
  <w:style w:type="character" w:customStyle="1" w:styleId="212">
    <w:name w:val="ca-2"/>
    <w:autoRedefine/>
    <w:qFormat/>
    <w:uiPriority w:val="0"/>
  </w:style>
  <w:style w:type="character" w:customStyle="1" w:styleId="213">
    <w:name w:val="p12"/>
    <w:autoRedefine/>
    <w:qFormat/>
    <w:uiPriority w:val="0"/>
  </w:style>
  <w:style w:type="character" w:customStyle="1" w:styleId="214">
    <w:name w:val="NormalCharacter"/>
    <w:autoRedefine/>
    <w:qFormat/>
    <w:uiPriority w:val="0"/>
  </w:style>
  <w:style w:type="character" w:customStyle="1" w:styleId="215">
    <w:name w:val="exap"/>
    <w:basedOn w:val="41"/>
    <w:autoRedefine/>
    <w:qFormat/>
    <w:uiPriority w:val="0"/>
    <w:rPr>
      <w:sz w:val="27"/>
      <w:szCs w:val="27"/>
    </w:rPr>
  </w:style>
  <w:style w:type="character" w:customStyle="1" w:styleId="216">
    <w:name w:val="a_p_1"/>
    <w:basedOn w:val="41"/>
    <w:autoRedefine/>
    <w:qFormat/>
    <w:uiPriority w:val="0"/>
    <w:rPr>
      <w:sz w:val="27"/>
      <w:szCs w:val="27"/>
    </w:rPr>
  </w:style>
  <w:style w:type="character" w:customStyle="1" w:styleId="217">
    <w:name w:val="nth-child(3)"/>
    <w:basedOn w:val="41"/>
    <w:autoRedefine/>
    <w:qFormat/>
    <w:uiPriority w:val="0"/>
  </w:style>
  <w:style w:type="character" w:customStyle="1" w:styleId="218">
    <w:name w:val="nth-child(2)"/>
    <w:basedOn w:val="41"/>
    <w:autoRedefine/>
    <w:qFormat/>
    <w:uiPriority w:val="0"/>
  </w:style>
  <w:style w:type="character" w:customStyle="1" w:styleId="219">
    <w:name w:val="layui-layer-tabnow"/>
    <w:basedOn w:val="41"/>
    <w:autoRedefine/>
    <w:qFormat/>
    <w:uiPriority w:val="0"/>
    <w:rPr>
      <w:bdr w:val="single" w:color="CCCCCC" w:sz="6" w:space="0"/>
      <w:shd w:val="clear" w:color="auto" w:fill="FFFFFF"/>
    </w:rPr>
  </w:style>
  <w:style w:type="character" w:customStyle="1" w:styleId="220">
    <w:name w:val="first-child"/>
    <w:basedOn w:val="41"/>
    <w:autoRedefine/>
    <w:qFormat/>
    <w:uiPriority w:val="0"/>
  </w:style>
  <w:style w:type="character" w:customStyle="1" w:styleId="221">
    <w:name w:val="ul_li_a_1"/>
    <w:basedOn w:val="41"/>
    <w:autoRedefine/>
    <w:qFormat/>
    <w:uiPriority w:val="0"/>
    <w:rPr>
      <w:b/>
      <w:bCs/>
      <w:color w:val="FFFFFF"/>
    </w:rPr>
  </w:style>
  <w:style w:type="character" w:customStyle="1" w:styleId="222">
    <w:name w:val="a_p_2"/>
    <w:basedOn w:val="41"/>
    <w:autoRedefine/>
    <w:qFormat/>
    <w:uiPriority w:val="0"/>
  </w:style>
  <w:style w:type="character" w:customStyle="1" w:styleId="223">
    <w:name w:val="a_p_21"/>
    <w:basedOn w:val="41"/>
    <w:autoRedefine/>
    <w:qFormat/>
    <w:uiPriority w:val="0"/>
    <w:rPr>
      <w:sz w:val="27"/>
      <w:szCs w:val="27"/>
    </w:rPr>
  </w:style>
  <w:style w:type="character" w:customStyle="1" w:styleId="224">
    <w:name w:val="a_p_3"/>
    <w:basedOn w:val="41"/>
    <w:autoRedefine/>
    <w:qFormat/>
    <w:uiPriority w:val="0"/>
    <w:rPr>
      <w:sz w:val="27"/>
      <w:szCs w:val="27"/>
    </w:rPr>
  </w:style>
  <w:style w:type="paragraph" w:customStyle="1" w:styleId="225">
    <w:name w:val="Table Text"/>
    <w:basedOn w:val="1"/>
    <w:autoRedefine/>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226">
    <w:name w:val="mini-outputtext1"/>
    <w:basedOn w:val="41"/>
    <w:qFormat/>
    <w:uiPriority w:val="0"/>
  </w:style>
  <w:style w:type="paragraph" w:customStyle="1" w:styleId="227">
    <w:name w:val="标题 31"/>
    <w:basedOn w:val="1"/>
    <w:qFormat/>
    <w:uiPriority w:val="0"/>
    <w:pPr>
      <w:keepNext/>
      <w:keepLines/>
      <w:spacing w:before="260" w:after="260" w:line="416" w:lineRule="auto"/>
      <w:outlineLvl w:val="2"/>
    </w:pPr>
    <w:rPr>
      <w:b/>
      <w:bCs/>
      <w:sz w:val="32"/>
      <w:szCs w:val="32"/>
    </w:rPr>
  </w:style>
  <w:style w:type="paragraph" w:customStyle="1" w:styleId="228">
    <w:name w:val="页眉1"/>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229">
    <w:name w:val="页脚1"/>
    <w:basedOn w:val="1"/>
    <w:qFormat/>
    <w:uiPriority w:val="0"/>
    <w:pPr>
      <w:tabs>
        <w:tab w:val="center" w:pos="4153"/>
        <w:tab w:val="right" w:pos="8306"/>
      </w:tabs>
      <w:snapToGrid w:val="0"/>
      <w:jc w:val="left"/>
    </w:pPr>
    <w:rPr>
      <w:sz w:val="18"/>
      <w:szCs w:val="18"/>
    </w:rPr>
  </w:style>
  <w:style w:type="paragraph" w:customStyle="1" w:styleId="230">
    <w:name w:val="首行缩进"/>
    <w:basedOn w:val="1"/>
    <w:qFormat/>
    <w:uiPriority w:val="0"/>
    <w:pPr>
      <w:ind w:firstLine="480"/>
    </w:pPr>
  </w:style>
  <w:style w:type="paragraph" w:customStyle="1" w:styleId="231">
    <w:name w:val="列表段落1"/>
    <w:basedOn w:val="1"/>
    <w:qFormat/>
    <w:uiPriority w:val="99"/>
    <w:pPr>
      <w:ind w:firstLine="420" w:firstLineChars="200"/>
    </w:pPr>
  </w:style>
  <w:style w:type="table" w:customStyle="1" w:styleId="232">
    <w:name w:val="Table Normal"/>
    <w:unhideWhenUsed/>
    <w:qFormat/>
    <w:uiPriority w:val="0"/>
    <w:tblPr>
      <w:tblCellMar>
        <w:top w:w="0" w:type="dxa"/>
        <w:left w:w="0" w:type="dxa"/>
        <w:bottom w:w="0" w:type="dxa"/>
        <w:right w:w="0" w:type="dxa"/>
      </w:tblCellMar>
    </w:tblPr>
  </w:style>
  <w:style w:type="paragraph" w:customStyle="1" w:styleId="23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34">
    <w:name w:val="正文_13_0"/>
    <w:qFormat/>
    <w:uiPriority w:val="0"/>
    <w:pPr>
      <w:widowControl w:val="0"/>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0BE289-78B9-4986-BE2D-637366333A3B}">
  <ds:schemaRefs/>
</ds:datastoreItem>
</file>

<file path=docProps/app.xml><?xml version="1.0" encoding="utf-8"?>
<Properties xmlns="http://schemas.openxmlformats.org/officeDocument/2006/extended-properties" xmlns:vt="http://schemas.openxmlformats.org/officeDocument/2006/docPropsVTypes">
  <Template>Normal</Template>
  <Pages>102</Pages>
  <Words>25355</Words>
  <Characters>27197</Characters>
  <Lines>325</Lines>
  <Paragraphs>91</Paragraphs>
  <TotalTime>2</TotalTime>
  <ScaleCrop>false</ScaleCrop>
  <LinksUpToDate>false</LinksUpToDate>
  <CharactersWithSpaces>27499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2024-06-25T06:49:00Z</dcterms:created>
  <dc:creator>ADMIN</dc:creator>
  <cp:lastModifiedBy>lenovo</cp:lastModifiedBy>
  <dcterms:modified xsi:type="dcterms:W3CDTF">2025-11-05T09:38:07Z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CC190802381B4EAF8B49911520657B56_13</vt:lpwstr>
  </property>
  <property fmtid="{D5CDD505-2E9C-101B-9397-08002B2CF9AE}" pid="4" name="KSOTemplateDocerSaveRecord">
    <vt:lpwstr>eyJoZGlkIjoiOTFmMWNiMGNmNTNmM2M0YTJhYjdlMzQxMGE5YWU2MGYiLCJ1c2VySWQiOiI4MDQ1MzAxNDIifQ==</vt:lpwstr>
  </property>
</Properties>
</file>