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1C92A">
      <w:pPr>
        <w:pStyle w:val="60"/>
        <w:spacing w:line="360" w:lineRule="auto"/>
        <w:jc w:val="center"/>
        <w:rPr>
          <w:rFonts w:hint="eastAsia" w:ascii="方正小标宋简体" w:hAnsi="方正小标宋简体" w:eastAsia="方正小标宋简体" w:cs="方正小标宋简体"/>
          <w:b w:val="0"/>
          <w:bCs w:val="0"/>
          <w:sz w:val="44"/>
          <w:szCs w:val="44"/>
          <w:highlight w:val="none"/>
          <w:lang w:val="en-US" w:eastAsia="zh-CN"/>
        </w:rPr>
      </w:pPr>
      <w:bookmarkStart w:id="334" w:name="_GoBack"/>
      <w:bookmarkEnd w:id="334"/>
      <w:bookmarkStart w:id="0" w:name="_Toc12347"/>
      <w:bookmarkStart w:id="1" w:name="_Toc13814"/>
      <w:bookmarkStart w:id="2" w:name="_Toc15236"/>
    </w:p>
    <w:p w14:paraId="337B2C9F">
      <w:pPr>
        <w:pStyle w:val="60"/>
        <w:spacing w:line="360" w:lineRule="auto"/>
        <w:jc w:val="center"/>
        <w:rPr>
          <w:rFonts w:hint="eastAsia" w:ascii="方正小标宋简体" w:hAnsi="方正小标宋简体" w:eastAsia="方正小标宋简体" w:cs="方正小标宋简体"/>
          <w:b w:val="0"/>
          <w:bCs w:val="0"/>
          <w:sz w:val="48"/>
          <w:szCs w:val="48"/>
          <w:highlight w:val="none"/>
          <w:lang w:val="en-US" w:eastAsia="zh-CN"/>
        </w:rPr>
      </w:pPr>
      <w:r>
        <w:rPr>
          <w:rFonts w:hint="eastAsia" w:ascii="方正小标宋简体" w:hAnsi="方正小标宋简体" w:eastAsia="方正小标宋简体" w:cs="方正小标宋简体"/>
          <w:b w:val="0"/>
          <w:bCs w:val="0"/>
          <w:sz w:val="48"/>
          <w:szCs w:val="48"/>
          <w:highlight w:val="none"/>
          <w:lang w:val="en-US" w:eastAsia="zh-CN"/>
        </w:rPr>
        <w:t>渑池县仰韶学校计算机采购项目（二次）</w:t>
      </w:r>
    </w:p>
    <w:p w14:paraId="675A44A3">
      <w:pPr>
        <w:pStyle w:val="60"/>
        <w:spacing w:line="360" w:lineRule="auto"/>
        <w:jc w:val="center"/>
        <w:rPr>
          <w:rFonts w:hint="eastAsia" w:ascii="方正小标宋简体" w:hAnsi="方正小标宋简体" w:eastAsia="方正小标宋简体" w:cs="方正小标宋简体"/>
          <w:b w:val="0"/>
          <w:bCs w:val="0"/>
          <w:kern w:val="2"/>
          <w:sz w:val="60"/>
          <w:szCs w:val="60"/>
          <w:highlight w:val="none"/>
          <w:lang w:val="en-US" w:eastAsia="zh-CN" w:bidi="ar-SA"/>
        </w:rPr>
      </w:pPr>
      <w:r>
        <w:rPr>
          <w:rFonts w:hint="eastAsia" w:ascii="方正小标宋简体" w:hAnsi="方正小标宋简体" w:eastAsia="方正小标宋简体" w:cs="方正小标宋简体"/>
          <w:b w:val="0"/>
          <w:bCs w:val="0"/>
          <w:kern w:val="2"/>
          <w:sz w:val="60"/>
          <w:szCs w:val="60"/>
          <w:highlight w:val="none"/>
          <w:lang w:val="en-US" w:eastAsia="zh-CN" w:bidi="ar-SA"/>
        </w:rPr>
        <w:t>竞争性磋商文件</w:t>
      </w:r>
    </w:p>
    <w:p w14:paraId="27BECE05">
      <w:pPr>
        <w:snapToGrid w:val="0"/>
        <w:spacing w:line="420" w:lineRule="auto"/>
        <w:jc w:val="center"/>
        <w:rPr>
          <w:rFonts w:hint="default" w:ascii="Times New Roman" w:hAnsi="Times New Roman" w:eastAsia="方正小标宋简体" w:cs="Times New Roman"/>
          <w:b w:val="0"/>
          <w:bCs/>
          <w:sz w:val="32"/>
          <w:szCs w:val="32"/>
          <w:highlight w:val="none"/>
          <w:lang w:val="en-US"/>
        </w:rPr>
      </w:pPr>
    </w:p>
    <w:p w14:paraId="60B13FBF">
      <w:pPr>
        <w:snapToGrid w:val="0"/>
        <w:spacing w:line="420" w:lineRule="auto"/>
        <w:jc w:val="center"/>
        <w:rPr>
          <w:rFonts w:hint="default" w:ascii="Times New Roman" w:hAnsi="Times New Roman" w:eastAsia="方正小标宋简体" w:cs="Times New Roman"/>
          <w:b w:val="0"/>
          <w:bCs/>
          <w:sz w:val="32"/>
          <w:szCs w:val="32"/>
          <w:highlight w:val="none"/>
          <w:lang w:val="en-US"/>
        </w:rPr>
      </w:pPr>
      <w:r>
        <w:rPr>
          <w:rFonts w:hint="default" w:ascii="Times New Roman" w:hAnsi="Times New Roman" w:eastAsia="方正小标宋简体" w:cs="Times New Roman"/>
          <w:b w:val="0"/>
          <w:bCs/>
          <w:sz w:val="32"/>
          <w:szCs w:val="32"/>
          <w:highlight w:val="none"/>
          <w:lang w:val="en-US"/>
        </w:rPr>
        <w:t>采购编号：</w:t>
      </w:r>
      <w:r>
        <w:rPr>
          <w:rFonts w:hint="eastAsia" w:ascii="Times New Roman" w:hAnsi="Times New Roman" w:eastAsia="方正小标宋简体" w:cs="Times New Roman"/>
          <w:b w:val="0"/>
          <w:bCs/>
          <w:sz w:val="32"/>
          <w:szCs w:val="32"/>
          <w:highlight w:val="none"/>
          <w:lang w:val="en-US" w:eastAsia="zh-CN"/>
        </w:rPr>
        <w:t>渑池竞磋采购-2026-133</w:t>
      </w:r>
    </w:p>
    <w:p w14:paraId="6DE29035">
      <w:pPr>
        <w:snapToGrid w:val="0"/>
        <w:spacing w:line="420" w:lineRule="auto"/>
        <w:jc w:val="center"/>
        <w:rPr>
          <w:rFonts w:hint="eastAsia" w:ascii="Times New Roman" w:hAnsi="Times New Roman" w:eastAsia="方正小标宋简体" w:cs="Times New Roman"/>
          <w:b w:val="0"/>
          <w:bCs/>
          <w:sz w:val="32"/>
          <w:szCs w:val="32"/>
          <w:highlight w:val="none"/>
          <w:lang w:val="en-US" w:eastAsia="zh-CN"/>
        </w:rPr>
      </w:pPr>
      <w:r>
        <w:rPr>
          <w:rFonts w:hint="default" w:ascii="Times New Roman" w:hAnsi="Times New Roman" w:eastAsia="方正小标宋简体" w:cs="Times New Roman"/>
          <w:b w:val="0"/>
          <w:bCs/>
          <w:sz w:val="32"/>
          <w:szCs w:val="32"/>
          <w:highlight w:val="none"/>
          <w:lang w:val="en-US"/>
        </w:rPr>
        <w:t>项目编号：</w:t>
      </w:r>
      <w:r>
        <w:rPr>
          <w:rFonts w:hint="default" w:ascii="Times New Roman" w:hAnsi="Times New Roman" w:eastAsia="方正小标宋简体" w:cs="Times New Roman"/>
          <w:b w:val="0"/>
          <w:bCs/>
          <w:sz w:val="32"/>
          <w:szCs w:val="32"/>
          <w:highlight w:val="none"/>
          <w:lang w:val="en-US" w:eastAsia="zh-CN"/>
        </w:rPr>
        <w:t>MCGZ[2026]216-ZC195</w:t>
      </w:r>
    </w:p>
    <w:p w14:paraId="430E5C08">
      <w:pPr>
        <w:snapToGrid w:val="0"/>
        <w:spacing w:line="420" w:lineRule="auto"/>
        <w:jc w:val="both"/>
        <w:rPr>
          <w:rFonts w:hint="eastAsia" w:ascii="仿宋" w:hAnsi="仿宋" w:eastAsia="仿宋" w:cs="仿宋"/>
          <w:b/>
          <w:sz w:val="28"/>
          <w:szCs w:val="28"/>
          <w:highlight w:val="none"/>
        </w:rPr>
      </w:pPr>
    </w:p>
    <w:p w14:paraId="76FE05BA">
      <w:pPr>
        <w:snapToGrid w:val="0"/>
        <w:spacing w:line="42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drawing>
          <wp:inline distT="0" distB="0" distL="114300" distR="114300">
            <wp:extent cx="1800860" cy="1800225"/>
            <wp:effectExtent l="0" t="0" r="8890" b="9525"/>
            <wp:docPr id="4" name="图片 4" descr="fba76317300c443a4650c784eb4865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ba76317300c443a4650c784eb4865a3"/>
                    <pic:cNvPicPr>
                      <a:picLocks noChangeAspect="1"/>
                    </pic:cNvPicPr>
                  </pic:nvPicPr>
                  <pic:blipFill>
                    <a:blip r:embed="rId13"/>
                    <a:srcRect l="9438" t="2925" r="9149" b="12828"/>
                    <a:stretch>
                      <a:fillRect/>
                    </a:stretch>
                  </pic:blipFill>
                  <pic:spPr>
                    <a:xfrm>
                      <a:off x="0" y="0"/>
                      <a:ext cx="1800860" cy="1800225"/>
                    </a:xfrm>
                    <a:prstGeom prst="rect">
                      <a:avLst/>
                    </a:prstGeom>
                  </pic:spPr>
                </pic:pic>
              </a:graphicData>
            </a:graphic>
          </wp:inline>
        </w:drawing>
      </w:r>
    </w:p>
    <w:p w14:paraId="503776E8">
      <w:pPr>
        <w:pStyle w:val="2"/>
        <w:ind w:left="0" w:leftChars="0" w:firstLine="0" w:firstLineChars="0"/>
        <w:rPr>
          <w:rFonts w:hint="eastAsia" w:ascii="仿宋" w:hAnsi="仿宋" w:eastAsia="仿宋" w:cs="仿宋"/>
          <w:b/>
          <w:sz w:val="28"/>
          <w:szCs w:val="28"/>
          <w:highlight w:val="none"/>
        </w:rPr>
      </w:pPr>
    </w:p>
    <w:p w14:paraId="6D5DE61D">
      <w:pPr>
        <w:pStyle w:val="3"/>
        <w:rPr>
          <w:rFonts w:hint="eastAsia"/>
          <w:highlight w:val="none"/>
        </w:rPr>
      </w:pPr>
    </w:p>
    <w:tbl>
      <w:tblPr>
        <w:tblStyle w:val="25"/>
        <w:tblpPr w:leftFromText="180" w:rightFromText="180" w:vertAnchor="text" w:horzAnchor="page" w:tblpXSpec="center" w:tblpY="612"/>
        <w:tblOverlap w:val="neve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10"/>
        <w:gridCol w:w="4331"/>
      </w:tblGrid>
      <w:tr w14:paraId="5AA84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910" w:type="dxa"/>
          </w:tcPr>
          <w:p w14:paraId="131C623D">
            <w:pPr>
              <w:snapToGrid w:val="0"/>
              <w:spacing w:line="420" w:lineRule="auto"/>
              <w:jc w:val="distribute"/>
              <w:rPr>
                <w:rFonts w:hint="eastAsia" w:ascii="方正小标宋简体" w:hAnsi="方正小标宋简体" w:eastAsia="方正小标宋简体" w:cs="方正小标宋简体"/>
                <w:b w:val="0"/>
                <w:bCs/>
                <w:sz w:val="28"/>
                <w:szCs w:val="28"/>
                <w:highlight w:val="none"/>
                <w:vertAlign w:val="baseline"/>
                <w:lang w:eastAsia="zh-CN"/>
              </w:rPr>
            </w:pPr>
            <w:r>
              <w:rPr>
                <w:rFonts w:hint="eastAsia" w:ascii="方正小标宋简体" w:hAnsi="方正小标宋简体" w:eastAsia="方正小标宋简体" w:cs="方正小标宋简体"/>
                <w:b w:val="0"/>
                <w:bCs/>
                <w:sz w:val="32"/>
                <w:szCs w:val="32"/>
                <w:highlight w:val="none"/>
                <w:lang w:val="en-US" w:eastAsia="zh-CN"/>
              </w:rPr>
              <w:t>采购人</w:t>
            </w:r>
            <w:r>
              <w:rPr>
                <w:rFonts w:hint="eastAsia" w:ascii="方正小标宋简体" w:hAnsi="方正小标宋简体" w:eastAsia="方正小标宋简体" w:cs="方正小标宋简体"/>
                <w:b w:val="0"/>
                <w:bCs/>
                <w:sz w:val="32"/>
                <w:szCs w:val="32"/>
                <w:highlight w:val="none"/>
                <w:lang w:eastAsia="zh-CN"/>
              </w:rPr>
              <w:t>：</w:t>
            </w:r>
          </w:p>
        </w:tc>
        <w:tc>
          <w:tcPr>
            <w:tcW w:w="4331" w:type="dxa"/>
          </w:tcPr>
          <w:p w14:paraId="6DFF8CE8">
            <w:pPr>
              <w:snapToGrid w:val="0"/>
              <w:spacing w:line="420" w:lineRule="auto"/>
              <w:jc w:val="distribute"/>
              <w:rPr>
                <w:rFonts w:hint="default" w:ascii="方正小标宋简体" w:hAnsi="方正小标宋简体" w:eastAsia="方正小标宋简体" w:cs="方正小标宋简体"/>
                <w:b w:val="0"/>
                <w:bCs/>
                <w:sz w:val="28"/>
                <w:szCs w:val="28"/>
                <w:highlight w:val="none"/>
                <w:vertAlign w:val="baseline"/>
                <w:lang w:val="en-US" w:eastAsia="zh-CN"/>
              </w:rPr>
            </w:pPr>
            <w:r>
              <w:rPr>
                <w:rFonts w:hint="eastAsia" w:ascii="方正小标宋简体" w:hAnsi="方正小标宋简体" w:eastAsia="方正小标宋简体" w:cs="方正小标宋简体"/>
                <w:b w:val="0"/>
                <w:bCs/>
                <w:sz w:val="32"/>
                <w:szCs w:val="32"/>
                <w:highlight w:val="none"/>
                <w:lang w:val="en-US" w:eastAsia="zh-CN"/>
              </w:rPr>
              <w:t>渑池县仰韶学校</w:t>
            </w:r>
          </w:p>
        </w:tc>
      </w:tr>
      <w:tr w14:paraId="1734A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10" w:type="dxa"/>
          </w:tcPr>
          <w:p w14:paraId="53DEE064">
            <w:pPr>
              <w:snapToGrid w:val="0"/>
              <w:spacing w:line="420" w:lineRule="auto"/>
              <w:jc w:val="distribute"/>
              <w:rPr>
                <w:rFonts w:hint="eastAsia" w:ascii="方正小标宋简体" w:hAnsi="方正小标宋简体" w:eastAsia="方正小标宋简体" w:cs="方正小标宋简体"/>
                <w:b w:val="0"/>
                <w:bCs/>
                <w:sz w:val="28"/>
                <w:szCs w:val="28"/>
                <w:highlight w:val="none"/>
                <w:vertAlign w:val="baseline"/>
              </w:rPr>
            </w:pPr>
            <w:r>
              <w:rPr>
                <w:rFonts w:hint="eastAsia" w:ascii="方正小标宋简体" w:hAnsi="方正小标宋简体" w:eastAsia="方正小标宋简体" w:cs="方正小标宋简体"/>
                <w:b w:val="0"/>
                <w:bCs/>
                <w:sz w:val="32"/>
                <w:szCs w:val="32"/>
                <w:highlight w:val="none"/>
                <w:lang w:val="en-US" w:eastAsia="zh-CN"/>
              </w:rPr>
              <w:t>代理机构：</w:t>
            </w:r>
          </w:p>
        </w:tc>
        <w:tc>
          <w:tcPr>
            <w:tcW w:w="4331" w:type="dxa"/>
          </w:tcPr>
          <w:p w14:paraId="5FD3AB2B">
            <w:pPr>
              <w:snapToGrid w:val="0"/>
              <w:spacing w:line="420" w:lineRule="auto"/>
              <w:jc w:val="distribute"/>
              <w:rPr>
                <w:rFonts w:hint="eastAsia" w:ascii="方正小标宋简体" w:hAnsi="方正小标宋简体" w:eastAsia="方正小标宋简体" w:cs="方正小标宋简体"/>
                <w:b w:val="0"/>
                <w:bCs/>
                <w:sz w:val="28"/>
                <w:szCs w:val="28"/>
                <w:highlight w:val="none"/>
                <w:vertAlign w:val="baseline"/>
              </w:rPr>
            </w:pPr>
            <w:r>
              <w:rPr>
                <w:rFonts w:hint="eastAsia" w:ascii="方正小标宋简体" w:hAnsi="方正小标宋简体" w:eastAsia="方正小标宋简体" w:cs="方正小标宋简体"/>
                <w:b w:val="0"/>
                <w:bCs/>
                <w:sz w:val="32"/>
                <w:szCs w:val="32"/>
                <w:highlight w:val="none"/>
              </w:rPr>
              <w:t>河南昱通工程管理有限公司</w:t>
            </w:r>
          </w:p>
        </w:tc>
      </w:tr>
      <w:tr w14:paraId="01866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10" w:type="dxa"/>
          </w:tcPr>
          <w:p w14:paraId="3102A644">
            <w:pPr>
              <w:snapToGrid w:val="0"/>
              <w:spacing w:line="420" w:lineRule="auto"/>
              <w:jc w:val="distribute"/>
              <w:rPr>
                <w:rFonts w:hint="eastAsia" w:ascii="方正小标宋简体" w:hAnsi="方正小标宋简体" w:eastAsia="方正小标宋简体" w:cs="方正小标宋简体"/>
                <w:b w:val="0"/>
                <w:bCs/>
                <w:sz w:val="32"/>
                <w:szCs w:val="32"/>
                <w:highlight w:val="none"/>
                <w:lang w:val="en-US" w:eastAsia="zh-CN"/>
              </w:rPr>
            </w:pPr>
            <w:r>
              <w:rPr>
                <w:rFonts w:hint="eastAsia" w:ascii="方正小标宋简体" w:hAnsi="方正小标宋简体" w:eastAsia="方正小标宋简体" w:cs="方正小标宋简体"/>
                <w:b w:val="0"/>
                <w:bCs/>
                <w:sz w:val="32"/>
                <w:szCs w:val="32"/>
                <w:highlight w:val="none"/>
                <w:lang w:val="en-US" w:eastAsia="zh-CN"/>
              </w:rPr>
              <w:t>日期：</w:t>
            </w:r>
          </w:p>
        </w:tc>
        <w:tc>
          <w:tcPr>
            <w:tcW w:w="4331" w:type="dxa"/>
          </w:tcPr>
          <w:p w14:paraId="041E81D0">
            <w:pPr>
              <w:snapToGrid w:val="0"/>
              <w:spacing w:line="420" w:lineRule="auto"/>
              <w:jc w:val="distribute"/>
              <w:rPr>
                <w:rFonts w:hint="eastAsia" w:ascii="方正小标宋简体" w:hAnsi="方正小标宋简体" w:eastAsia="方正小标宋简体" w:cs="方正小标宋简体"/>
                <w:b w:val="0"/>
                <w:bCs/>
                <w:sz w:val="32"/>
                <w:szCs w:val="32"/>
                <w:highlight w:val="none"/>
              </w:rPr>
            </w:pPr>
            <w:r>
              <w:rPr>
                <w:rFonts w:hint="eastAsia" w:ascii="方正小标宋简体" w:hAnsi="方正小标宋简体" w:eastAsia="方正小标宋简体" w:cs="方正小标宋简体"/>
                <w:b w:val="0"/>
                <w:bCs/>
                <w:sz w:val="32"/>
                <w:szCs w:val="32"/>
                <w:highlight w:val="none"/>
              </w:rPr>
              <w:t>二〇二六年</w:t>
            </w:r>
            <w:r>
              <w:rPr>
                <w:rFonts w:hint="eastAsia" w:ascii="方正小标宋简体" w:hAnsi="方正小标宋简体" w:eastAsia="方正小标宋简体" w:cs="方正小标宋简体"/>
                <w:b w:val="0"/>
                <w:bCs/>
                <w:sz w:val="32"/>
                <w:szCs w:val="32"/>
                <w:highlight w:val="none"/>
                <w:lang w:val="en-US" w:eastAsia="zh-CN"/>
              </w:rPr>
              <w:t>九</w:t>
            </w:r>
            <w:r>
              <w:rPr>
                <w:rFonts w:hint="eastAsia" w:ascii="方正小标宋简体" w:hAnsi="方正小标宋简体" w:eastAsia="方正小标宋简体" w:cs="方正小标宋简体"/>
                <w:b w:val="0"/>
                <w:bCs/>
                <w:sz w:val="32"/>
                <w:szCs w:val="32"/>
                <w:highlight w:val="none"/>
              </w:rPr>
              <w:t>月</w:t>
            </w:r>
          </w:p>
        </w:tc>
      </w:tr>
    </w:tbl>
    <w:p w14:paraId="6B1BC613">
      <w:pPr>
        <w:spacing w:line="720" w:lineRule="auto"/>
        <w:jc w:val="center"/>
        <w:rPr>
          <w:rFonts w:hint="eastAsia" w:eastAsiaTheme="minorEastAsia"/>
          <w:b/>
          <w:bCs/>
          <w:sz w:val="44"/>
          <w:szCs w:val="48"/>
          <w:highlight w:val="none"/>
          <w:lang w:eastAsia="zh-CN"/>
        </w:rPr>
      </w:pPr>
    </w:p>
    <w:p w14:paraId="4C6E5E40">
      <w:pPr>
        <w:spacing w:line="720" w:lineRule="auto"/>
        <w:jc w:val="both"/>
        <w:rPr>
          <w:rFonts w:hint="eastAsia"/>
          <w:b/>
          <w:bCs/>
          <w:sz w:val="44"/>
          <w:szCs w:val="48"/>
          <w:highlight w:val="none"/>
          <w:lang w:eastAsia="zh-CN"/>
        </w:rPr>
      </w:pPr>
    </w:p>
    <w:bookmarkEnd w:id="0"/>
    <w:bookmarkEnd w:id="1"/>
    <w:bookmarkEnd w:id="2"/>
    <w:p w14:paraId="7857ED1B">
      <w:pPr>
        <w:spacing w:line="360" w:lineRule="auto"/>
        <w:ind w:firstLine="73"/>
        <w:jc w:val="center"/>
        <w:rPr>
          <w:rFonts w:hint="eastAsia" w:ascii="宋体" w:hAnsi="宋体" w:cs="宋体"/>
          <w:b/>
          <w:bCs/>
          <w:sz w:val="36"/>
          <w:szCs w:val="36"/>
          <w:highlight w:val="none"/>
        </w:rPr>
      </w:pPr>
    </w:p>
    <w:p w14:paraId="1F4B52AD">
      <w:pPr>
        <w:spacing w:line="360" w:lineRule="auto"/>
        <w:ind w:firstLine="73"/>
        <w:jc w:val="center"/>
        <w:rPr>
          <w:rFonts w:hint="eastAsia" w:ascii="宋体" w:hAnsi="宋体" w:cs="宋体"/>
          <w:b/>
          <w:bCs/>
          <w:sz w:val="36"/>
          <w:szCs w:val="36"/>
          <w:highlight w:val="none"/>
        </w:rPr>
      </w:pPr>
      <w:r>
        <w:rPr>
          <w:rFonts w:hint="eastAsia" w:ascii="宋体" w:hAnsi="宋体" w:cs="宋体"/>
          <w:b/>
          <w:bCs/>
          <w:sz w:val="36"/>
          <w:szCs w:val="36"/>
          <w:highlight w:val="none"/>
        </w:rPr>
        <w:t>目  录</w:t>
      </w:r>
    </w:p>
    <w:sdt>
      <w:sdtPr>
        <w:rPr>
          <w:rFonts w:ascii="宋体" w:hAnsi="宋体" w:eastAsia="宋体" w:cstheme="minorBidi"/>
          <w:kern w:val="2"/>
          <w:sz w:val="21"/>
          <w:szCs w:val="22"/>
          <w:highlight w:val="none"/>
          <w:lang w:val="en-US" w:eastAsia="zh-CN" w:bidi="ar-SA"/>
        </w:rPr>
        <w:id w:val="147467391"/>
        <w15:color w:val="DBDBDB"/>
        <w:docPartObj>
          <w:docPartGallery w:val="Table of Contents"/>
          <w:docPartUnique/>
        </w:docPartObj>
      </w:sdtPr>
      <w:sdtEndPr>
        <w:rPr>
          <w:rFonts w:asciiTheme="minorHAnsi" w:hAnsiTheme="minorHAnsi" w:eastAsiaTheme="minorEastAsia" w:cstheme="minorBidi"/>
          <w:kern w:val="2"/>
          <w:sz w:val="21"/>
          <w:szCs w:val="22"/>
          <w:highlight w:val="none"/>
          <w:lang w:val="en-US" w:eastAsia="zh-CN" w:bidi="ar-SA"/>
        </w:rPr>
      </w:sdtEndPr>
      <w:sdtContent>
        <w:p w14:paraId="0A5DDC59">
          <w:pPr>
            <w:spacing w:before="0" w:beforeLines="0" w:after="0" w:afterLines="0" w:line="240" w:lineRule="auto"/>
            <w:ind w:left="0" w:leftChars="0" w:right="0" w:rightChars="0" w:firstLine="0" w:firstLineChars="0"/>
            <w:jc w:val="center"/>
            <w:rPr>
              <w:highlight w:val="none"/>
            </w:rPr>
          </w:pPr>
        </w:p>
        <w:p w14:paraId="174D1FF8">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rFonts w:hint="eastAsia" w:asciiTheme="minorEastAsia" w:hAnsiTheme="minorEastAsia" w:eastAsiaTheme="minorEastAsia" w:cstheme="minorEastAsia"/>
              <w:sz w:val="28"/>
              <w:szCs w:val="32"/>
              <w:highlight w:val="none"/>
            </w:rPr>
          </w:pPr>
          <w:r>
            <w:rPr>
              <w:highlight w:val="none"/>
            </w:rPr>
            <w:fldChar w:fldCharType="begin"/>
          </w:r>
          <w:r>
            <w:rPr>
              <w:highlight w:val="none"/>
            </w:rPr>
            <w:instrText xml:space="preserve">TOC \o "1-3" \h \u </w:instrText>
          </w:r>
          <w:r>
            <w:rPr>
              <w:highlight w:val="none"/>
            </w:rPr>
            <w:fldChar w:fldCharType="separate"/>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_Toc1060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第一章  竞争性磋商公告</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_Toc1060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1</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0A3A1B17">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rFonts w:hint="eastAsia" w:asciiTheme="minorEastAsia" w:hAnsiTheme="minorEastAsia" w:eastAsiaTheme="minorEastAsia" w:cstheme="minorEastAsia"/>
              <w:sz w:val="28"/>
              <w:szCs w:val="32"/>
              <w:highlight w:val="none"/>
            </w:rPr>
          </w:pP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_Toc20926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第二章  供应商须知</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_Toc20926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5</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3BCA56DA">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rFonts w:hint="eastAsia" w:asciiTheme="minorEastAsia" w:hAnsiTheme="minorEastAsia" w:eastAsiaTheme="minorEastAsia" w:cstheme="minorEastAsia"/>
              <w:sz w:val="28"/>
              <w:szCs w:val="32"/>
              <w:highlight w:val="none"/>
            </w:rPr>
          </w:pP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_Toc21295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第三章  评标办法（综合评估法）</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_Toc21295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21</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66FE026E">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rFonts w:hint="eastAsia" w:asciiTheme="minorEastAsia" w:hAnsiTheme="minorEastAsia" w:eastAsiaTheme="minorEastAsia" w:cstheme="minorEastAsia"/>
              <w:sz w:val="28"/>
              <w:szCs w:val="32"/>
              <w:highlight w:val="none"/>
            </w:rPr>
          </w:pP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_Toc9767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第四章  合同主要条款及格式</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_Toc9767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28</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7B3791E7">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rFonts w:hint="eastAsia" w:asciiTheme="minorEastAsia" w:hAnsiTheme="minorEastAsia" w:eastAsiaTheme="minorEastAsia" w:cstheme="minorEastAsia"/>
              <w:sz w:val="28"/>
              <w:szCs w:val="32"/>
              <w:highlight w:val="none"/>
            </w:rPr>
          </w:pP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_Toc28413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bCs/>
              <w:kern w:val="2"/>
              <w:sz w:val="28"/>
              <w:szCs w:val="44"/>
              <w:highlight w:val="none"/>
              <w:lang w:val="en-US" w:eastAsia="zh-CN" w:bidi="ar-SA"/>
            </w:rPr>
            <w:t xml:space="preserve">第五章  </w:t>
          </w:r>
          <w:r>
            <w:rPr>
              <w:rFonts w:hint="eastAsia" w:asciiTheme="minorEastAsia" w:hAnsiTheme="minorEastAsia" w:eastAsiaTheme="minorEastAsia" w:cstheme="minorEastAsia"/>
              <w:sz w:val="28"/>
              <w:szCs w:val="32"/>
              <w:highlight w:val="none"/>
            </w:rPr>
            <w:t>技术参数</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_Toc28413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41</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3DCD45BA">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highlight w:val="none"/>
            </w:rPr>
          </w:pP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_Toc9749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第六章  响应性文件格式</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_Toc9749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42</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649AA231">
          <w:pPr>
            <w:rPr>
              <w:highlight w:val="none"/>
            </w:rPr>
          </w:pPr>
          <w:r>
            <w:rPr>
              <w:highlight w:val="none"/>
            </w:rPr>
            <w:fldChar w:fldCharType="end"/>
          </w:r>
        </w:p>
        <w:p w14:paraId="2DCC55BE">
          <w:pPr>
            <w:rPr>
              <w:rFonts w:asciiTheme="minorHAnsi" w:hAnsiTheme="minorHAnsi" w:eastAsiaTheme="minorEastAsia" w:cstheme="minorBidi"/>
              <w:kern w:val="2"/>
              <w:sz w:val="21"/>
              <w:szCs w:val="22"/>
              <w:highlight w:val="none"/>
              <w:lang w:val="en-US" w:eastAsia="zh-CN" w:bidi="ar-SA"/>
            </w:rPr>
          </w:pPr>
        </w:p>
      </w:sdtContent>
    </w:sdt>
    <w:p w14:paraId="4E326FA1">
      <w:pPr>
        <w:rPr>
          <w:rFonts w:asciiTheme="minorHAnsi" w:hAnsiTheme="minorHAnsi" w:eastAsiaTheme="minorEastAsia" w:cstheme="minorBidi"/>
          <w:kern w:val="2"/>
          <w:sz w:val="21"/>
          <w:szCs w:val="22"/>
          <w:highlight w:val="none"/>
          <w:lang w:val="en-US" w:eastAsia="zh-CN" w:bidi="ar-SA"/>
        </w:rPr>
      </w:pPr>
    </w:p>
    <w:p w14:paraId="13021CB6">
      <w:pPr>
        <w:pStyle w:val="17"/>
        <w:outlineLvl w:val="9"/>
        <w:rPr>
          <w:highlight w:val="none"/>
        </w:rPr>
        <w:sectPr>
          <w:headerReference r:id="rId4" w:type="first"/>
          <w:footerReference r:id="rId7" w:type="first"/>
          <w:headerReference r:id="rId3" w:type="default"/>
          <w:footerReference r:id="rId5" w:type="default"/>
          <w:footerReference r:id="rId6" w:type="even"/>
          <w:pgSz w:w="11906" w:h="16838"/>
          <w:pgMar w:top="1440" w:right="1800" w:bottom="1440" w:left="1800" w:header="851" w:footer="851" w:gutter="0"/>
          <w:pgNumType w:start="1"/>
          <w:cols w:space="720" w:num="1"/>
          <w:titlePg/>
          <w:docGrid w:linePitch="312" w:charSpace="0"/>
        </w:sectPr>
      </w:pPr>
      <w:bookmarkStart w:id="3" w:name="_Toc19698"/>
    </w:p>
    <w:p w14:paraId="53143EEB">
      <w:pPr>
        <w:pStyle w:val="7"/>
        <w:jc w:val="center"/>
        <w:rPr>
          <w:highlight w:val="none"/>
        </w:rPr>
      </w:pPr>
      <w:bookmarkStart w:id="4" w:name="_Toc1060"/>
      <w:bookmarkStart w:id="5" w:name="_Toc17395"/>
      <w:r>
        <w:rPr>
          <w:rFonts w:hint="eastAsia"/>
          <w:highlight w:val="none"/>
        </w:rPr>
        <w:t xml:space="preserve">第一章  </w:t>
      </w:r>
      <w:bookmarkStart w:id="6" w:name="_Hlk136547488"/>
      <w:r>
        <w:rPr>
          <w:rFonts w:hint="eastAsia"/>
          <w:highlight w:val="none"/>
        </w:rPr>
        <w:t>竞争性磋商公告</w:t>
      </w:r>
      <w:bookmarkEnd w:id="3"/>
      <w:bookmarkEnd w:id="4"/>
      <w:bookmarkEnd w:id="5"/>
      <w:bookmarkEnd w:id="6"/>
    </w:p>
    <w:p w14:paraId="4ABE9E2E">
      <w:pPr>
        <w:spacing w:line="360" w:lineRule="auto"/>
        <w:ind w:firstLine="566" w:firstLineChars="236"/>
        <w:rPr>
          <w:rFonts w:hint="eastAsia" w:asciiTheme="minorEastAsia" w:hAnsiTheme="minorEastAsia" w:cstheme="minorEastAsia"/>
          <w:sz w:val="24"/>
          <w:szCs w:val="24"/>
          <w:highlight w:val="none"/>
        </w:rPr>
      </w:pPr>
      <w:bookmarkStart w:id="7" w:name="_Toc22804133"/>
      <w:bookmarkStart w:id="8" w:name="_Toc22724013"/>
      <w:bookmarkStart w:id="9" w:name="_Toc22953455"/>
      <w:bookmarkStart w:id="10" w:name="_Toc22568845"/>
      <w:bookmarkStart w:id="11" w:name="_Toc15597"/>
      <w:bookmarkStart w:id="12" w:name="_Toc22570552"/>
      <w:bookmarkStart w:id="13" w:name="_Toc498982406"/>
      <w:r>
        <w:rPr>
          <w:rFonts w:hint="eastAsia" w:asciiTheme="minorEastAsia" w:hAnsiTheme="minorEastAsia" w:cstheme="minorEastAsia"/>
          <w:sz w:val="24"/>
          <w:szCs w:val="24"/>
          <w:highlight w:val="none"/>
        </w:rPr>
        <w:t>项目概况</w:t>
      </w:r>
    </w:p>
    <w:p w14:paraId="0DC71844">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lang w:eastAsia="zh-CN"/>
        </w:rPr>
        <w:t>渑池县仰韶学校计算机采购项目（</w:t>
      </w:r>
      <w:r>
        <w:rPr>
          <w:rFonts w:hint="eastAsia" w:asciiTheme="minorEastAsia" w:hAnsiTheme="minorEastAsia" w:cstheme="minorEastAsia"/>
          <w:sz w:val="24"/>
          <w:szCs w:val="24"/>
          <w:highlight w:val="none"/>
          <w:lang w:val="en-US" w:eastAsia="zh-CN"/>
        </w:rPr>
        <w:t>二次</w:t>
      </w:r>
      <w:r>
        <w:rPr>
          <w:rFonts w:hint="eastAsia" w:asciiTheme="minorEastAsia" w:hAnsiTheme="minorEastAsia" w:cstheme="minorEastAsia"/>
          <w:sz w:val="24"/>
          <w:szCs w:val="24"/>
          <w:highlight w:val="none"/>
          <w:lang w:eastAsia="zh-CN"/>
        </w:rPr>
        <w:t>）</w:t>
      </w:r>
      <w:r>
        <w:rPr>
          <w:rFonts w:hint="eastAsia" w:asciiTheme="minorEastAsia" w:hAnsiTheme="minorEastAsia" w:cstheme="minorEastAsia"/>
          <w:sz w:val="24"/>
          <w:szCs w:val="24"/>
          <w:highlight w:val="none"/>
        </w:rPr>
        <w:t>的潜在供应商应在三门峡市公共资源交易中心网上获取招标文件，并于</w:t>
      </w:r>
      <w:r>
        <w:rPr>
          <w:rFonts w:hint="eastAsia" w:asciiTheme="minorEastAsia" w:hAnsiTheme="minorEastAsia" w:cstheme="minorEastAsia"/>
          <w:sz w:val="24"/>
          <w:szCs w:val="24"/>
          <w:highlight w:val="none"/>
          <w:lang w:eastAsia="zh-CN"/>
        </w:rPr>
        <w:t>2026年10月16日</w:t>
      </w:r>
      <w:r>
        <w:rPr>
          <w:rFonts w:hint="eastAsia" w:asciiTheme="minorEastAsia" w:hAnsiTheme="minorEastAsia" w:cstheme="minorEastAsia"/>
          <w:sz w:val="24"/>
          <w:szCs w:val="24"/>
          <w:highlight w:val="none"/>
        </w:rPr>
        <w:t>08时20分（北京时间）前递交投标文件。</w:t>
      </w:r>
    </w:p>
    <w:p w14:paraId="29FA9C1B">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 xml:space="preserve">一、项目基本情况 </w:t>
      </w:r>
    </w:p>
    <w:p w14:paraId="0E438284">
      <w:pPr>
        <w:spacing w:line="360" w:lineRule="auto"/>
        <w:ind w:firstLine="566" w:firstLineChars="236"/>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rPr>
        <w:t>1.采购项目编号：</w:t>
      </w:r>
      <w:r>
        <w:rPr>
          <w:rFonts w:hint="eastAsia" w:asciiTheme="minorEastAsia" w:hAnsiTheme="minorEastAsia" w:cstheme="minorEastAsia"/>
          <w:sz w:val="24"/>
          <w:szCs w:val="24"/>
          <w:highlight w:val="none"/>
          <w:lang w:val="en-US" w:eastAsia="zh-CN"/>
        </w:rPr>
        <w:t>MCGZ[2026]216-ZC195</w:t>
      </w:r>
      <w:r>
        <w:rPr>
          <w:rFonts w:hint="eastAsia" w:asciiTheme="minorEastAsia" w:hAnsiTheme="minorEastAsia" w:cstheme="minorEastAsia"/>
          <w:sz w:val="24"/>
          <w:szCs w:val="24"/>
          <w:highlight w:val="none"/>
        </w:rPr>
        <w:t>、</w:t>
      </w:r>
      <w:r>
        <w:rPr>
          <w:rFonts w:hint="eastAsia" w:asciiTheme="minorEastAsia" w:hAnsiTheme="minorEastAsia" w:cstheme="minorEastAsia"/>
          <w:sz w:val="24"/>
          <w:szCs w:val="24"/>
          <w:highlight w:val="none"/>
          <w:lang w:eastAsia="zh-CN"/>
        </w:rPr>
        <w:t>渑池竞磋采购-2026-133</w:t>
      </w:r>
    </w:p>
    <w:p w14:paraId="4EF2B91A">
      <w:pPr>
        <w:spacing w:line="360" w:lineRule="auto"/>
        <w:ind w:firstLine="566" w:firstLineChars="236"/>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rPr>
        <w:t>2.采购项目名称：</w:t>
      </w:r>
      <w:r>
        <w:rPr>
          <w:rFonts w:hint="eastAsia" w:asciiTheme="minorEastAsia" w:hAnsiTheme="minorEastAsia" w:cstheme="minorEastAsia"/>
          <w:sz w:val="24"/>
          <w:szCs w:val="24"/>
          <w:highlight w:val="none"/>
          <w:lang w:eastAsia="zh-CN"/>
        </w:rPr>
        <w:t>渑池县仰韶学校计算机采购项目（</w:t>
      </w:r>
      <w:r>
        <w:rPr>
          <w:rFonts w:hint="eastAsia" w:asciiTheme="minorEastAsia" w:hAnsiTheme="minorEastAsia" w:cstheme="minorEastAsia"/>
          <w:sz w:val="24"/>
          <w:szCs w:val="24"/>
          <w:highlight w:val="none"/>
          <w:lang w:val="en-US" w:eastAsia="zh-CN"/>
        </w:rPr>
        <w:t>二次</w:t>
      </w:r>
      <w:r>
        <w:rPr>
          <w:rFonts w:hint="eastAsia" w:asciiTheme="minorEastAsia" w:hAnsiTheme="minorEastAsia" w:cstheme="minorEastAsia"/>
          <w:sz w:val="24"/>
          <w:szCs w:val="24"/>
          <w:highlight w:val="none"/>
          <w:lang w:eastAsia="zh-CN"/>
        </w:rPr>
        <w:t>）</w:t>
      </w:r>
    </w:p>
    <w:p w14:paraId="50B3E84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3.采购方式：竞争性磋商</w:t>
      </w:r>
    </w:p>
    <w:p w14:paraId="20E37AE3">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4.预算金额：</w:t>
      </w:r>
      <w:r>
        <w:rPr>
          <w:rFonts w:hint="eastAsia" w:asciiTheme="minorEastAsia" w:hAnsiTheme="minorEastAsia" w:cstheme="minorEastAsia"/>
          <w:sz w:val="24"/>
          <w:szCs w:val="24"/>
          <w:highlight w:val="none"/>
          <w:lang w:eastAsia="zh-CN"/>
        </w:rPr>
        <w:t>348600.00</w:t>
      </w:r>
      <w:r>
        <w:rPr>
          <w:rFonts w:hint="eastAsia" w:asciiTheme="minorEastAsia" w:hAnsiTheme="minorEastAsia" w:cstheme="minorEastAsia"/>
          <w:sz w:val="24"/>
          <w:szCs w:val="24"/>
          <w:highlight w:val="none"/>
        </w:rPr>
        <w:t>元</w:t>
      </w:r>
    </w:p>
    <w:p w14:paraId="51EE10AF">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最高限价：</w:t>
      </w:r>
      <w:r>
        <w:rPr>
          <w:rFonts w:hint="eastAsia" w:asciiTheme="minorEastAsia" w:hAnsiTheme="minorEastAsia" w:cstheme="minorEastAsia"/>
          <w:sz w:val="24"/>
          <w:szCs w:val="24"/>
          <w:highlight w:val="none"/>
          <w:lang w:eastAsia="zh-CN"/>
        </w:rPr>
        <w:t>348600.00</w:t>
      </w:r>
      <w:r>
        <w:rPr>
          <w:rFonts w:hint="eastAsia" w:asciiTheme="minorEastAsia" w:hAnsiTheme="minorEastAsia" w:cstheme="minorEastAsia"/>
          <w:sz w:val="24"/>
          <w:szCs w:val="24"/>
          <w:highlight w:val="none"/>
        </w:rPr>
        <w:t>元</w:t>
      </w:r>
    </w:p>
    <w:tbl>
      <w:tblPr>
        <w:tblStyle w:val="24"/>
        <w:tblW w:w="9555"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2741"/>
        <w:gridCol w:w="2416"/>
        <w:gridCol w:w="1532"/>
        <w:gridCol w:w="2034"/>
      </w:tblGrid>
      <w:tr w14:paraId="0FA6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dxa"/>
            <w:vAlign w:val="center"/>
          </w:tcPr>
          <w:p w14:paraId="3502E896">
            <w:pPr>
              <w:spacing w:line="360" w:lineRule="auto"/>
              <w:jc w:val="center"/>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序号</w:t>
            </w:r>
          </w:p>
        </w:tc>
        <w:tc>
          <w:tcPr>
            <w:tcW w:w="2741" w:type="dxa"/>
            <w:vAlign w:val="center"/>
          </w:tcPr>
          <w:p w14:paraId="4BA18241">
            <w:pPr>
              <w:spacing w:line="360" w:lineRule="auto"/>
              <w:ind w:firstLine="566" w:firstLineChars="236"/>
              <w:jc w:val="center"/>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包号</w:t>
            </w:r>
          </w:p>
        </w:tc>
        <w:tc>
          <w:tcPr>
            <w:tcW w:w="2416" w:type="dxa"/>
            <w:vAlign w:val="center"/>
          </w:tcPr>
          <w:p w14:paraId="0E0EE78F">
            <w:pPr>
              <w:spacing w:line="360" w:lineRule="auto"/>
              <w:ind w:firstLine="566" w:firstLineChars="236"/>
              <w:jc w:val="center"/>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包名称</w:t>
            </w:r>
          </w:p>
        </w:tc>
        <w:tc>
          <w:tcPr>
            <w:tcW w:w="1532" w:type="dxa"/>
            <w:vAlign w:val="center"/>
          </w:tcPr>
          <w:p w14:paraId="6CD61AA9">
            <w:pPr>
              <w:spacing w:line="360" w:lineRule="auto"/>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包预算（元）</w:t>
            </w:r>
          </w:p>
        </w:tc>
        <w:tc>
          <w:tcPr>
            <w:tcW w:w="2034" w:type="dxa"/>
            <w:vAlign w:val="center"/>
          </w:tcPr>
          <w:p w14:paraId="6CC9AAB2">
            <w:pPr>
              <w:spacing w:line="360" w:lineRule="auto"/>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包最高限价（元）</w:t>
            </w:r>
          </w:p>
        </w:tc>
      </w:tr>
      <w:tr w14:paraId="65B4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dxa"/>
            <w:vAlign w:val="center"/>
          </w:tcPr>
          <w:p w14:paraId="7C8B2854">
            <w:pPr>
              <w:spacing w:line="360" w:lineRule="auto"/>
              <w:jc w:val="center"/>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w:t>
            </w:r>
          </w:p>
        </w:tc>
        <w:tc>
          <w:tcPr>
            <w:tcW w:w="2741" w:type="dxa"/>
            <w:vAlign w:val="center"/>
          </w:tcPr>
          <w:p w14:paraId="019706AC">
            <w:pPr>
              <w:spacing w:line="360" w:lineRule="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lang w:val="en-US" w:eastAsia="zh-CN"/>
              </w:rPr>
              <w:t>MCGZ[2026]216-ZC195</w:t>
            </w:r>
          </w:p>
        </w:tc>
        <w:tc>
          <w:tcPr>
            <w:tcW w:w="2416" w:type="dxa"/>
            <w:vAlign w:val="center"/>
          </w:tcPr>
          <w:p w14:paraId="19E7942F">
            <w:pPr>
              <w:spacing w:line="360" w:lineRule="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lang w:eastAsia="zh-CN"/>
              </w:rPr>
              <w:t>渑池县仰韶学校计算机采购项目（</w:t>
            </w:r>
            <w:r>
              <w:rPr>
                <w:rFonts w:hint="eastAsia" w:asciiTheme="minorEastAsia" w:hAnsiTheme="minorEastAsia" w:cstheme="minorEastAsia"/>
                <w:sz w:val="24"/>
                <w:szCs w:val="24"/>
                <w:highlight w:val="none"/>
                <w:lang w:val="en-US" w:eastAsia="zh-CN"/>
              </w:rPr>
              <w:t>二次</w:t>
            </w:r>
            <w:r>
              <w:rPr>
                <w:rFonts w:hint="eastAsia" w:asciiTheme="minorEastAsia" w:hAnsiTheme="minorEastAsia" w:cstheme="minorEastAsia"/>
                <w:sz w:val="24"/>
                <w:szCs w:val="24"/>
                <w:highlight w:val="none"/>
                <w:lang w:eastAsia="zh-CN"/>
              </w:rPr>
              <w:t>）</w:t>
            </w:r>
          </w:p>
        </w:tc>
        <w:tc>
          <w:tcPr>
            <w:tcW w:w="1532" w:type="dxa"/>
            <w:vAlign w:val="center"/>
          </w:tcPr>
          <w:p w14:paraId="642C7C2E">
            <w:pPr>
              <w:spacing w:line="360" w:lineRule="auto"/>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lang w:eastAsia="zh-CN"/>
              </w:rPr>
              <w:t>348600.00</w:t>
            </w:r>
          </w:p>
        </w:tc>
        <w:tc>
          <w:tcPr>
            <w:tcW w:w="2034" w:type="dxa"/>
            <w:vAlign w:val="center"/>
          </w:tcPr>
          <w:p w14:paraId="19A4E364">
            <w:pPr>
              <w:spacing w:line="360" w:lineRule="auto"/>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lang w:eastAsia="zh-CN"/>
              </w:rPr>
              <w:t>348600.00</w:t>
            </w:r>
          </w:p>
        </w:tc>
      </w:tr>
    </w:tbl>
    <w:p w14:paraId="4E243D4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5.采购需求（包括但不限于标的的名称、数量、简要技术需求或服务</w:t>
      </w:r>
      <w:r>
        <w:rPr>
          <w:rFonts w:hint="eastAsia" w:asciiTheme="minorEastAsia" w:hAnsiTheme="minorEastAsia" w:cstheme="minorEastAsia"/>
          <w:sz w:val="24"/>
          <w:szCs w:val="24"/>
          <w:highlight w:val="none"/>
          <w:lang w:eastAsia="zh-CN"/>
        </w:rPr>
        <w:t>要求</w:t>
      </w:r>
      <w:r>
        <w:rPr>
          <w:rFonts w:hint="eastAsia" w:asciiTheme="minorEastAsia" w:hAnsiTheme="minorEastAsia" w:cstheme="minorEastAsia"/>
          <w:sz w:val="24"/>
          <w:szCs w:val="24"/>
          <w:highlight w:val="none"/>
        </w:rPr>
        <w:t>等）：</w:t>
      </w:r>
    </w:p>
    <w:p w14:paraId="5F4F6884">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5.1采购范围：</w:t>
      </w:r>
      <w:r>
        <w:rPr>
          <w:rFonts w:hint="eastAsia" w:asciiTheme="minorEastAsia" w:hAnsiTheme="minorEastAsia" w:cstheme="minorEastAsia"/>
          <w:sz w:val="24"/>
          <w:szCs w:val="24"/>
          <w:highlight w:val="none"/>
          <w:lang w:eastAsia="zh-CN"/>
        </w:rPr>
        <w:t>渑池县仰韶学校计算机采购项目</w:t>
      </w:r>
      <w:r>
        <w:rPr>
          <w:rFonts w:hint="eastAsia" w:asciiTheme="minorEastAsia" w:hAnsiTheme="minorEastAsia" w:cstheme="minorEastAsia"/>
          <w:sz w:val="24"/>
          <w:szCs w:val="24"/>
          <w:highlight w:val="none"/>
        </w:rPr>
        <w:t>（本项目包含货物的采购</w:t>
      </w:r>
      <w:r>
        <w:rPr>
          <w:rFonts w:hint="eastAsia" w:asciiTheme="minorEastAsia" w:hAnsiTheme="minorEastAsia" w:cstheme="minorEastAsia"/>
          <w:sz w:val="24"/>
          <w:szCs w:val="24"/>
          <w:highlight w:val="none"/>
          <w:lang w:eastAsia="zh-CN"/>
        </w:rPr>
        <w:t>、</w:t>
      </w:r>
      <w:r>
        <w:rPr>
          <w:rFonts w:hint="eastAsia" w:asciiTheme="minorEastAsia" w:hAnsiTheme="minorEastAsia" w:cstheme="minorEastAsia"/>
          <w:sz w:val="24"/>
          <w:szCs w:val="24"/>
          <w:highlight w:val="none"/>
        </w:rPr>
        <w:t>安装、调试、验收、培训、质保期内外服务、与货物有关的运输和保险及其他伴随服务等）。（详见第五章采购清单及技术参数）。</w:t>
      </w:r>
    </w:p>
    <w:p w14:paraId="046971BD">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5.2预算金额：</w:t>
      </w:r>
      <w:r>
        <w:rPr>
          <w:rFonts w:hint="eastAsia" w:asciiTheme="minorEastAsia" w:hAnsiTheme="minorEastAsia" w:cstheme="minorEastAsia"/>
          <w:sz w:val="24"/>
          <w:szCs w:val="24"/>
          <w:highlight w:val="none"/>
          <w:lang w:eastAsia="zh-CN"/>
        </w:rPr>
        <w:t>348600.00</w:t>
      </w:r>
      <w:r>
        <w:rPr>
          <w:rFonts w:hint="eastAsia" w:asciiTheme="minorEastAsia" w:hAnsiTheme="minorEastAsia" w:cstheme="minorEastAsia"/>
          <w:sz w:val="24"/>
          <w:szCs w:val="24"/>
          <w:highlight w:val="none"/>
        </w:rPr>
        <w:t>元</w:t>
      </w:r>
    </w:p>
    <w:p w14:paraId="5C3D14B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5.3资金来源：</w:t>
      </w:r>
      <w:r>
        <w:rPr>
          <w:rFonts w:hint="eastAsia" w:asciiTheme="minorEastAsia" w:hAnsiTheme="minorEastAsia" w:cstheme="minorEastAsia"/>
          <w:sz w:val="24"/>
          <w:szCs w:val="24"/>
          <w:highlight w:val="none"/>
          <w:lang w:eastAsia="zh-CN"/>
        </w:rPr>
        <w:t>财政资金</w:t>
      </w:r>
      <w:r>
        <w:rPr>
          <w:rFonts w:hint="eastAsia" w:asciiTheme="minorEastAsia" w:hAnsiTheme="minorEastAsia" w:cstheme="minorEastAsia"/>
          <w:sz w:val="24"/>
          <w:szCs w:val="24"/>
          <w:highlight w:val="none"/>
        </w:rPr>
        <w:t>，已落实。</w:t>
      </w:r>
    </w:p>
    <w:p w14:paraId="2E5054A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5.4质量要求：合格。</w:t>
      </w:r>
    </w:p>
    <w:p w14:paraId="5ACD1A0F">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5.5供货期：</w:t>
      </w:r>
      <w:r>
        <w:rPr>
          <w:rFonts w:hint="eastAsia" w:asciiTheme="minorEastAsia" w:hAnsiTheme="minorEastAsia" w:cstheme="minorEastAsia"/>
          <w:sz w:val="24"/>
          <w:szCs w:val="24"/>
          <w:highlight w:val="none"/>
          <w:lang w:eastAsia="zh-CN"/>
        </w:rPr>
        <w:t>自合同签订之日起15日历天</w:t>
      </w:r>
      <w:r>
        <w:rPr>
          <w:rFonts w:hint="eastAsia" w:asciiTheme="minorEastAsia" w:hAnsiTheme="minorEastAsia" w:cstheme="minorEastAsia"/>
          <w:sz w:val="24"/>
          <w:szCs w:val="24"/>
          <w:highlight w:val="none"/>
        </w:rPr>
        <w:t>。</w:t>
      </w:r>
    </w:p>
    <w:p w14:paraId="096D878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5.6交货地点：采购人指定地点。</w:t>
      </w:r>
    </w:p>
    <w:p w14:paraId="49F5AE0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6.合同履行期限：</w:t>
      </w:r>
      <w:r>
        <w:rPr>
          <w:rFonts w:hint="eastAsia" w:asciiTheme="minorEastAsia" w:hAnsiTheme="minorEastAsia" w:cstheme="minorEastAsia"/>
          <w:sz w:val="24"/>
          <w:szCs w:val="24"/>
          <w:highlight w:val="none"/>
          <w:lang w:eastAsia="zh-CN"/>
        </w:rPr>
        <w:t>自合同签订之日起15日历天</w:t>
      </w:r>
      <w:r>
        <w:rPr>
          <w:rFonts w:hint="eastAsia" w:asciiTheme="minorEastAsia" w:hAnsiTheme="minorEastAsia" w:cstheme="minorEastAsia"/>
          <w:sz w:val="24"/>
          <w:szCs w:val="24"/>
          <w:highlight w:val="none"/>
        </w:rPr>
        <w:t>。</w:t>
      </w:r>
    </w:p>
    <w:p w14:paraId="7121DD71">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7.本项目是否接受联合体投标：否</w:t>
      </w:r>
    </w:p>
    <w:p w14:paraId="3B3919E8">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8.是否接受进口产品：否</w:t>
      </w:r>
    </w:p>
    <w:p w14:paraId="18A3BBD1">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9.是否专门面向中小企业：否</w:t>
      </w:r>
    </w:p>
    <w:p w14:paraId="5C68EEEE">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二、供应商资格要求</w:t>
      </w:r>
    </w:p>
    <w:p w14:paraId="40A30E88">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1.满足《中华人民共和国政府采购法》第二十二条规定：</w:t>
      </w:r>
    </w:p>
    <w:p w14:paraId="4A714ABA">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2.落实政府采购政策满足的资格要求：</w:t>
      </w:r>
      <w:r>
        <w:rPr>
          <w:rFonts w:hint="eastAsia" w:ascii="宋体" w:hAnsi="宋体" w:cs="宋体"/>
          <w:sz w:val="24"/>
          <w:szCs w:val="24"/>
          <w:highlight w:val="none"/>
        </w:rPr>
        <w:t>本项目非专门面向中小微企业采购项目，执行优先采购节能环保、环境标志性产品，促进中小企业（监狱企业、残疾人福利性企业）发展等政府采购政策。</w:t>
      </w:r>
    </w:p>
    <w:p w14:paraId="774C9ACF">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3.本项目的特定资格要求：</w:t>
      </w:r>
    </w:p>
    <w:p w14:paraId="50DBDDDA">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3.1供应商具有有效的营业执照；</w:t>
      </w:r>
    </w:p>
    <w:p w14:paraId="6D448AC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2</w:t>
      </w:r>
      <w:r>
        <w:rPr>
          <w:rFonts w:hint="eastAsia" w:asciiTheme="minorEastAsia" w:hAnsiTheme="minorEastAsia" w:cstheme="minorEastAsia"/>
          <w:sz w:val="24"/>
          <w:szCs w:val="24"/>
          <w:highlight w:val="none"/>
        </w:rPr>
        <w:t>供应商出具无行贿犯罪记录，在中国裁判文书网自行查询或自行承诺（查询对象：企业、法定代表人）；</w:t>
      </w:r>
    </w:p>
    <w:p w14:paraId="798C873F">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3</w:t>
      </w:r>
      <w:r>
        <w:rPr>
          <w:rFonts w:hint="eastAsia" w:asciiTheme="minorEastAsia" w:hAnsiTheme="minorEastAsia" w:cstheme="minorEastAsia"/>
          <w:sz w:val="24"/>
          <w:szCs w:val="24"/>
          <w:highlight w:val="none"/>
        </w:rPr>
        <w:t>供应商需提供无商业贿赂及无不正当竞争行为的承诺书；</w:t>
      </w:r>
    </w:p>
    <w:p w14:paraId="1F2D7A71">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bookmarkStart w:id="14" w:name="_Hlk139301777"/>
      <w:r>
        <w:rPr>
          <w:rFonts w:hint="eastAsia" w:asciiTheme="minorEastAsia" w:hAnsiTheme="minorEastAsia" w:cstheme="minorEastAsia"/>
          <w:sz w:val="24"/>
          <w:szCs w:val="24"/>
          <w:highlight w:val="none"/>
          <w:lang w:val="en-US" w:eastAsia="zh-CN"/>
        </w:rPr>
        <w:t>4</w:t>
      </w:r>
      <w:r>
        <w:rPr>
          <w:rFonts w:hint="eastAsia" w:asciiTheme="minorEastAsia" w:hAnsiTheme="minorEastAsia" w:cstheme="minorEastAsia"/>
          <w:sz w:val="24"/>
          <w:szCs w:val="24"/>
          <w:highlight w:val="none"/>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加盖单位公章，截图需显示查询时间，查询时间：自公告发布之日起至投标截止时间前）；</w:t>
      </w:r>
      <w:bookmarkEnd w:id="14"/>
    </w:p>
    <w:p w14:paraId="2EBF12F3">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5</w:t>
      </w:r>
      <w:r>
        <w:rPr>
          <w:rFonts w:hint="eastAsia" w:asciiTheme="minorEastAsia" w:hAnsiTheme="minorEastAsia" w:cstheme="minorEastAsia"/>
          <w:sz w:val="24"/>
          <w:szCs w:val="24"/>
          <w:highlight w:val="none"/>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14:paraId="7346BC3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6</w:t>
      </w:r>
      <w:r>
        <w:rPr>
          <w:rFonts w:hint="eastAsia" w:asciiTheme="minorEastAsia" w:hAnsiTheme="minorEastAsia" w:cstheme="minorEastAsia"/>
          <w:sz w:val="24"/>
          <w:szCs w:val="24"/>
          <w:highlight w:val="none"/>
        </w:rPr>
        <w:t>本项目不接受联合体投标，提供非联合体投标承诺，格式自拟。</w:t>
      </w:r>
    </w:p>
    <w:p w14:paraId="7BAF257A">
      <w:pPr>
        <w:widowControl/>
        <w:spacing w:line="360" w:lineRule="auto"/>
        <w:ind w:firstLine="482" w:firstLineChars="200"/>
        <w:jc w:val="left"/>
        <w:rPr>
          <w:rFonts w:hint="eastAsia" w:ascii="宋体" w:hAnsi="宋体" w:eastAsia="宋体" w:cs="宋体"/>
          <w:b/>
          <w:kern w:val="0"/>
          <w:sz w:val="24"/>
          <w:highlight w:val="none"/>
          <w:lang w:bidi="ar"/>
        </w:rPr>
      </w:pPr>
      <w:r>
        <w:rPr>
          <w:rFonts w:hint="eastAsia" w:ascii="宋体" w:hAnsi="宋体" w:eastAsia="宋体" w:cs="宋体"/>
          <w:b/>
          <w:kern w:val="0"/>
          <w:sz w:val="24"/>
          <w:highlight w:val="none"/>
          <w:lang w:bidi="ar"/>
        </w:rPr>
        <w:t>注：本次磋商实行资格后审，资格评审以投标文件为准，其上传资料真实性由供应商自行承担，同时供应商要完善主体库。</w:t>
      </w:r>
    </w:p>
    <w:p w14:paraId="093DACA3">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三、获取竞争性磋商文件</w:t>
      </w:r>
    </w:p>
    <w:p w14:paraId="1E14B1A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1.时间：202</w:t>
      </w:r>
      <w:r>
        <w:rPr>
          <w:rFonts w:hint="eastAsia" w:asciiTheme="minorEastAsia" w:hAnsiTheme="minorEastAsia" w:cstheme="minorEastAsia"/>
          <w:sz w:val="24"/>
          <w:szCs w:val="24"/>
          <w:highlight w:val="none"/>
          <w:lang w:val="en-US" w:eastAsia="zh-CN"/>
        </w:rPr>
        <w:t>6</w:t>
      </w:r>
      <w:r>
        <w:rPr>
          <w:rFonts w:hint="eastAsia" w:asciiTheme="minorEastAsia" w:hAnsiTheme="minorEastAsia" w:cstheme="minorEastAsia"/>
          <w:sz w:val="24"/>
          <w:szCs w:val="24"/>
          <w:highlight w:val="none"/>
        </w:rPr>
        <w:t>年</w:t>
      </w:r>
      <w:r>
        <w:rPr>
          <w:rFonts w:hint="eastAsia" w:asciiTheme="minorEastAsia" w:hAnsiTheme="minorEastAsia" w:cstheme="minorEastAsia"/>
          <w:sz w:val="24"/>
          <w:szCs w:val="24"/>
          <w:highlight w:val="none"/>
          <w:lang w:val="en-US" w:eastAsia="zh-CN"/>
        </w:rPr>
        <w:t>09</w:t>
      </w:r>
      <w:r>
        <w:rPr>
          <w:rFonts w:hint="eastAsia" w:asciiTheme="minorEastAsia" w:hAnsiTheme="minorEastAsia" w:cstheme="minorEastAsia"/>
          <w:sz w:val="24"/>
          <w:szCs w:val="24"/>
          <w:highlight w:val="none"/>
          <w:lang w:eastAsia="zh-CN"/>
        </w:rPr>
        <w:t>月</w:t>
      </w:r>
      <w:r>
        <w:rPr>
          <w:rFonts w:hint="eastAsia" w:asciiTheme="minorEastAsia" w:hAnsiTheme="minorEastAsia" w:cstheme="minorEastAsia"/>
          <w:sz w:val="24"/>
          <w:szCs w:val="24"/>
          <w:highlight w:val="none"/>
          <w:lang w:val="en-US" w:eastAsia="zh-CN"/>
        </w:rPr>
        <w:t>29</w:t>
      </w:r>
      <w:r>
        <w:rPr>
          <w:rFonts w:hint="eastAsia" w:asciiTheme="minorEastAsia" w:hAnsiTheme="minorEastAsia" w:cstheme="minorEastAsia"/>
          <w:sz w:val="24"/>
          <w:szCs w:val="24"/>
          <w:highlight w:val="none"/>
        </w:rPr>
        <w:t>日至</w:t>
      </w:r>
      <w:r>
        <w:rPr>
          <w:rFonts w:hint="eastAsia" w:asciiTheme="minorEastAsia" w:hAnsiTheme="minorEastAsia" w:cstheme="minorEastAsia"/>
          <w:sz w:val="24"/>
          <w:szCs w:val="24"/>
          <w:highlight w:val="none"/>
          <w:lang w:eastAsia="zh-CN"/>
        </w:rPr>
        <w:t>2026年</w:t>
      </w:r>
      <w:r>
        <w:rPr>
          <w:rFonts w:hint="eastAsia" w:asciiTheme="minorEastAsia" w:hAnsiTheme="minorEastAsia" w:cstheme="minorEastAsia"/>
          <w:sz w:val="24"/>
          <w:szCs w:val="24"/>
          <w:highlight w:val="none"/>
          <w:lang w:val="en-US" w:eastAsia="zh-CN"/>
        </w:rPr>
        <w:t>10</w:t>
      </w:r>
      <w:r>
        <w:rPr>
          <w:rFonts w:hint="eastAsia" w:asciiTheme="minorEastAsia" w:hAnsiTheme="minorEastAsia" w:cstheme="minorEastAsia"/>
          <w:sz w:val="24"/>
          <w:szCs w:val="24"/>
          <w:highlight w:val="none"/>
          <w:lang w:eastAsia="zh-CN"/>
        </w:rPr>
        <w:t>月</w:t>
      </w:r>
      <w:r>
        <w:rPr>
          <w:rFonts w:hint="eastAsia" w:asciiTheme="minorEastAsia" w:hAnsiTheme="minorEastAsia" w:cstheme="minorEastAsia"/>
          <w:sz w:val="24"/>
          <w:szCs w:val="24"/>
          <w:highlight w:val="none"/>
          <w:lang w:val="en-US" w:eastAsia="zh-CN"/>
        </w:rPr>
        <w:t>15</w:t>
      </w:r>
      <w:r>
        <w:rPr>
          <w:rFonts w:hint="eastAsia" w:asciiTheme="minorEastAsia" w:hAnsiTheme="minorEastAsia" w:cstheme="minorEastAsia"/>
          <w:sz w:val="24"/>
          <w:szCs w:val="24"/>
          <w:highlight w:val="none"/>
          <w:lang w:eastAsia="zh-CN"/>
        </w:rPr>
        <w:t>日</w:t>
      </w:r>
      <w:r>
        <w:rPr>
          <w:rFonts w:hint="eastAsia" w:asciiTheme="minorEastAsia" w:hAnsiTheme="minorEastAsia" w:cstheme="minorEastAsia"/>
          <w:sz w:val="24"/>
          <w:szCs w:val="24"/>
          <w:highlight w:val="none"/>
        </w:rPr>
        <w:t>，每天上午00:00至12:00，下午12:00至23:59（北京时间，法定节假日除外。）</w:t>
      </w:r>
    </w:p>
    <w:p w14:paraId="1AF0DFC4">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2.地点：三门峡市公共资源交易中心网</w:t>
      </w:r>
    </w:p>
    <w:p w14:paraId="25C5123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方式：供应商凭CA数字证书通过三门峡市公共资源交易中心网（网址：http://gzjy.smx.gov.cn/），点击交易平台选择“市场主体登录”，登陆系统后，点击采购业务-业务管理-招标文件领取菜单-点击领取按钮-领取.smxzf格式的电子招标文件。</w:t>
      </w:r>
    </w:p>
    <w:p w14:paraId="14594BD6">
      <w:pPr>
        <w:spacing w:line="360" w:lineRule="auto"/>
        <w:ind w:left="563" w:leftChars="268"/>
        <w:jc w:val="left"/>
        <w:rPr>
          <w:rFonts w:hint="eastAsia" w:asciiTheme="minorEastAsia" w:hAnsiTheme="minorEastAsia" w:cstheme="minorEastAsia"/>
          <w:highlight w:val="none"/>
        </w:rPr>
      </w:pPr>
      <w:r>
        <w:rPr>
          <w:rFonts w:hint="eastAsia" w:asciiTheme="minorEastAsia" w:hAnsiTheme="minorEastAsia" w:cstheme="minorEastAsia"/>
          <w:sz w:val="24"/>
          <w:szCs w:val="24"/>
          <w:highlight w:val="none"/>
        </w:rPr>
        <w:t>办理CA证书：http://gzjy.smx.gov.cn/bzzx/008001/20231102/4defc9b5-408e-47f2-9e9f-1f376a06ee1f.html</w:t>
      </w:r>
    </w:p>
    <w:p w14:paraId="40BF018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4.售价：0元</w:t>
      </w:r>
    </w:p>
    <w:p w14:paraId="7AAA2EAB">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四、投标截止时间(投标文件递交截止时间)及地点</w:t>
      </w:r>
    </w:p>
    <w:p w14:paraId="6DCD50C7">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1.时间：</w:t>
      </w:r>
      <w:r>
        <w:rPr>
          <w:rFonts w:hint="eastAsia" w:asciiTheme="minorEastAsia" w:hAnsiTheme="minorEastAsia" w:cstheme="minorEastAsia"/>
          <w:sz w:val="24"/>
          <w:szCs w:val="24"/>
          <w:highlight w:val="none"/>
          <w:lang w:eastAsia="zh-CN"/>
        </w:rPr>
        <w:t>2026年10月16日</w:t>
      </w:r>
      <w:r>
        <w:rPr>
          <w:rFonts w:hint="eastAsia" w:asciiTheme="minorEastAsia" w:hAnsiTheme="minorEastAsia" w:cstheme="minorEastAsia"/>
          <w:sz w:val="24"/>
          <w:szCs w:val="24"/>
          <w:highlight w:val="none"/>
        </w:rPr>
        <w:t>08时20分。</w:t>
      </w:r>
    </w:p>
    <w:p w14:paraId="78A0C977">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2.地点：加密电子投标文件须在投标截止时间前通过三门峡市公共资源交易中心电子交易平台加密上传。</w:t>
      </w:r>
    </w:p>
    <w:p w14:paraId="4B5DDF14">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五、开标时间及地点</w:t>
      </w:r>
      <w:r>
        <w:rPr>
          <w:rFonts w:hint="eastAsia" w:asciiTheme="minorEastAsia" w:hAnsiTheme="minorEastAsia" w:cstheme="minorEastAsia"/>
          <w:sz w:val="24"/>
          <w:szCs w:val="24"/>
          <w:highlight w:val="none"/>
        </w:rPr>
        <w:tab/>
      </w:r>
    </w:p>
    <w:p w14:paraId="6B43DE0D">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1.时间：</w:t>
      </w:r>
      <w:r>
        <w:rPr>
          <w:rFonts w:hint="eastAsia" w:asciiTheme="minorEastAsia" w:hAnsiTheme="minorEastAsia" w:cstheme="minorEastAsia"/>
          <w:sz w:val="24"/>
          <w:szCs w:val="24"/>
          <w:highlight w:val="none"/>
          <w:lang w:eastAsia="zh-CN"/>
        </w:rPr>
        <w:t>2026年10月16日</w:t>
      </w:r>
      <w:r>
        <w:rPr>
          <w:rFonts w:hint="eastAsia" w:asciiTheme="minorEastAsia" w:hAnsiTheme="minorEastAsia" w:cstheme="minorEastAsia"/>
          <w:sz w:val="24"/>
          <w:szCs w:val="24"/>
          <w:highlight w:val="none"/>
        </w:rPr>
        <w:t>08时20分。</w:t>
      </w:r>
    </w:p>
    <w:p w14:paraId="25AA861F">
      <w:pPr>
        <w:spacing w:line="360" w:lineRule="auto"/>
        <w:ind w:firstLine="566" w:firstLineChars="236"/>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rPr>
        <w:t>2.地点：渑池县公共资源交易中心六楼</w:t>
      </w:r>
      <w:r>
        <w:rPr>
          <w:rFonts w:hint="eastAsia" w:asciiTheme="minorEastAsia" w:hAnsiTheme="minorEastAsia" w:cstheme="minorEastAsia"/>
          <w:sz w:val="24"/>
          <w:szCs w:val="24"/>
          <w:highlight w:val="none"/>
          <w:lang w:eastAsia="zh-CN"/>
        </w:rPr>
        <w:t>开标二室</w:t>
      </w:r>
    </w:p>
    <w:p w14:paraId="19E80E3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六、发布公告的媒介</w:t>
      </w:r>
    </w:p>
    <w:p w14:paraId="7676C56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本次公告在《</w:t>
      </w:r>
      <w:r>
        <w:rPr>
          <w:rFonts w:hint="eastAsia" w:ascii="宋体" w:hAnsi="宋体" w:cs="Calibri"/>
          <w:kern w:val="0"/>
          <w:sz w:val="24"/>
          <w:highlight w:val="none"/>
          <w:lang w:eastAsia="zh-CN"/>
        </w:rPr>
        <w:t>中国招标投标公共服务平台</w:t>
      </w:r>
      <w:r>
        <w:rPr>
          <w:rFonts w:hint="eastAsia" w:asciiTheme="minorEastAsia" w:hAnsiTheme="minorEastAsia" w:cstheme="minorEastAsia"/>
          <w:sz w:val="24"/>
          <w:szCs w:val="24"/>
          <w:highlight w:val="none"/>
        </w:rPr>
        <w:t>》、《河南省政府采购网》、《三门峡市公共资源交易中心》上发布。</w:t>
      </w:r>
    </w:p>
    <w:p w14:paraId="457FBD56">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七、其他补充事宜</w:t>
      </w:r>
    </w:p>
    <w:p w14:paraId="508F59A4">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1.本项目为不见面开标项目，开标当日，供应商无需到开标现场参加开标会议，供应商应当在投标截止时间前，登陆不见面开标大厅选择登陆三门峡市公共资源电子招投标系统进行登陆（网址为</w:t>
      </w:r>
      <w:r>
        <w:rPr>
          <w:rFonts w:asciiTheme="minorEastAsia" w:hAnsiTheme="minorEastAsia" w:cstheme="minorEastAsia"/>
          <w:sz w:val="24"/>
          <w:szCs w:val="24"/>
          <w:highlight w:val="none"/>
        </w:rPr>
        <w:t>http://120.194.249.36:10094/BidOpening/bidopeninghallaction/hall/login</w:t>
      </w:r>
      <w:r>
        <w:rPr>
          <w:rFonts w:hint="eastAsia" w:asciiTheme="minorEastAsia" w:hAnsiTheme="minorEastAsia" w:cstheme="minorEastAsia"/>
          <w:sz w:val="24"/>
          <w:szCs w:val="24"/>
          <w:highlight w:val="none"/>
        </w:rPr>
        <w:t>）,在线准时参加开标活动并进行投标文件解密等。每位供应商的解密时间为开标时间起30分钟内完成。因供应商原因未能解密、解密失败或解密超时的将被拒绝。</w:t>
      </w:r>
    </w:p>
    <w:p w14:paraId="266EDAC5">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2.本项目为电子化、无纸化交易项目，开标时不再接受任何纸质资料，为保证您能投标成功，请需仔细阅读招标文件和三门峡市公共资源交易中心官网业务办理指南。</w:t>
      </w:r>
    </w:p>
    <w:p w14:paraId="05CB8A84">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3.根据《河南省财政厅关于优化政府采购营商环境有关问题的通知》（豫财购【2019】4号）第6条的规定，投标保证金不再收取。</w:t>
      </w:r>
    </w:p>
    <w:p w14:paraId="6C8DA059">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4.</w:t>
      </w:r>
      <w:r>
        <w:rPr>
          <w:rFonts w:hint="eastAsia"/>
          <w:sz w:val="24"/>
          <w:szCs w:val="24"/>
          <w:highlight w:val="none"/>
        </w:rPr>
        <w:t xml:space="preserve"> </w:t>
      </w:r>
      <w:r>
        <w:rPr>
          <w:rFonts w:hint="eastAsia" w:asciiTheme="minorEastAsia" w:hAnsiTheme="minorEastAsia" w:cstheme="minorEastAsia"/>
          <w:sz w:val="24"/>
          <w:szCs w:val="24"/>
          <w:highlight w:val="none"/>
        </w:rPr>
        <w:t>资格评（预）审部分：资格评（预）以投标文件为准，其上传资料真实性由供应商自行承担。同时，供应商应在开标前自行完善主体库信息。</w:t>
      </w:r>
    </w:p>
    <w:p w14:paraId="104D7198">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5.评标打分部分：评标打分部分仍按照100分制原则进行，涉及到资格审查、企业荣誉、企业业绩等计分部分时，以投标单位自行上传到投标文件中的相应内容为准。</w:t>
      </w:r>
    </w:p>
    <w:p w14:paraId="060B800E">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6.在招标文件中要求供应商按照投标文件格式进行投标文件编制，在投标文件编制时，应明确将供应商企业基本情况、人员情况、财务情况、业绩情况编入投标文件，便于进行资格审查及评标打分。</w:t>
      </w:r>
    </w:p>
    <w:p w14:paraId="023C5688">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7.我单位（采购人）严格按三财购【2021】9号文要求的时限发布中标结果公告，发出中标通知书，签订采购合同，上传采购合同。</w:t>
      </w:r>
    </w:p>
    <w:p w14:paraId="5FD050C8">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八、凡对本次招标提出询问，请按照以下方式联系</w:t>
      </w:r>
    </w:p>
    <w:p w14:paraId="55B7FD65">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w:t>
      </w:r>
      <w:bookmarkStart w:id="15" w:name="_Hlk139302531"/>
      <w:r>
        <w:rPr>
          <w:rFonts w:hint="eastAsia" w:asciiTheme="minorEastAsia" w:hAnsiTheme="minorEastAsia" w:cstheme="minorEastAsia"/>
          <w:sz w:val="24"/>
          <w:szCs w:val="24"/>
          <w:highlight w:val="none"/>
        </w:rPr>
        <w:t>监督单位：渑池县政府采购办公室</w:t>
      </w:r>
      <w:bookmarkEnd w:id="15"/>
    </w:p>
    <w:p w14:paraId="0E80FC63">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联系方式：</w:t>
      </w:r>
      <w:bookmarkStart w:id="16" w:name="_Hlk139302540"/>
      <w:r>
        <w:rPr>
          <w:rFonts w:hint="eastAsia" w:asciiTheme="minorEastAsia" w:hAnsiTheme="minorEastAsia" w:cstheme="minorEastAsia"/>
          <w:sz w:val="24"/>
          <w:szCs w:val="24"/>
          <w:highlight w:val="none"/>
        </w:rPr>
        <w:t>0398-4818677</w:t>
      </w:r>
      <w:bookmarkEnd w:id="16"/>
    </w:p>
    <w:p w14:paraId="055F1CA3">
      <w:pPr>
        <w:spacing w:line="360" w:lineRule="auto"/>
        <w:ind w:firstLine="484" w:firstLineChars="202"/>
        <w:rPr>
          <w:rFonts w:hint="eastAsia" w:asciiTheme="minorEastAsia" w:hAnsiTheme="minorEastAsia" w:cstheme="minorEastAsia"/>
          <w:sz w:val="24"/>
          <w:szCs w:val="24"/>
          <w:highlight w:val="none"/>
          <w:lang w:eastAsia="zh-CN"/>
        </w:rPr>
      </w:pPr>
      <w:bookmarkStart w:id="17" w:name="_Toc27640"/>
      <w:bookmarkStart w:id="18" w:name="_Toc8198"/>
      <w:r>
        <w:rPr>
          <w:rFonts w:hint="eastAsia" w:asciiTheme="minorEastAsia" w:hAnsiTheme="minorEastAsia" w:cstheme="minorEastAsia"/>
          <w:sz w:val="24"/>
          <w:szCs w:val="24"/>
          <w:highlight w:val="none"/>
        </w:rPr>
        <w:t>2、采购人：</w:t>
      </w:r>
      <w:bookmarkEnd w:id="17"/>
      <w:bookmarkEnd w:id="18"/>
      <w:r>
        <w:rPr>
          <w:rFonts w:hint="eastAsia" w:asciiTheme="minorEastAsia" w:hAnsiTheme="minorEastAsia" w:cstheme="minorEastAsia"/>
          <w:sz w:val="24"/>
          <w:szCs w:val="24"/>
          <w:highlight w:val="none"/>
          <w:lang w:eastAsia="zh-CN"/>
        </w:rPr>
        <w:t>渑池县仰韶学校</w:t>
      </w:r>
    </w:p>
    <w:p w14:paraId="2CDA554F">
      <w:pPr>
        <w:spacing w:line="360" w:lineRule="auto"/>
        <w:ind w:firstLine="484" w:firstLineChars="202"/>
        <w:rPr>
          <w:rFonts w:hint="eastAsia" w:asciiTheme="minorEastAsia" w:hAnsiTheme="minorEastAsia" w:eastAsiaTheme="minorEastAsia" w:cstheme="minorEastAsia"/>
          <w:sz w:val="24"/>
          <w:szCs w:val="24"/>
          <w:highlight w:val="none"/>
          <w:lang w:val="en-US" w:eastAsia="zh-CN"/>
        </w:rPr>
      </w:pPr>
      <w:bookmarkStart w:id="19" w:name="_Toc6612"/>
      <w:r>
        <w:rPr>
          <w:rFonts w:hint="eastAsia" w:asciiTheme="minorEastAsia" w:hAnsiTheme="minorEastAsia" w:cstheme="minorEastAsia"/>
          <w:sz w:val="24"/>
          <w:szCs w:val="24"/>
          <w:highlight w:val="none"/>
        </w:rPr>
        <w:t>地址：渑池县韶州路</w:t>
      </w:r>
    </w:p>
    <w:p w14:paraId="4F078519">
      <w:pPr>
        <w:spacing w:line="360" w:lineRule="auto"/>
        <w:ind w:firstLine="484" w:firstLineChars="202"/>
        <w:rPr>
          <w:rFonts w:hint="eastAsia" w:asciiTheme="minorEastAsia" w:hAnsiTheme="minorEastAsia" w:cstheme="minorEastAsia"/>
          <w:sz w:val="24"/>
          <w:szCs w:val="24"/>
          <w:highlight w:val="none"/>
          <w:lang w:eastAsia="zh-CN"/>
        </w:rPr>
      </w:pPr>
      <w:r>
        <w:rPr>
          <w:rFonts w:hint="eastAsia" w:asciiTheme="minorEastAsia" w:hAnsiTheme="minorEastAsia" w:cstheme="minorEastAsia"/>
          <w:sz w:val="24"/>
          <w:szCs w:val="24"/>
          <w:highlight w:val="none"/>
        </w:rPr>
        <w:t>联系人：</w:t>
      </w:r>
      <w:r>
        <w:rPr>
          <w:rFonts w:hint="eastAsia" w:asciiTheme="minorEastAsia" w:hAnsiTheme="minorEastAsia" w:cstheme="minorEastAsia"/>
          <w:sz w:val="24"/>
          <w:szCs w:val="24"/>
          <w:highlight w:val="none"/>
          <w:lang w:val="en-US" w:eastAsia="zh-CN"/>
        </w:rPr>
        <w:t>崔先生</w:t>
      </w:r>
    </w:p>
    <w:p w14:paraId="6E8A0245">
      <w:pPr>
        <w:spacing w:line="360" w:lineRule="auto"/>
        <w:ind w:firstLine="484" w:firstLineChars="202"/>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sz w:val="24"/>
          <w:szCs w:val="24"/>
          <w:highlight w:val="none"/>
        </w:rPr>
        <w:t>联系方式：13569609782</w:t>
      </w:r>
    </w:p>
    <w:p w14:paraId="5F75AB37">
      <w:pPr>
        <w:spacing w:line="360" w:lineRule="auto"/>
        <w:ind w:firstLine="480" w:firstLineChars="200"/>
        <w:outlineLvl w:val="1"/>
        <w:rPr>
          <w:rFonts w:hint="eastAsia" w:ascii="宋体" w:hAnsi="宋体" w:cs="宋体"/>
          <w:color w:val="auto"/>
          <w:kern w:val="0"/>
          <w:sz w:val="24"/>
          <w:szCs w:val="24"/>
          <w:highlight w:val="none"/>
          <w:lang w:val="en-US" w:eastAsia="zh-CN"/>
        </w:rPr>
      </w:pPr>
      <w:r>
        <w:rPr>
          <w:rFonts w:hint="eastAsia" w:asciiTheme="minorEastAsia" w:hAnsiTheme="minorEastAsia" w:cstheme="minorEastAsia"/>
          <w:sz w:val="24"/>
          <w:szCs w:val="24"/>
          <w:highlight w:val="none"/>
        </w:rPr>
        <w:t>3、</w:t>
      </w:r>
      <w:bookmarkEnd w:id="19"/>
      <w:r>
        <w:rPr>
          <w:rFonts w:hint="eastAsia" w:ascii="宋体" w:hAnsi="宋体" w:cs="宋体"/>
          <w:color w:val="auto"/>
          <w:kern w:val="0"/>
          <w:sz w:val="24"/>
          <w:szCs w:val="24"/>
          <w:highlight w:val="none"/>
          <w:lang w:val="en-US" w:eastAsia="zh-CN"/>
        </w:rPr>
        <w:t>代理机构：河南昱通工程管理有限公司</w:t>
      </w:r>
    </w:p>
    <w:p w14:paraId="588DBECA">
      <w:pPr>
        <w:spacing w:line="360" w:lineRule="auto"/>
        <w:ind w:firstLine="480" w:firstLineChars="200"/>
        <w:outlineLvl w:val="1"/>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地址：河南自贸试验区郑州片区（郑东）普惠路68号1单元22层2206号</w:t>
      </w:r>
    </w:p>
    <w:p w14:paraId="79B883A0">
      <w:pPr>
        <w:spacing w:line="360" w:lineRule="auto"/>
        <w:ind w:firstLine="480" w:firstLineChars="200"/>
        <w:outlineLvl w:val="1"/>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联系人：荆女士</w:t>
      </w:r>
    </w:p>
    <w:p w14:paraId="56E5B711">
      <w:pPr>
        <w:spacing w:line="360" w:lineRule="auto"/>
        <w:ind w:firstLine="480" w:firstLineChars="200"/>
        <w:outlineLvl w:val="1"/>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联系方式：15936238582</w:t>
      </w:r>
    </w:p>
    <w:p w14:paraId="6438EACC">
      <w:pPr>
        <w:spacing w:line="360" w:lineRule="auto"/>
        <w:ind w:firstLine="484" w:firstLineChars="202"/>
        <w:rPr>
          <w:rFonts w:hint="eastAsia" w:asciiTheme="minorEastAsia" w:hAnsiTheme="minorEastAsia" w:cstheme="minorEastAsia"/>
          <w:sz w:val="24"/>
          <w:szCs w:val="24"/>
          <w:highlight w:val="none"/>
        </w:rPr>
      </w:pPr>
    </w:p>
    <w:p w14:paraId="08021130">
      <w:pPr>
        <w:adjustRightInd w:val="0"/>
        <w:snapToGrid w:val="0"/>
        <w:spacing w:line="360" w:lineRule="auto"/>
        <w:ind w:firstLine="480" w:firstLineChars="200"/>
        <w:outlineLvl w:val="9"/>
        <w:rPr>
          <w:rFonts w:hint="eastAsia" w:ascii="宋体" w:hAnsi="宋体" w:cs="宋体"/>
          <w:sz w:val="24"/>
          <w:highlight w:val="none"/>
        </w:rPr>
      </w:pPr>
      <w:r>
        <w:rPr>
          <w:rFonts w:hint="eastAsia" w:ascii="宋体" w:hAnsi="宋体" w:cs="宋体"/>
          <w:sz w:val="24"/>
          <w:highlight w:val="none"/>
        </w:rPr>
        <w:br w:type="page"/>
      </w:r>
    </w:p>
    <w:p w14:paraId="525A1549">
      <w:pPr>
        <w:pStyle w:val="7"/>
        <w:jc w:val="center"/>
        <w:rPr>
          <w:highlight w:val="none"/>
        </w:rPr>
      </w:pPr>
      <w:bookmarkStart w:id="20" w:name="_Toc18788"/>
      <w:bookmarkStart w:id="21" w:name="_Toc32032"/>
      <w:bookmarkStart w:id="22" w:name="_Toc20926"/>
      <w:bookmarkStart w:id="23" w:name="_Toc43302780"/>
      <w:bookmarkStart w:id="24" w:name="_Toc31308"/>
      <w:bookmarkStart w:id="25" w:name="_Toc10227"/>
      <w:r>
        <w:rPr>
          <w:rFonts w:hint="eastAsia"/>
          <w:highlight w:val="none"/>
        </w:rPr>
        <w:t>第二章</w:t>
      </w:r>
      <w:bookmarkEnd w:id="20"/>
      <w:r>
        <w:rPr>
          <w:rFonts w:hint="eastAsia"/>
          <w:highlight w:val="none"/>
        </w:rPr>
        <w:t xml:space="preserve">  供应商须知</w:t>
      </w:r>
      <w:bookmarkEnd w:id="21"/>
      <w:bookmarkEnd w:id="22"/>
      <w:bookmarkEnd w:id="23"/>
      <w:bookmarkEnd w:id="24"/>
      <w:bookmarkEnd w:id="25"/>
    </w:p>
    <w:p w14:paraId="64EF69DC">
      <w:pPr>
        <w:widowControl/>
        <w:jc w:val="center"/>
        <w:rPr>
          <w:sz w:val="24"/>
          <w:highlight w:val="none"/>
        </w:rPr>
      </w:pPr>
      <w:bookmarkStart w:id="26" w:name="_Toc44996337"/>
      <w:bookmarkEnd w:id="26"/>
      <w:r>
        <w:rPr>
          <w:rFonts w:hint="eastAsia"/>
          <w:sz w:val="24"/>
          <w:highlight w:val="none"/>
        </w:rPr>
        <w:t>供应商须知前附表</w:t>
      </w:r>
    </w:p>
    <w:tbl>
      <w:tblPr>
        <w:tblStyle w:val="24"/>
        <w:tblW w:w="9120" w:type="dxa"/>
        <w:jc w:val="center"/>
        <w:tblLayout w:type="fixed"/>
        <w:tblCellMar>
          <w:top w:w="0" w:type="dxa"/>
          <w:left w:w="108" w:type="dxa"/>
          <w:bottom w:w="0" w:type="dxa"/>
          <w:right w:w="108" w:type="dxa"/>
        </w:tblCellMar>
      </w:tblPr>
      <w:tblGrid>
        <w:gridCol w:w="697"/>
        <w:gridCol w:w="2070"/>
        <w:gridCol w:w="6353"/>
      </w:tblGrid>
      <w:tr w14:paraId="10EC256E">
        <w:tblPrEx>
          <w:tblCellMar>
            <w:top w:w="0" w:type="dxa"/>
            <w:left w:w="108" w:type="dxa"/>
            <w:bottom w:w="0" w:type="dxa"/>
            <w:right w:w="108" w:type="dxa"/>
          </w:tblCellMar>
        </w:tblPrEx>
        <w:trPr>
          <w:trHeight w:val="411"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FBCFCAE">
            <w:pPr>
              <w:widowControl/>
              <w:jc w:val="center"/>
              <w:rPr>
                <w:rFonts w:hint="eastAsia" w:ascii="宋体" w:hAnsi="宋体" w:cs="Calibri"/>
                <w:sz w:val="24"/>
                <w:highlight w:val="none"/>
              </w:rPr>
            </w:pPr>
            <w:r>
              <w:rPr>
                <w:rFonts w:hint="eastAsia" w:ascii="宋体" w:hAnsi="宋体" w:cs="Calibri"/>
                <w:kern w:val="0"/>
                <w:sz w:val="24"/>
                <w:highlight w:val="none"/>
              </w:rPr>
              <w:t>序号</w:t>
            </w:r>
          </w:p>
        </w:tc>
        <w:tc>
          <w:tcPr>
            <w:tcW w:w="2070" w:type="dxa"/>
            <w:tcBorders>
              <w:top w:val="single" w:color="auto" w:sz="4" w:space="0"/>
              <w:left w:val="nil"/>
              <w:bottom w:val="single" w:color="auto" w:sz="4" w:space="0"/>
              <w:right w:val="single" w:color="auto" w:sz="4" w:space="0"/>
            </w:tcBorders>
            <w:vAlign w:val="center"/>
          </w:tcPr>
          <w:p w14:paraId="20367E4C">
            <w:pPr>
              <w:widowControl/>
              <w:ind w:firstLine="240" w:firstLineChars="100"/>
              <w:jc w:val="center"/>
              <w:rPr>
                <w:rFonts w:hint="eastAsia" w:ascii="宋体" w:hAnsi="宋体" w:cs="Calibri"/>
                <w:sz w:val="24"/>
                <w:highlight w:val="none"/>
              </w:rPr>
            </w:pPr>
            <w:r>
              <w:rPr>
                <w:rFonts w:hint="eastAsia" w:ascii="宋体" w:hAnsi="宋体" w:cs="Calibri"/>
                <w:kern w:val="0"/>
                <w:sz w:val="24"/>
                <w:highlight w:val="none"/>
              </w:rPr>
              <w:t>条款名称</w:t>
            </w:r>
          </w:p>
        </w:tc>
        <w:tc>
          <w:tcPr>
            <w:tcW w:w="6353" w:type="dxa"/>
            <w:tcBorders>
              <w:top w:val="single" w:color="auto" w:sz="4" w:space="0"/>
              <w:left w:val="nil"/>
              <w:bottom w:val="single" w:color="auto" w:sz="4" w:space="0"/>
              <w:right w:val="single" w:color="auto" w:sz="4" w:space="0"/>
            </w:tcBorders>
            <w:vAlign w:val="center"/>
          </w:tcPr>
          <w:p w14:paraId="6597F057">
            <w:pPr>
              <w:widowControl/>
              <w:ind w:left="-48" w:leftChars="-23"/>
              <w:jc w:val="center"/>
              <w:rPr>
                <w:rFonts w:hint="eastAsia" w:ascii="宋体" w:hAnsi="宋体" w:cs="Calibri"/>
                <w:sz w:val="24"/>
                <w:highlight w:val="none"/>
              </w:rPr>
            </w:pPr>
            <w:r>
              <w:rPr>
                <w:rFonts w:hint="eastAsia" w:ascii="宋体" w:hAnsi="宋体" w:cs="Calibri"/>
                <w:kern w:val="0"/>
                <w:sz w:val="24"/>
                <w:highlight w:val="none"/>
              </w:rPr>
              <w:t>编列内容</w:t>
            </w:r>
          </w:p>
        </w:tc>
      </w:tr>
      <w:tr w14:paraId="7105D11E">
        <w:tblPrEx>
          <w:tblCellMar>
            <w:top w:w="0" w:type="dxa"/>
            <w:left w:w="108" w:type="dxa"/>
            <w:bottom w:w="0" w:type="dxa"/>
            <w:right w:w="108" w:type="dxa"/>
          </w:tblCellMar>
        </w:tblPrEx>
        <w:trPr>
          <w:trHeight w:val="2016"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E64AF0C">
            <w:pPr>
              <w:widowControl/>
              <w:jc w:val="center"/>
              <w:rPr>
                <w:rFonts w:hint="eastAsia" w:ascii="宋体" w:hAnsi="宋体" w:cs="Calibri"/>
                <w:sz w:val="24"/>
                <w:highlight w:val="none"/>
              </w:rPr>
            </w:pPr>
            <w:r>
              <w:rPr>
                <w:rFonts w:hint="eastAsia" w:ascii="宋体" w:hAnsi="宋体" w:cs="Calibri"/>
                <w:kern w:val="0"/>
                <w:sz w:val="24"/>
                <w:highlight w:val="none"/>
              </w:rPr>
              <w:t>1</w:t>
            </w:r>
          </w:p>
        </w:tc>
        <w:tc>
          <w:tcPr>
            <w:tcW w:w="2070" w:type="dxa"/>
            <w:tcBorders>
              <w:top w:val="single" w:color="auto" w:sz="4" w:space="0"/>
              <w:left w:val="nil"/>
              <w:bottom w:val="single" w:color="auto" w:sz="4" w:space="0"/>
              <w:right w:val="single" w:color="auto" w:sz="4" w:space="0"/>
            </w:tcBorders>
            <w:vAlign w:val="center"/>
          </w:tcPr>
          <w:p w14:paraId="079C4125">
            <w:pPr>
              <w:widowControl/>
              <w:jc w:val="center"/>
              <w:rPr>
                <w:rFonts w:hint="eastAsia" w:ascii="宋体" w:hAnsi="宋体" w:cs="Calibri"/>
                <w:sz w:val="24"/>
                <w:highlight w:val="none"/>
              </w:rPr>
            </w:pPr>
            <w:r>
              <w:rPr>
                <w:rFonts w:hint="eastAsia" w:ascii="宋体" w:hAnsi="宋体" w:cs="Calibri"/>
                <w:sz w:val="24"/>
                <w:highlight w:val="none"/>
              </w:rPr>
              <w:t>采购人</w:t>
            </w:r>
          </w:p>
        </w:tc>
        <w:tc>
          <w:tcPr>
            <w:tcW w:w="6353" w:type="dxa"/>
            <w:tcBorders>
              <w:top w:val="single" w:color="auto" w:sz="4" w:space="0"/>
              <w:left w:val="nil"/>
              <w:bottom w:val="single" w:color="auto" w:sz="4" w:space="0"/>
              <w:right w:val="single" w:color="auto" w:sz="4" w:space="0"/>
            </w:tcBorders>
            <w:vAlign w:val="center"/>
          </w:tcPr>
          <w:p w14:paraId="324244A9">
            <w:pPr>
              <w:spacing w:line="480" w:lineRule="exact"/>
              <w:jc w:val="left"/>
              <w:outlineLvl w:val="0"/>
              <w:rPr>
                <w:rFonts w:hint="eastAsia" w:ascii="宋体" w:hAnsi="宋体" w:cs="宋体"/>
                <w:sz w:val="24"/>
                <w:highlight w:val="none"/>
                <w:lang w:eastAsia="zh-CN"/>
              </w:rPr>
            </w:pPr>
            <w:r>
              <w:rPr>
                <w:rFonts w:hint="eastAsia" w:ascii="宋体" w:hAnsi="宋体" w:cs="宋体"/>
                <w:sz w:val="24"/>
                <w:highlight w:val="none"/>
              </w:rPr>
              <w:t>采购人：</w:t>
            </w:r>
            <w:r>
              <w:rPr>
                <w:rFonts w:hint="eastAsia" w:ascii="宋体" w:hAnsi="宋体" w:cs="宋体"/>
                <w:sz w:val="24"/>
                <w:highlight w:val="none"/>
                <w:lang w:eastAsia="zh-CN"/>
              </w:rPr>
              <w:t>渑池县仰韶学校</w:t>
            </w:r>
          </w:p>
          <w:p w14:paraId="3347BAD9">
            <w:pPr>
              <w:spacing w:line="480" w:lineRule="exact"/>
              <w:jc w:val="left"/>
              <w:outlineLvl w:val="0"/>
              <w:rPr>
                <w:rFonts w:hint="eastAsia" w:ascii="宋体" w:hAnsi="宋体" w:cs="宋体"/>
                <w:sz w:val="24"/>
                <w:highlight w:val="none"/>
                <w:lang w:val="en-US" w:eastAsia="zh-CN"/>
              </w:rPr>
            </w:pPr>
            <w:r>
              <w:rPr>
                <w:rFonts w:hint="eastAsia" w:ascii="宋体" w:hAnsi="宋体" w:cs="宋体"/>
                <w:sz w:val="24"/>
                <w:highlight w:val="none"/>
              </w:rPr>
              <w:t>地址：渑池县韶州路</w:t>
            </w:r>
          </w:p>
          <w:p w14:paraId="541DC759">
            <w:pPr>
              <w:spacing w:line="480" w:lineRule="exact"/>
              <w:jc w:val="left"/>
              <w:outlineLvl w:val="0"/>
              <w:rPr>
                <w:rFonts w:hint="eastAsia" w:ascii="宋体" w:hAnsi="宋体" w:cs="宋体"/>
                <w:sz w:val="24"/>
                <w:highlight w:val="none"/>
                <w:lang w:eastAsia="zh-CN"/>
              </w:rPr>
            </w:pPr>
            <w:r>
              <w:rPr>
                <w:rFonts w:hint="eastAsia" w:ascii="宋体" w:hAnsi="宋体" w:cs="宋体"/>
                <w:sz w:val="24"/>
                <w:highlight w:val="none"/>
              </w:rPr>
              <w:t>联系人：</w:t>
            </w:r>
            <w:r>
              <w:rPr>
                <w:rFonts w:hint="eastAsia" w:ascii="宋体" w:hAnsi="宋体" w:cs="宋体"/>
                <w:sz w:val="24"/>
                <w:highlight w:val="none"/>
                <w:lang w:val="en-US" w:eastAsia="zh-CN"/>
              </w:rPr>
              <w:t>崔先生</w:t>
            </w:r>
          </w:p>
          <w:p w14:paraId="11576963">
            <w:pPr>
              <w:spacing w:line="480" w:lineRule="exact"/>
              <w:jc w:val="left"/>
              <w:outlineLvl w:val="0"/>
              <w:rPr>
                <w:rFonts w:hint="eastAsia" w:ascii="宋体" w:hAnsi="宋体" w:cs="宋体"/>
                <w:sz w:val="24"/>
                <w:highlight w:val="none"/>
              </w:rPr>
            </w:pPr>
            <w:r>
              <w:rPr>
                <w:rFonts w:hint="eastAsia" w:ascii="宋体" w:hAnsi="宋体" w:cs="宋体"/>
                <w:sz w:val="24"/>
                <w:highlight w:val="none"/>
              </w:rPr>
              <w:t>联系方式：13569609782</w:t>
            </w:r>
          </w:p>
        </w:tc>
      </w:tr>
      <w:tr w14:paraId="446564F7">
        <w:tblPrEx>
          <w:tblCellMar>
            <w:top w:w="0" w:type="dxa"/>
            <w:left w:w="108" w:type="dxa"/>
            <w:bottom w:w="0" w:type="dxa"/>
            <w:right w:w="108" w:type="dxa"/>
          </w:tblCellMar>
        </w:tblPrEx>
        <w:trPr>
          <w:trHeight w:val="1996"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07345254">
            <w:pPr>
              <w:widowControl/>
              <w:jc w:val="center"/>
              <w:rPr>
                <w:rFonts w:hint="eastAsia" w:ascii="宋体" w:hAnsi="宋体" w:cs="Calibri"/>
                <w:sz w:val="24"/>
                <w:highlight w:val="none"/>
              </w:rPr>
            </w:pPr>
            <w:r>
              <w:rPr>
                <w:rFonts w:hint="eastAsia" w:ascii="宋体" w:hAnsi="宋体" w:cs="Calibri"/>
                <w:kern w:val="0"/>
                <w:sz w:val="24"/>
                <w:highlight w:val="none"/>
              </w:rPr>
              <w:t>2</w:t>
            </w:r>
          </w:p>
        </w:tc>
        <w:tc>
          <w:tcPr>
            <w:tcW w:w="2070" w:type="dxa"/>
            <w:tcBorders>
              <w:top w:val="single" w:color="auto" w:sz="4" w:space="0"/>
              <w:left w:val="nil"/>
              <w:bottom w:val="single" w:color="auto" w:sz="4" w:space="0"/>
              <w:right w:val="single" w:color="auto" w:sz="4" w:space="0"/>
            </w:tcBorders>
            <w:vAlign w:val="center"/>
          </w:tcPr>
          <w:p w14:paraId="7D471FAD">
            <w:pPr>
              <w:widowControl/>
              <w:jc w:val="center"/>
              <w:rPr>
                <w:rFonts w:hint="eastAsia" w:ascii="宋体" w:hAnsi="宋体" w:cs="Calibri"/>
                <w:sz w:val="24"/>
                <w:highlight w:val="none"/>
              </w:rPr>
            </w:pPr>
            <w:r>
              <w:rPr>
                <w:rFonts w:hint="eastAsia" w:ascii="宋体" w:hAnsi="宋体" w:cs="Calibri"/>
                <w:kern w:val="0"/>
                <w:sz w:val="24"/>
                <w:highlight w:val="none"/>
              </w:rPr>
              <w:t>采购代理机构</w:t>
            </w:r>
          </w:p>
        </w:tc>
        <w:tc>
          <w:tcPr>
            <w:tcW w:w="6353" w:type="dxa"/>
            <w:tcBorders>
              <w:top w:val="single" w:color="auto" w:sz="4" w:space="0"/>
              <w:left w:val="nil"/>
              <w:bottom w:val="single" w:color="auto" w:sz="4" w:space="0"/>
              <w:right w:val="single" w:color="auto" w:sz="4" w:space="0"/>
            </w:tcBorders>
            <w:vAlign w:val="center"/>
          </w:tcPr>
          <w:p w14:paraId="515344BE">
            <w:pPr>
              <w:spacing w:line="480" w:lineRule="exact"/>
              <w:jc w:val="left"/>
              <w:outlineLvl w:val="0"/>
              <w:rPr>
                <w:rFonts w:hint="eastAsia" w:ascii="宋体" w:hAnsi="宋体" w:cs="宋体"/>
                <w:sz w:val="24"/>
                <w:highlight w:val="none"/>
                <w:lang w:val="en-US" w:eastAsia="zh-CN"/>
              </w:rPr>
            </w:pPr>
            <w:r>
              <w:rPr>
                <w:rFonts w:hint="eastAsia" w:ascii="宋体" w:hAnsi="宋体" w:cs="宋体"/>
                <w:sz w:val="24"/>
                <w:highlight w:val="none"/>
                <w:lang w:val="en-US" w:eastAsia="zh-CN"/>
              </w:rPr>
              <w:t>代理机构：河南昱通工程管理有限公司</w:t>
            </w:r>
          </w:p>
          <w:p w14:paraId="5CD4B32E">
            <w:pPr>
              <w:spacing w:line="480" w:lineRule="exact"/>
              <w:jc w:val="left"/>
              <w:outlineLvl w:val="0"/>
              <w:rPr>
                <w:rFonts w:hint="eastAsia" w:ascii="宋体" w:hAnsi="宋体" w:cs="宋体"/>
                <w:sz w:val="24"/>
                <w:highlight w:val="none"/>
                <w:lang w:val="en-US" w:eastAsia="zh-CN"/>
              </w:rPr>
            </w:pPr>
            <w:r>
              <w:rPr>
                <w:rFonts w:hint="eastAsia" w:ascii="宋体" w:hAnsi="宋体" w:cs="宋体"/>
                <w:sz w:val="24"/>
                <w:highlight w:val="none"/>
                <w:lang w:val="en-US" w:eastAsia="zh-CN"/>
              </w:rPr>
              <w:t>地址：河南自贸试验区郑州片区（郑东）普惠路68号1单元22层2206号</w:t>
            </w:r>
          </w:p>
          <w:p w14:paraId="2E60FF5B">
            <w:pPr>
              <w:spacing w:line="480" w:lineRule="exact"/>
              <w:jc w:val="left"/>
              <w:outlineLvl w:val="0"/>
              <w:rPr>
                <w:rFonts w:hint="eastAsia" w:ascii="宋体" w:hAnsi="宋体" w:cs="宋体"/>
                <w:sz w:val="24"/>
                <w:highlight w:val="none"/>
                <w:lang w:val="en-US" w:eastAsia="zh-CN"/>
              </w:rPr>
            </w:pPr>
            <w:r>
              <w:rPr>
                <w:rFonts w:hint="eastAsia" w:ascii="宋体" w:hAnsi="宋体" w:cs="宋体"/>
                <w:sz w:val="24"/>
                <w:highlight w:val="none"/>
                <w:lang w:val="en-US" w:eastAsia="zh-CN"/>
              </w:rPr>
              <w:t>联系人：荆女士</w:t>
            </w:r>
          </w:p>
          <w:p w14:paraId="5FDF9440">
            <w:pPr>
              <w:spacing w:line="480" w:lineRule="exact"/>
              <w:jc w:val="left"/>
              <w:outlineLvl w:val="0"/>
              <w:rPr>
                <w:rFonts w:hint="eastAsia" w:ascii="宋体" w:hAnsi="宋体" w:cs="宋体"/>
                <w:sz w:val="24"/>
                <w:highlight w:val="none"/>
              </w:rPr>
            </w:pPr>
            <w:r>
              <w:rPr>
                <w:rFonts w:hint="eastAsia" w:ascii="宋体" w:hAnsi="宋体" w:cs="宋体"/>
                <w:sz w:val="24"/>
                <w:highlight w:val="none"/>
                <w:lang w:val="en-US" w:eastAsia="zh-CN"/>
              </w:rPr>
              <w:t>联系方式：15936238582</w:t>
            </w:r>
          </w:p>
        </w:tc>
      </w:tr>
      <w:tr w14:paraId="662BE735">
        <w:tblPrEx>
          <w:tblCellMar>
            <w:top w:w="0" w:type="dxa"/>
            <w:left w:w="108" w:type="dxa"/>
            <w:bottom w:w="0" w:type="dxa"/>
            <w:right w:w="108" w:type="dxa"/>
          </w:tblCellMar>
        </w:tblPrEx>
        <w:trPr>
          <w:trHeight w:val="52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00DF22E3">
            <w:pPr>
              <w:widowControl/>
              <w:jc w:val="center"/>
              <w:rPr>
                <w:rFonts w:hint="eastAsia" w:ascii="宋体" w:hAnsi="宋体" w:cs="Calibri"/>
                <w:sz w:val="24"/>
                <w:highlight w:val="none"/>
              </w:rPr>
            </w:pPr>
            <w:r>
              <w:rPr>
                <w:rFonts w:hint="eastAsia" w:ascii="宋体" w:hAnsi="宋体" w:cs="Calibri"/>
                <w:kern w:val="0"/>
                <w:sz w:val="24"/>
                <w:highlight w:val="none"/>
              </w:rPr>
              <w:t>3</w:t>
            </w:r>
          </w:p>
        </w:tc>
        <w:tc>
          <w:tcPr>
            <w:tcW w:w="2070" w:type="dxa"/>
            <w:tcBorders>
              <w:top w:val="single" w:color="auto" w:sz="4" w:space="0"/>
              <w:left w:val="nil"/>
              <w:bottom w:val="single" w:color="auto" w:sz="4" w:space="0"/>
              <w:right w:val="single" w:color="auto" w:sz="4" w:space="0"/>
            </w:tcBorders>
            <w:vAlign w:val="center"/>
          </w:tcPr>
          <w:p w14:paraId="0B4A1910">
            <w:pPr>
              <w:widowControl/>
              <w:jc w:val="center"/>
              <w:rPr>
                <w:rFonts w:hint="eastAsia" w:ascii="宋体" w:hAnsi="宋体" w:cs="Calibri"/>
                <w:sz w:val="24"/>
                <w:highlight w:val="none"/>
              </w:rPr>
            </w:pPr>
            <w:r>
              <w:rPr>
                <w:rFonts w:hint="eastAsia" w:ascii="宋体" w:hAnsi="宋体" w:cs="Calibri"/>
                <w:kern w:val="0"/>
                <w:sz w:val="24"/>
                <w:highlight w:val="none"/>
              </w:rPr>
              <w:t>项目名称</w:t>
            </w:r>
          </w:p>
        </w:tc>
        <w:tc>
          <w:tcPr>
            <w:tcW w:w="6353" w:type="dxa"/>
            <w:tcBorders>
              <w:top w:val="single" w:color="auto" w:sz="4" w:space="0"/>
              <w:left w:val="nil"/>
              <w:bottom w:val="single" w:color="auto" w:sz="4" w:space="0"/>
              <w:right w:val="single" w:color="auto" w:sz="4" w:space="0"/>
            </w:tcBorders>
            <w:vAlign w:val="center"/>
          </w:tcPr>
          <w:p w14:paraId="34B02FF0">
            <w:pPr>
              <w:spacing w:line="360" w:lineRule="auto"/>
              <w:rPr>
                <w:rFonts w:hint="eastAsia" w:ascii="宋体" w:hAnsi="宋体" w:cs="Calibri" w:eastAsiaTheme="minorEastAsia"/>
                <w:sz w:val="24"/>
                <w:highlight w:val="none"/>
                <w:lang w:eastAsia="zh-CN"/>
              </w:rPr>
            </w:pPr>
            <w:r>
              <w:rPr>
                <w:rFonts w:hint="eastAsia" w:asciiTheme="minorEastAsia" w:hAnsiTheme="minorEastAsia" w:cstheme="minorEastAsia"/>
                <w:sz w:val="24"/>
                <w:szCs w:val="24"/>
                <w:highlight w:val="none"/>
                <w:lang w:eastAsia="zh-CN"/>
              </w:rPr>
              <w:t>渑池县仰韶学校计算机采购项目（</w:t>
            </w:r>
            <w:r>
              <w:rPr>
                <w:rFonts w:hint="eastAsia" w:asciiTheme="minorEastAsia" w:hAnsiTheme="minorEastAsia" w:cstheme="minorEastAsia"/>
                <w:sz w:val="24"/>
                <w:szCs w:val="24"/>
                <w:highlight w:val="none"/>
                <w:lang w:val="en-US" w:eastAsia="zh-CN"/>
              </w:rPr>
              <w:t>二次</w:t>
            </w:r>
            <w:r>
              <w:rPr>
                <w:rFonts w:hint="eastAsia" w:asciiTheme="minorEastAsia" w:hAnsiTheme="minorEastAsia" w:cstheme="minorEastAsia"/>
                <w:sz w:val="24"/>
                <w:szCs w:val="24"/>
                <w:highlight w:val="none"/>
                <w:lang w:eastAsia="zh-CN"/>
              </w:rPr>
              <w:t>）</w:t>
            </w:r>
          </w:p>
        </w:tc>
      </w:tr>
      <w:tr w14:paraId="301F3F8B">
        <w:tblPrEx>
          <w:tblCellMar>
            <w:top w:w="0" w:type="dxa"/>
            <w:left w:w="108" w:type="dxa"/>
            <w:bottom w:w="0" w:type="dxa"/>
            <w:right w:w="108" w:type="dxa"/>
          </w:tblCellMar>
        </w:tblPrEx>
        <w:trPr>
          <w:trHeight w:val="57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D51DCB8">
            <w:pPr>
              <w:widowControl/>
              <w:jc w:val="center"/>
              <w:rPr>
                <w:rFonts w:hint="eastAsia" w:ascii="宋体" w:hAnsi="宋体" w:cs="Calibri"/>
                <w:sz w:val="24"/>
                <w:highlight w:val="none"/>
              </w:rPr>
            </w:pPr>
            <w:r>
              <w:rPr>
                <w:rFonts w:hint="eastAsia" w:ascii="宋体" w:hAnsi="宋体" w:cs="Calibri"/>
                <w:kern w:val="0"/>
                <w:sz w:val="24"/>
                <w:highlight w:val="none"/>
              </w:rPr>
              <w:t>4</w:t>
            </w:r>
          </w:p>
        </w:tc>
        <w:tc>
          <w:tcPr>
            <w:tcW w:w="2070" w:type="dxa"/>
            <w:tcBorders>
              <w:top w:val="single" w:color="auto" w:sz="4" w:space="0"/>
              <w:left w:val="nil"/>
              <w:bottom w:val="single" w:color="auto" w:sz="4" w:space="0"/>
              <w:right w:val="single" w:color="auto" w:sz="4" w:space="0"/>
            </w:tcBorders>
            <w:vAlign w:val="center"/>
          </w:tcPr>
          <w:p w14:paraId="088D55C4">
            <w:pPr>
              <w:widowControl/>
              <w:jc w:val="center"/>
              <w:rPr>
                <w:rFonts w:hint="eastAsia" w:ascii="宋体" w:hAnsi="宋体" w:cs="Calibri"/>
                <w:kern w:val="0"/>
                <w:sz w:val="24"/>
                <w:highlight w:val="none"/>
              </w:rPr>
            </w:pPr>
            <w:r>
              <w:rPr>
                <w:rFonts w:hint="eastAsia" w:ascii="宋体" w:hAnsi="宋体" w:cs="Calibri"/>
                <w:kern w:val="0"/>
                <w:sz w:val="24"/>
                <w:highlight w:val="none"/>
              </w:rPr>
              <w:t>资金来源</w:t>
            </w:r>
          </w:p>
        </w:tc>
        <w:tc>
          <w:tcPr>
            <w:tcW w:w="6353" w:type="dxa"/>
            <w:tcBorders>
              <w:top w:val="single" w:color="auto" w:sz="4" w:space="0"/>
              <w:left w:val="nil"/>
              <w:bottom w:val="single" w:color="auto" w:sz="4" w:space="0"/>
              <w:right w:val="single" w:color="auto" w:sz="4" w:space="0"/>
            </w:tcBorders>
            <w:vAlign w:val="center"/>
          </w:tcPr>
          <w:p w14:paraId="311FE84A">
            <w:pPr>
              <w:widowControl/>
              <w:rPr>
                <w:rFonts w:hint="eastAsia" w:ascii="宋体" w:hAnsi="宋体" w:cs="Calibri" w:eastAsiaTheme="minorEastAsia"/>
                <w:kern w:val="0"/>
                <w:sz w:val="24"/>
                <w:highlight w:val="none"/>
                <w:lang w:eastAsia="zh-CN"/>
              </w:rPr>
            </w:pPr>
            <w:r>
              <w:rPr>
                <w:rFonts w:hint="eastAsia" w:ascii="宋体" w:hAnsi="宋体" w:cs="Calibri"/>
                <w:kern w:val="0"/>
                <w:sz w:val="24"/>
                <w:highlight w:val="none"/>
                <w:shd w:val="clear" w:color="auto" w:fill="FFFFFF"/>
                <w:lang w:eastAsia="zh-CN"/>
              </w:rPr>
              <w:t>财政资金</w:t>
            </w:r>
          </w:p>
        </w:tc>
      </w:tr>
      <w:tr w14:paraId="20709B50">
        <w:tblPrEx>
          <w:tblCellMar>
            <w:top w:w="0" w:type="dxa"/>
            <w:left w:w="108" w:type="dxa"/>
            <w:bottom w:w="0" w:type="dxa"/>
            <w:right w:w="108" w:type="dxa"/>
          </w:tblCellMar>
        </w:tblPrEx>
        <w:trPr>
          <w:trHeight w:val="555"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9D5771C">
            <w:pPr>
              <w:widowControl/>
              <w:jc w:val="center"/>
              <w:rPr>
                <w:rFonts w:hint="eastAsia" w:ascii="宋体" w:hAnsi="宋体" w:cs="Calibri"/>
                <w:sz w:val="24"/>
                <w:highlight w:val="none"/>
              </w:rPr>
            </w:pPr>
            <w:r>
              <w:rPr>
                <w:rFonts w:hint="eastAsia" w:ascii="宋体" w:hAnsi="宋体" w:cs="Calibri"/>
                <w:kern w:val="0"/>
                <w:sz w:val="24"/>
                <w:highlight w:val="none"/>
              </w:rPr>
              <w:t>5</w:t>
            </w:r>
          </w:p>
        </w:tc>
        <w:tc>
          <w:tcPr>
            <w:tcW w:w="2070" w:type="dxa"/>
            <w:tcBorders>
              <w:top w:val="single" w:color="auto" w:sz="4" w:space="0"/>
              <w:left w:val="nil"/>
              <w:bottom w:val="single" w:color="auto" w:sz="4" w:space="0"/>
              <w:right w:val="single" w:color="auto" w:sz="4" w:space="0"/>
            </w:tcBorders>
            <w:vAlign w:val="center"/>
          </w:tcPr>
          <w:p w14:paraId="4D474F2D">
            <w:pPr>
              <w:widowControl/>
              <w:jc w:val="center"/>
              <w:rPr>
                <w:rFonts w:hint="eastAsia" w:ascii="宋体" w:hAnsi="宋体" w:cs="Calibri"/>
                <w:sz w:val="24"/>
                <w:highlight w:val="none"/>
              </w:rPr>
            </w:pPr>
            <w:r>
              <w:rPr>
                <w:rFonts w:hint="eastAsia" w:ascii="宋体" w:hAnsi="宋体" w:cs="Calibri"/>
                <w:kern w:val="0"/>
                <w:sz w:val="24"/>
                <w:highlight w:val="none"/>
              </w:rPr>
              <w:t>项目编号</w:t>
            </w:r>
          </w:p>
        </w:tc>
        <w:tc>
          <w:tcPr>
            <w:tcW w:w="6353" w:type="dxa"/>
            <w:tcBorders>
              <w:top w:val="single" w:color="auto" w:sz="4" w:space="0"/>
              <w:left w:val="nil"/>
              <w:bottom w:val="single" w:color="auto" w:sz="4" w:space="0"/>
              <w:right w:val="single" w:color="auto" w:sz="4" w:space="0"/>
            </w:tcBorders>
            <w:vAlign w:val="center"/>
          </w:tcPr>
          <w:p w14:paraId="43B561AA">
            <w:pPr>
              <w:widowControl/>
              <w:rPr>
                <w:rFonts w:hint="eastAsia" w:ascii="宋体" w:hAnsi="宋体" w:cs="Calibri" w:eastAsiaTheme="minorEastAsia"/>
                <w:sz w:val="24"/>
                <w:highlight w:val="none"/>
                <w:shd w:val="clear" w:color="auto" w:fill="FFFFFF"/>
                <w:lang w:eastAsia="zh-CN"/>
              </w:rPr>
            </w:pPr>
            <w:r>
              <w:rPr>
                <w:rFonts w:hint="eastAsia" w:ascii="宋体" w:hAnsi="宋体" w:cs="宋体"/>
                <w:sz w:val="24"/>
                <w:highlight w:val="none"/>
                <w:lang w:eastAsia="zh-CN"/>
              </w:rPr>
              <w:t>MCGZ[2026]216-ZC195</w:t>
            </w:r>
            <w:r>
              <w:rPr>
                <w:rFonts w:hint="eastAsia" w:ascii="宋体" w:hAnsi="宋体" w:cs="宋体"/>
                <w:sz w:val="24"/>
                <w:highlight w:val="none"/>
              </w:rPr>
              <w:t>、</w:t>
            </w:r>
            <w:r>
              <w:rPr>
                <w:rFonts w:hint="eastAsia" w:asciiTheme="minorEastAsia" w:hAnsiTheme="minorEastAsia" w:cstheme="minorEastAsia"/>
                <w:sz w:val="24"/>
                <w:szCs w:val="24"/>
                <w:highlight w:val="none"/>
                <w:lang w:eastAsia="zh-CN"/>
              </w:rPr>
              <w:t>渑池竞磋采购-2026-133</w:t>
            </w:r>
          </w:p>
        </w:tc>
      </w:tr>
      <w:tr w14:paraId="51E03860">
        <w:tblPrEx>
          <w:tblCellMar>
            <w:top w:w="0" w:type="dxa"/>
            <w:left w:w="108" w:type="dxa"/>
            <w:bottom w:w="0" w:type="dxa"/>
            <w:right w:w="108" w:type="dxa"/>
          </w:tblCellMar>
        </w:tblPrEx>
        <w:trPr>
          <w:trHeight w:val="628"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B031CC3">
            <w:pPr>
              <w:widowControl/>
              <w:jc w:val="center"/>
              <w:rPr>
                <w:rFonts w:hint="eastAsia" w:ascii="宋体" w:hAnsi="宋体" w:cs="Calibri"/>
                <w:sz w:val="24"/>
                <w:highlight w:val="none"/>
              </w:rPr>
            </w:pPr>
            <w:r>
              <w:rPr>
                <w:rFonts w:hint="eastAsia" w:ascii="宋体" w:hAnsi="宋体" w:cs="Calibri"/>
                <w:kern w:val="0"/>
                <w:sz w:val="24"/>
                <w:highlight w:val="none"/>
              </w:rPr>
              <w:t>6</w:t>
            </w:r>
          </w:p>
        </w:tc>
        <w:tc>
          <w:tcPr>
            <w:tcW w:w="2070" w:type="dxa"/>
            <w:tcBorders>
              <w:top w:val="single" w:color="auto" w:sz="4" w:space="0"/>
              <w:left w:val="nil"/>
              <w:bottom w:val="single" w:color="auto" w:sz="4" w:space="0"/>
              <w:right w:val="single" w:color="auto" w:sz="4" w:space="0"/>
            </w:tcBorders>
            <w:vAlign w:val="center"/>
          </w:tcPr>
          <w:p w14:paraId="6173305E">
            <w:pPr>
              <w:widowControl/>
              <w:jc w:val="center"/>
              <w:rPr>
                <w:rFonts w:hint="eastAsia" w:ascii="宋体" w:hAnsi="宋体" w:cs="Calibri"/>
                <w:kern w:val="0"/>
                <w:sz w:val="24"/>
                <w:highlight w:val="none"/>
              </w:rPr>
            </w:pPr>
            <w:r>
              <w:rPr>
                <w:rFonts w:hint="eastAsia" w:ascii="宋体" w:hAnsi="宋体" w:cs="Calibri"/>
                <w:kern w:val="0"/>
                <w:sz w:val="24"/>
                <w:highlight w:val="none"/>
              </w:rPr>
              <w:t>质量要求</w:t>
            </w:r>
          </w:p>
        </w:tc>
        <w:tc>
          <w:tcPr>
            <w:tcW w:w="6353" w:type="dxa"/>
            <w:tcBorders>
              <w:top w:val="single" w:color="auto" w:sz="4" w:space="0"/>
              <w:left w:val="nil"/>
              <w:bottom w:val="single" w:color="auto" w:sz="4" w:space="0"/>
              <w:right w:val="single" w:color="auto" w:sz="4" w:space="0"/>
            </w:tcBorders>
            <w:vAlign w:val="center"/>
          </w:tcPr>
          <w:p w14:paraId="1B136396">
            <w:pPr>
              <w:widowControl/>
              <w:rPr>
                <w:rFonts w:hint="eastAsia" w:ascii="宋体" w:hAnsi="宋体" w:cs="Calibri"/>
                <w:kern w:val="0"/>
                <w:sz w:val="24"/>
                <w:highlight w:val="none"/>
              </w:rPr>
            </w:pPr>
            <w:r>
              <w:rPr>
                <w:rFonts w:hint="eastAsia" w:ascii="宋体" w:hAnsi="宋体" w:cs="宋体"/>
                <w:sz w:val="24"/>
                <w:highlight w:val="none"/>
              </w:rPr>
              <w:t>合格</w:t>
            </w:r>
          </w:p>
        </w:tc>
      </w:tr>
      <w:tr w14:paraId="36EC29BD">
        <w:tblPrEx>
          <w:tblCellMar>
            <w:top w:w="0" w:type="dxa"/>
            <w:left w:w="108" w:type="dxa"/>
            <w:bottom w:w="0" w:type="dxa"/>
            <w:right w:w="108" w:type="dxa"/>
          </w:tblCellMar>
        </w:tblPrEx>
        <w:trPr>
          <w:trHeight w:val="628"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21DF8E46">
            <w:pPr>
              <w:widowControl/>
              <w:jc w:val="center"/>
              <w:rPr>
                <w:rFonts w:hint="eastAsia" w:ascii="宋体" w:hAnsi="宋体" w:cs="Calibri"/>
                <w:kern w:val="0"/>
                <w:sz w:val="24"/>
                <w:highlight w:val="none"/>
              </w:rPr>
            </w:pPr>
            <w:r>
              <w:rPr>
                <w:rFonts w:hint="eastAsia" w:ascii="宋体" w:hAnsi="宋体" w:cs="Calibri"/>
                <w:kern w:val="0"/>
                <w:sz w:val="24"/>
                <w:highlight w:val="none"/>
              </w:rPr>
              <w:t>7</w:t>
            </w:r>
          </w:p>
        </w:tc>
        <w:tc>
          <w:tcPr>
            <w:tcW w:w="2070" w:type="dxa"/>
            <w:tcBorders>
              <w:top w:val="single" w:color="auto" w:sz="4" w:space="0"/>
              <w:left w:val="nil"/>
              <w:bottom w:val="single" w:color="auto" w:sz="4" w:space="0"/>
              <w:right w:val="single" w:color="auto" w:sz="4" w:space="0"/>
            </w:tcBorders>
            <w:vAlign w:val="center"/>
          </w:tcPr>
          <w:p w14:paraId="1861CD47">
            <w:pPr>
              <w:widowControl/>
              <w:jc w:val="center"/>
              <w:rPr>
                <w:rFonts w:hint="eastAsia" w:ascii="宋体" w:hAnsi="宋体" w:cs="Calibri"/>
                <w:kern w:val="0"/>
                <w:sz w:val="24"/>
                <w:highlight w:val="none"/>
              </w:rPr>
            </w:pPr>
            <w:r>
              <w:rPr>
                <w:rFonts w:hint="eastAsia" w:ascii="宋体" w:hAnsi="宋体" w:cs="Calibri"/>
                <w:kern w:val="0"/>
                <w:sz w:val="24"/>
                <w:highlight w:val="none"/>
              </w:rPr>
              <w:t>质保期</w:t>
            </w:r>
          </w:p>
        </w:tc>
        <w:tc>
          <w:tcPr>
            <w:tcW w:w="6353" w:type="dxa"/>
            <w:tcBorders>
              <w:top w:val="single" w:color="auto" w:sz="4" w:space="0"/>
              <w:left w:val="nil"/>
              <w:bottom w:val="single" w:color="auto" w:sz="4" w:space="0"/>
              <w:right w:val="single" w:color="auto" w:sz="4" w:space="0"/>
            </w:tcBorders>
            <w:vAlign w:val="center"/>
          </w:tcPr>
          <w:p w14:paraId="7B0CD8F5">
            <w:pPr>
              <w:widowControl/>
              <w:rPr>
                <w:rFonts w:hint="eastAsia" w:ascii="宋体" w:hAnsi="宋体" w:cs="Calibri" w:eastAsiaTheme="minorEastAsia"/>
                <w:sz w:val="24"/>
                <w:highlight w:val="none"/>
                <w:lang w:eastAsia="zh-CN"/>
              </w:rPr>
            </w:pPr>
            <w:r>
              <w:rPr>
                <w:rFonts w:hint="eastAsia" w:ascii="宋体" w:hAnsi="宋体" w:cs="Calibri"/>
                <w:sz w:val="24"/>
                <w:highlight w:val="none"/>
                <w:lang w:eastAsia="zh-CN"/>
              </w:rPr>
              <w:t>三年</w:t>
            </w:r>
          </w:p>
        </w:tc>
      </w:tr>
      <w:tr w14:paraId="1A006270">
        <w:tblPrEx>
          <w:tblCellMar>
            <w:top w:w="0" w:type="dxa"/>
            <w:left w:w="108" w:type="dxa"/>
            <w:bottom w:w="0" w:type="dxa"/>
            <w:right w:w="108" w:type="dxa"/>
          </w:tblCellMar>
        </w:tblPrEx>
        <w:trPr>
          <w:trHeight w:val="498"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D09FF85">
            <w:pPr>
              <w:widowControl/>
              <w:jc w:val="center"/>
              <w:rPr>
                <w:rFonts w:hint="eastAsia" w:ascii="宋体" w:hAnsi="宋体" w:cs="Calibri"/>
                <w:kern w:val="0"/>
                <w:sz w:val="24"/>
                <w:highlight w:val="none"/>
              </w:rPr>
            </w:pPr>
            <w:r>
              <w:rPr>
                <w:rFonts w:hint="eastAsia" w:ascii="宋体" w:hAnsi="宋体" w:cs="Calibri"/>
                <w:kern w:val="0"/>
                <w:sz w:val="24"/>
                <w:highlight w:val="none"/>
              </w:rPr>
              <w:t>8</w:t>
            </w:r>
          </w:p>
        </w:tc>
        <w:tc>
          <w:tcPr>
            <w:tcW w:w="2070" w:type="dxa"/>
            <w:tcBorders>
              <w:top w:val="single" w:color="auto" w:sz="4" w:space="0"/>
              <w:left w:val="nil"/>
              <w:bottom w:val="single" w:color="auto" w:sz="4" w:space="0"/>
              <w:right w:val="single" w:color="auto" w:sz="4" w:space="0"/>
            </w:tcBorders>
            <w:vAlign w:val="center"/>
          </w:tcPr>
          <w:p w14:paraId="239C4C36">
            <w:pPr>
              <w:widowControl/>
              <w:jc w:val="center"/>
              <w:rPr>
                <w:rFonts w:hint="eastAsia" w:ascii="宋体" w:hAnsi="宋体" w:cs="Calibri"/>
                <w:kern w:val="0"/>
                <w:sz w:val="24"/>
                <w:highlight w:val="none"/>
              </w:rPr>
            </w:pPr>
            <w:r>
              <w:rPr>
                <w:rFonts w:hint="eastAsia" w:ascii="宋体" w:hAnsi="宋体" w:cs="Calibri"/>
                <w:kern w:val="0"/>
                <w:sz w:val="24"/>
                <w:highlight w:val="none"/>
              </w:rPr>
              <w:t>供货期</w:t>
            </w:r>
          </w:p>
        </w:tc>
        <w:tc>
          <w:tcPr>
            <w:tcW w:w="6353" w:type="dxa"/>
            <w:tcBorders>
              <w:top w:val="single" w:color="auto" w:sz="4" w:space="0"/>
              <w:left w:val="nil"/>
              <w:bottom w:val="single" w:color="auto" w:sz="4" w:space="0"/>
              <w:right w:val="single" w:color="auto" w:sz="4" w:space="0"/>
            </w:tcBorders>
            <w:vAlign w:val="center"/>
          </w:tcPr>
          <w:p w14:paraId="3E24849D">
            <w:pPr>
              <w:widowControl/>
              <w:rPr>
                <w:rFonts w:hint="eastAsia" w:ascii="宋体" w:hAnsi="宋体" w:cs="Calibri" w:eastAsiaTheme="minorEastAsia"/>
                <w:sz w:val="24"/>
                <w:highlight w:val="none"/>
                <w:lang w:eastAsia="zh-CN"/>
              </w:rPr>
            </w:pPr>
            <w:r>
              <w:rPr>
                <w:rFonts w:hint="eastAsia" w:ascii="宋体" w:hAnsi="宋体" w:cs="宋体"/>
                <w:sz w:val="24"/>
                <w:highlight w:val="none"/>
                <w:lang w:eastAsia="zh-CN"/>
              </w:rPr>
              <w:t>自合同签订之日起15日历天</w:t>
            </w:r>
          </w:p>
        </w:tc>
      </w:tr>
      <w:tr w14:paraId="06C2F964">
        <w:tblPrEx>
          <w:tblCellMar>
            <w:top w:w="0" w:type="dxa"/>
            <w:left w:w="108" w:type="dxa"/>
            <w:bottom w:w="0" w:type="dxa"/>
            <w:right w:w="108" w:type="dxa"/>
          </w:tblCellMar>
        </w:tblPrEx>
        <w:trPr>
          <w:trHeight w:val="52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BCD2FA4">
            <w:pPr>
              <w:widowControl/>
              <w:jc w:val="center"/>
              <w:rPr>
                <w:rFonts w:hint="eastAsia" w:ascii="宋体" w:hAnsi="宋体" w:cs="Calibri"/>
                <w:sz w:val="24"/>
                <w:highlight w:val="none"/>
              </w:rPr>
            </w:pPr>
            <w:r>
              <w:rPr>
                <w:rFonts w:hint="eastAsia" w:ascii="宋体" w:hAnsi="宋体" w:cs="Calibri"/>
                <w:kern w:val="0"/>
                <w:sz w:val="24"/>
                <w:highlight w:val="none"/>
              </w:rPr>
              <w:t>9</w:t>
            </w:r>
          </w:p>
        </w:tc>
        <w:tc>
          <w:tcPr>
            <w:tcW w:w="2070" w:type="dxa"/>
            <w:tcBorders>
              <w:top w:val="single" w:color="auto" w:sz="4" w:space="0"/>
              <w:left w:val="nil"/>
              <w:bottom w:val="single" w:color="auto" w:sz="4" w:space="0"/>
              <w:right w:val="single" w:color="auto" w:sz="4" w:space="0"/>
            </w:tcBorders>
            <w:vAlign w:val="center"/>
          </w:tcPr>
          <w:p w14:paraId="29A96EF6">
            <w:pPr>
              <w:widowControl/>
              <w:jc w:val="center"/>
              <w:rPr>
                <w:rFonts w:hint="eastAsia" w:ascii="宋体" w:hAnsi="宋体" w:cs="Calibri"/>
                <w:sz w:val="24"/>
                <w:highlight w:val="none"/>
              </w:rPr>
            </w:pPr>
            <w:r>
              <w:rPr>
                <w:rFonts w:hint="eastAsia" w:ascii="宋体" w:hAnsi="宋体" w:cs="Calibri"/>
                <w:kern w:val="0"/>
                <w:sz w:val="24"/>
                <w:highlight w:val="none"/>
              </w:rPr>
              <w:t>资格要求</w:t>
            </w:r>
          </w:p>
        </w:tc>
        <w:tc>
          <w:tcPr>
            <w:tcW w:w="6353" w:type="dxa"/>
            <w:tcBorders>
              <w:top w:val="single" w:color="auto" w:sz="4" w:space="0"/>
              <w:left w:val="nil"/>
              <w:bottom w:val="single" w:color="auto" w:sz="4" w:space="0"/>
              <w:right w:val="single" w:color="auto" w:sz="4" w:space="0"/>
            </w:tcBorders>
            <w:vAlign w:val="center"/>
          </w:tcPr>
          <w:p w14:paraId="2C9EDC13">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1.满足《中华人民共和国政府采购法》第二十二条规定：</w:t>
            </w:r>
          </w:p>
          <w:p w14:paraId="7D66A4CD">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2.落实政府采购政策满足的资格要求：</w:t>
            </w:r>
            <w:r>
              <w:rPr>
                <w:rFonts w:hint="eastAsia" w:ascii="宋体" w:hAnsi="宋体" w:cs="宋体"/>
                <w:sz w:val="24"/>
                <w:szCs w:val="24"/>
                <w:highlight w:val="none"/>
              </w:rPr>
              <w:t>本项目非专门面向中小微企业采购项目，执行优先采购节能环保、环境标志性产品，促进中小企业（监狱企业、残疾人福利性企业）发展等政府采购政策。</w:t>
            </w:r>
          </w:p>
          <w:p w14:paraId="0FEF685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3.本项目的特定资格要求：</w:t>
            </w:r>
          </w:p>
          <w:p w14:paraId="5D81EF22">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3.1供应商具有有效的营业执照；</w:t>
            </w:r>
          </w:p>
          <w:p w14:paraId="0F4D1542">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2</w:t>
            </w:r>
            <w:r>
              <w:rPr>
                <w:rFonts w:hint="eastAsia" w:asciiTheme="minorEastAsia" w:hAnsiTheme="minorEastAsia" w:cstheme="minorEastAsia"/>
                <w:sz w:val="24"/>
                <w:szCs w:val="24"/>
                <w:highlight w:val="none"/>
              </w:rPr>
              <w:t>供应商出具无行贿犯罪记录，在中国裁判文书网自行查询或自行承诺（查询对象：企业、法定代表人）；</w:t>
            </w:r>
          </w:p>
          <w:p w14:paraId="02F4EEA6">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3</w:t>
            </w:r>
            <w:r>
              <w:rPr>
                <w:rFonts w:hint="eastAsia" w:asciiTheme="minorEastAsia" w:hAnsiTheme="minorEastAsia" w:cstheme="minorEastAsia"/>
                <w:sz w:val="24"/>
                <w:szCs w:val="24"/>
                <w:highlight w:val="none"/>
              </w:rPr>
              <w:t>供应商需提供无商业贿赂及无不正当竞争行为的承诺书；</w:t>
            </w:r>
          </w:p>
          <w:p w14:paraId="042175AE">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4</w:t>
            </w:r>
            <w:r>
              <w:rPr>
                <w:rFonts w:hint="eastAsia" w:asciiTheme="minorEastAsia" w:hAnsiTheme="minorEastAsia" w:cstheme="minorEastAsia"/>
                <w:sz w:val="24"/>
                <w:szCs w:val="24"/>
                <w:highlight w:val="none"/>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加盖单位公章，截图需显示查询时间，查询时间：自公告发布之日起至投标截止时间前）；</w:t>
            </w:r>
          </w:p>
          <w:p w14:paraId="3025EBC9">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5</w:t>
            </w:r>
            <w:r>
              <w:rPr>
                <w:rFonts w:hint="eastAsia" w:asciiTheme="minorEastAsia" w:hAnsiTheme="minorEastAsia" w:cstheme="minorEastAsia"/>
                <w:sz w:val="24"/>
                <w:szCs w:val="24"/>
                <w:highlight w:val="none"/>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14:paraId="1467EA37">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6</w:t>
            </w:r>
            <w:r>
              <w:rPr>
                <w:rFonts w:hint="eastAsia" w:asciiTheme="minorEastAsia" w:hAnsiTheme="minorEastAsia" w:cstheme="minorEastAsia"/>
                <w:sz w:val="24"/>
                <w:szCs w:val="24"/>
                <w:highlight w:val="none"/>
              </w:rPr>
              <w:t>本项目不接受联合体投标，提供非联合体投标承诺，格式自拟。</w:t>
            </w:r>
          </w:p>
          <w:p w14:paraId="5D364A08">
            <w:pPr>
              <w:widowControl/>
              <w:spacing w:line="480" w:lineRule="exact"/>
              <w:rPr>
                <w:rFonts w:hint="eastAsia" w:ascii="宋体" w:hAnsi="宋体" w:eastAsia="宋体" w:cs="宋体"/>
                <w:b/>
                <w:kern w:val="0"/>
                <w:sz w:val="24"/>
                <w:highlight w:val="none"/>
                <w:lang w:bidi="ar"/>
              </w:rPr>
            </w:pPr>
            <w:r>
              <w:rPr>
                <w:rFonts w:hint="eastAsia" w:ascii="宋体" w:hAnsi="宋体" w:eastAsia="宋体" w:cs="宋体"/>
                <w:b/>
                <w:kern w:val="0"/>
                <w:sz w:val="24"/>
                <w:highlight w:val="none"/>
                <w:lang w:bidi="ar"/>
              </w:rPr>
              <w:t>注：本次磋商实行资格后审，资格评审以投标文件为准，其上传资料真实性由供应商自行承担，同时供应商要完善主体库。</w:t>
            </w:r>
          </w:p>
        </w:tc>
      </w:tr>
      <w:tr w14:paraId="601F9387">
        <w:tblPrEx>
          <w:tblCellMar>
            <w:top w:w="0" w:type="dxa"/>
            <w:left w:w="108" w:type="dxa"/>
            <w:bottom w:w="0" w:type="dxa"/>
            <w:right w:w="108" w:type="dxa"/>
          </w:tblCellMar>
        </w:tblPrEx>
        <w:trPr>
          <w:trHeight w:val="57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00E614B3">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10</w:t>
            </w:r>
          </w:p>
        </w:tc>
        <w:tc>
          <w:tcPr>
            <w:tcW w:w="2070" w:type="dxa"/>
            <w:tcBorders>
              <w:top w:val="single" w:color="auto" w:sz="4" w:space="0"/>
              <w:left w:val="nil"/>
              <w:bottom w:val="single" w:color="auto" w:sz="4" w:space="0"/>
              <w:right w:val="single" w:color="auto" w:sz="4" w:space="0"/>
            </w:tcBorders>
            <w:vAlign w:val="center"/>
          </w:tcPr>
          <w:p w14:paraId="15B4C051">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投标保证金</w:t>
            </w:r>
          </w:p>
        </w:tc>
        <w:tc>
          <w:tcPr>
            <w:tcW w:w="6353" w:type="dxa"/>
            <w:tcBorders>
              <w:top w:val="single" w:color="auto" w:sz="4" w:space="0"/>
              <w:left w:val="nil"/>
              <w:bottom w:val="single" w:color="auto" w:sz="4" w:space="0"/>
              <w:right w:val="single" w:color="auto" w:sz="4" w:space="0"/>
            </w:tcBorders>
            <w:vAlign w:val="center"/>
          </w:tcPr>
          <w:p w14:paraId="52429A20">
            <w:pPr>
              <w:widowControl/>
              <w:spacing w:line="360" w:lineRule="auto"/>
              <w:rPr>
                <w:rFonts w:hint="eastAsia" w:ascii="宋体" w:hAnsi="宋体" w:cs="Calibri"/>
                <w:sz w:val="24"/>
                <w:highlight w:val="none"/>
              </w:rPr>
            </w:pPr>
            <w:r>
              <w:rPr>
                <w:rFonts w:hint="eastAsia" w:ascii="宋体" w:hAnsi="宋体"/>
                <w:sz w:val="24"/>
                <w:highlight w:val="none"/>
              </w:rPr>
              <w:t>根据《河南省财政厅关于优化政府采购营商环境有关问题的通知》（豫财购【2019】4号）第6条的规定，投标保证金不再收取。</w:t>
            </w:r>
          </w:p>
        </w:tc>
      </w:tr>
      <w:tr w14:paraId="62104544">
        <w:tblPrEx>
          <w:tblCellMar>
            <w:top w:w="0" w:type="dxa"/>
            <w:left w:w="108" w:type="dxa"/>
            <w:bottom w:w="0" w:type="dxa"/>
            <w:right w:w="108" w:type="dxa"/>
          </w:tblCellMar>
        </w:tblPrEx>
        <w:trPr>
          <w:trHeight w:val="954"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66B98BB">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11</w:t>
            </w:r>
          </w:p>
        </w:tc>
        <w:tc>
          <w:tcPr>
            <w:tcW w:w="2070" w:type="dxa"/>
            <w:tcBorders>
              <w:top w:val="single" w:color="auto" w:sz="4" w:space="0"/>
              <w:left w:val="nil"/>
              <w:bottom w:val="single" w:color="auto" w:sz="4" w:space="0"/>
              <w:right w:val="single" w:color="auto" w:sz="4" w:space="0"/>
            </w:tcBorders>
            <w:vAlign w:val="center"/>
          </w:tcPr>
          <w:p w14:paraId="58CF0CFB">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响应性文件递交截止时间及地点</w:t>
            </w:r>
          </w:p>
        </w:tc>
        <w:tc>
          <w:tcPr>
            <w:tcW w:w="6353" w:type="dxa"/>
            <w:tcBorders>
              <w:top w:val="single" w:color="auto" w:sz="4" w:space="0"/>
              <w:left w:val="nil"/>
              <w:bottom w:val="single" w:color="auto" w:sz="4" w:space="0"/>
              <w:right w:val="single" w:color="auto" w:sz="4" w:space="0"/>
            </w:tcBorders>
            <w:vAlign w:val="center"/>
          </w:tcPr>
          <w:p w14:paraId="1A31EB3A">
            <w:pPr>
              <w:widowControl/>
              <w:spacing w:line="360" w:lineRule="auto"/>
              <w:jc w:val="left"/>
              <w:rPr>
                <w:rFonts w:hint="eastAsia" w:ascii="宋体" w:hAnsi="宋体" w:cs="Calibri"/>
                <w:b/>
                <w:bCs/>
                <w:kern w:val="0"/>
                <w:sz w:val="24"/>
                <w:highlight w:val="none"/>
              </w:rPr>
            </w:pPr>
            <w:r>
              <w:rPr>
                <w:rFonts w:hint="eastAsia" w:ascii="宋体" w:hAnsi="宋体" w:cs="Calibri"/>
                <w:b/>
                <w:bCs/>
                <w:kern w:val="0"/>
                <w:sz w:val="24"/>
                <w:highlight w:val="none"/>
                <w:lang w:eastAsia="zh-CN"/>
              </w:rPr>
              <w:t>2026年10月16日</w:t>
            </w:r>
            <w:r>
              <w:rPr>
                <w:rFonts w:hint="eastAsia" w:ascii="宋体" w:hAnsi="宋体" w:cs="Calibri"/>
                <w:b/>
                <w:bCs/>
                <w:kern w:val="0"/>
                <w:sz w:val="24"/>
                <w:highlight w:val="none"/>
              </w:rPr>
              <w:t>8时20分（北京时间）</w:t>
            </w:r>
          </w:p>
          <w:p w14:paraId="0819D515">
            <w:pPr>
              <w:widowControl/>
              <w:spacing w:line="360" w:lineRule="auto"/>
              <w:jc w:val="left"/>
              <w:rPr>
                <w:rFonts w:hint="eastAsia" w:ascii="宋体" w:hAnsi="宋体" w:cs="Calibri"/>
                <w:b/>
                <w:bCs/>
                <w:kern w:val="0"/>
                <w:sz w:val="24"/>
                <w:highlight w:val="none"/>
              </w:rPr>
            </w:pPr>
            <w:r>
              <w:rPr>
                <w:rFonts w:hint="eastAsia" w:ascii="宋体" w:hAnsi="宋体" w:cs="宋体"/>
                <w:sz w:val="24"/>
                <w:highlight w:val="none"/>
              </w:rPr>
              <w:t>上传至三门峡市公共资源交易中心系统</w:t>
            </w:r>
          </w:p>
        </w:tc>
      </w:tr>
      <w:tr w14:paraId="0DEC8511">
        <w:tblPrEx>
          <w:tblCellMar>
            <w:top w:w="0" w:type="dxa"/>
            <w:left w:w="108" w:type="dxa"/>
            <w:bottom w:w="0" w:type="dxa"/>
            <w:right w:w="108" w:type="dxa"/>
          </w:tblCellMar>
        </w:tblPrEx>
        <w:trPr>
          <w:trHeight w:val="46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253E3C36">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12</w:t>
            </w:r>
          </w:p>
        </w:tc>
        <w:tc>
          <w:tcPr>
            <w:tcW w:w="2070" w:type="dxa"/>
            <w:tcBorders>
              <w:top w:val="single" w:color="auto" w:sz="4" w:space="0"/>
              <w:left w:val="nil"/>
              <w:bottom w:val="single" w:color="auto" w:sz="4" w:space="0"/>
              <w:right w:val="single" w:color="auto" w:sz="4" w:space="0"/>
            </w:tcBorders>
            <w:vAlign w:val="center"/>
          </w:tcPr>
          <w:p w14:paraId="5F98BCC8">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开标时间及地点</w:t>
            </w:r>
          </w:p>
        </w:tc>
        <w:tc>
          <w:tcPr>
            <w:tcW w:w="6353" w:type="dxa"/>
            <w:tcBorders>
              <w:top w:val="single" w:color="auto" w:sz="4" w:space="0"/>
              <w:left w:val="nil"/>
              <w:bottom w:val="single" w:color="auto" w:sz="4" w:space="0"/>
              <w:right w:val="single" w:color="auto" w:sz="4" w:space="0"/>
            </w:tcBorders>
            <w:vAlign w:val="center"/>
          </w:tcPr>
          <w:p w14:paraId="018F2458">
            <w:pPr>
              <w:widowControl/>
              <w:spacing w:line="360" w:lineRule="auto"/>
              <w:jc w:val="left"/>
              <w:rPr>
                <w:rFonts w:hint="eastAsia" w:ascii="宋体" w:hAnsi="宋体" w:cs="Calibri"/>
                <w:b/>
                <w:bCs/>
                <w:kern w:val="0"/>
                <w:sz w:val="24"/>
                <w:highlight w:val="none"/>
              </w:rPr>
            </w:pPr>
            <w:r>
              <w:rPr>
                <w:rFonts w:hint="eastAsia" w:ascii="宋体" w:hAnsi="宋体" w:cs="Calibri"/>
                <w:b/>
                <w:bCs/>
                <w:kern w:val="0"/>
                <w:sz w:val="24"/>
                <w:highlight w:val="none"/>
                <w:lang w:eastAsia="zh-CN"/>
              </w:rPr>
              <w:t>2026年10月16日</w:t>
            </w:r>
            <w:r>
              <w:rPr>
                <w:rFonts w:hint="eastAsia" w:ascii="宋体" w:hAnsi="宋体" w:cs="Calibri"/>
                <w:b/>
                <w:bCs/>
                <w:kern w:val="0"/>
                <w:sz w:val="24"/>
                <w:highlight w:val="none"/>
              </w:rPr>
              <w:t>8时20分（北京时间）</w:t>
            </w:r>
          </w:p>
          <w:p w14:paraId="6B71F5B8">
            <w:pPr>
              <w:widowControl/>
              <w:spacing w:line="360" w:lineRule="auto"/>
              <w:jc w:val="left"/>
              <w:rPr>
                <w:rFonts w:hint="eastAsia" w:ascii="宋体" w:hAnsi="宋体" w:cs="Calibri" w:eastAsiaTheme="minorEastAsia"/>
                <w:b/>
                <w:bCs/>
                <w:kern w:val="0"/>
                <w:sz w:val="24"/>
                <w:highlight w:val="none"/>
                <w:lang w:eastAsia="zh-CN"/>
              </w:rPr>
            </w:pPr>
            <w:r>
              <w:rPr>
                <w:rFonts w:hint="eastAsia" w:ascii="宋体" w:hAnsi="宋体" w:cs="宋体"/>
                <w:sz w:val="24"/>
                <w:highlight w:val="none"/>
              </w:rPr>
              <w:t>渑池县公共资源交易中心六楼</w:t>
            </w:r>
            <w:r>
              <w:rPr>
                <w:rFonts w:hint="eastAsia" w:ascii="宋体" w:hAnsi="宋体" w:cs="宋体"/>
                <w:sz w:val="24"/>
                <w:highlight w:val="none"/>
                <w:lang w:eastAsia="zh-CN"/>
              </w:rPr>
              <w:t>开标二室</w:t>
            </w:r>
          </w:p>
        </w:tc>
      </w:tr>
      <w:tr w14:paraId="1DC2D4E5">
        <w:tblPrEx>
          <w:tblCellMar>
            <w:top w:w="0" w:type="dxa"/>
            <w:left w:w="108" w:type="dxa"/>
            <w:bottom w:w="0" w:type="dxa"/>
            <w:right w:w="108" w:type="dxa"/>
          </w:tblCellMar>
        </w:tblPrEx>
        <w:trPr>
          <w:trHeight w:val="518"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5B98783">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13</w:t>
            </w:r>
          </w:p>
        </w:tc>
        <w:tc>
          <w:tcPr>
            <w:tcW w:w="2070" w:type="dxa"/>
            <w:tcBorders>
              <w:top w:val="single" w:color="auto" w:sz="4" w:space="0"/>
              <w:left w:val="nil"/>
              <w:bottom w:val="single" w:color="auto" w:sz="4" w:space="0"/>
              <w:right w:val="single" w:color="auto" w:sz="4" w:space="0"/>
            </w:tcBorders>
            <w:vAlign w:val="center"/>
          </w:tcPr>
          <w:p w14:paraId="7990781D">
            <w:pPr>
              <w:widowControl/>
              <w:spacing w:line="360" w:lineRule="auto"/>
              <w:jc w:val="center"/>
              <w:rPr>
                <w:rFonts w:hint="eastAsia" w:ascii="宋体" w:hAnsi="宋体" w:cs="Calibri"/>
                <w:b/>
                <w:bCs/>
                <w:sz w:val="24"/>
                <w:highlight w:val="none"/>
              </w:rPr>
            </w:pPr>
            <w:r>
              <w:rPr>
                <w:rFonts w:hint="eastAsia" w:ascii="宋体" w:hAnsi="宋体" w:cs="Calibri"/>
                <w:sz w:val="24"/>
                <w:highlight w:val="none"/>
              </w:rPr>
              <w:t>招标控制价</w:t>
            </w:r>
          </w:p>
        </w:tc>
        <w:tc>
          <w:tcPr>
            <w:tcW w:w="6353" w:type="dxa"/>
            <w:tcBorders>
              <w:top w:val="single" w:color="auto" w:sz="4" w:space="0"/>
              <w:left w:val="nil"/>
              <w:bottom w:val="single" w:color="auto" w:sz="4" w:space="0"/>
              <w:right w:val="single" w:color="auto" w:sz="4" w:space="0"/>
            </w:tcBorders>
            <w:vAlign w:val="center"/>
          </w:tcPr>
          <w:p w14:paraId="365CF456">
            <w:pPr>
              <w:widowControl/>
              <w:spacing w:line="360" w:lineRule="auto"/>
              <w:jc w:val="left"/>
              <w:rPr>
                <w:rFonts w:hint="eastAsia" w:ascii="宋体" w:hAnsi="宋体" w:cs="Calibri"/>
                <w:b/>
                <w:bCs/>
                <w:sz w:val="24"/>
                <w:highlight w:val="none"/>
              </w:rPr>
            </w:pPr>
            <w:r>
              <w:rPr>
                <w:rFonts w:hint="eastAsia" w:ascii="宋体" w:hAnsi="宋体" w:cs="Calibri"/>
                <w:b/>
                <w:bCs/>
                <w:sz w:val="24"/>
                <w:highlight w:val="none"/>
                <w:lang w:eastAsia="zh-CN"/>
              </w:rPr>
              <w:t>348600.00</w:t>
            </w:r>
            <w:r>
              <w:rPr>
                <w:rFonts w:hint="eastAsia" w:ascii="宋体" w:hAnsi="宋体" w:cs="Calibri"/>
                <w:b/>
                <w:bCs/>
                <w:sz w:val="24"/>
                <w:highlight w:val="none"/>
              </w:rPr>
              <w:t>元</w:t>
            </w:r>
          </w:p>
          <w:p w14:paraId="27164E33">
            <w:pPr>
              <w:widowControl/>
              <w:spacing w:line="360" w:lineRule="auto"/>
              <w:jc w:val="left"/>
              <w:rPr>
                <w:rFonts w:hint="eastAsia" w:ascii="宋体" w:hAnsi="宋体" w:cs="Calibri"/>
                <w:b/>
                <w:bCs/>
                <w:sz w:val="24"/>
                <w:highlight w:val="none"/>
              </w:rPr>
            </w:pPr>
            <w:r>
              <w:rPr>
                <w:rFonts w:hint="eastAsia" w:ascii="宋体" w:hAnsi="宋体" w:cs="Calibri"/>
                <w:b/>
                <w:bCs/>
                <w:sz w:val="24"/>
                <w:highlight w:val="none"/>
              </w:rPr>
              <w:t>供应商的投标报价不得超过最高投标限价，否则视为无效报价。</w:t>
            </w:r>
          </w:p>
        </w:tc>
      </w:tr>
      <w:tr w14:paraId="34E25594">
        <w:tblPrEx>
          <w:tblCellMar>
            <w:top w:w="0" w:type="dxa"/>
            <w:left w:w="108" w:type="dxa"/>
            <w:bottom w:w="0" w:type="dxa"/>
            <w:right w:w="108" w:type="dxa"/>
          </w:tblCellMar>
        </w:tblPrEx>
        <w:trPr>
          <w:trHeight w:val="2022"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566E0AEA">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14</w:t>
            </w:r>
          </w:p>
        </w:tc>
        <w:tc>
          <w:tcPr>
            <w:tcW w:w="2070" w:type="dxa"/>
            <w:tcBorders>
              <w:top w:val="single" w:color="auto" w:sz="4" w:space="0"/>
              <w:left w:val="nil"/>
              <w:bottom w:val="single" w:color="auto" w:sz="4" w:space="0"/>
              <w:right w:val="single" w:color="auto" w:sz="4" w:space="0"/>
            </w:tcBorders>
            <w:vAlign w:val="center"/>
          </w:tcPr>
          <w:p w14:paraId="56A595E9">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磋商小组的</w:t>
            </w:r>
          </w:p>
          <w:p w14:paraId="297502DB">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组建</w:t>
            </w:r>
          </w:p>
        </w:tc>
        <w:tc>
          <w:tcPr>
            <w:tcW w:w="6353" w:type="dxa"/>
            <w:tcBorders>
              <w:top w:val="single" w:color="auto" w:sz="4" w:space="0"/>
              <w:left w:val="nil"/>
              <w:bottom w:val="single" w:color="auto" w:sz="4" w:space="0"/>
              <w:right w:val="single" w:color="auto" w:sz="4" w:space="0"/>
            </w:tcBorders>
            <w:vAlign w:val="center"/>
          </w:tcPr>
          <w:p w14:paraId="08FB6507">
            <w:pPr>
              <w:widowControl/>
              <w:spacing w:line="360" w:lineRule="auto"/>
              <w:jc w:val="left"/>
              <w:rPr>
                <w:rFonts w:hint="eastAsia" w:ascii="宋体" w:hAnsi="宋体" w:cs="Calibri"/>
                <w:sz w:val="24"/>
                <w:highlight w:val="none"/>
              </w:rPr>
            </w:pPr>
            <w:r>
              <w:rPr>
                <w:rFonts w:hint="eastAsia" w:ascii="宋体" w:hAnsi="宋体" w:cs="Calibri"/>
                <w:sz w:val="24"/>
                <w:highlight w:val="none"/>
              </w:rPr>
              <w:t>磋商小组构成：3人；</w:t>
            </w:r>
          </w:p>
          <w:p w14:paraId="2F5F6C60">
            <w:pPr>
              <w:widowControl/>
              <w:spacing w:line="360" w:lineRule="auto"/>
              <w:jc w:val="left"/>
              <w:rPr>
                <w:rFonts w:hint="eastAsia" w:ascii="宋体" w:hAnsi="宋体" w:cs="Calibri"/>
                <w:sz w:val="24"/>
                <w:highlight w:val="none"/>
              </w:rPr>
            </w:pPr>
            <w:r>
              <w:rPr>
                <w:rFonts w:hint="eastAsia" w:ascii="宋体" w:hAnsi="宋体" w:cs="Calibri"/>
                <w:sz w:val="24"/>
                <w:highlight w:val="none"/>
              </w:rPr>
              <w:t>其中招标人代表1人，经济、技术类专家2人；</w:t>
            </w:r>
          </w:p>
          <w:p w14:paraId="7ACD6681">
            <w:pPr>
              <w:widowControl/>
              <w:spacing w:line="360" w:lineRule="auto"/>
              <w:jc w:val="left"/>
              <w:rPr>
                <w:rFonts w:hint="eastAsia" w:ascii="宋体" w:hAnsi="宋体" w:cs="Calibri"/>
                <w:sz w:val="24"/>
                <w:highlight w:val="none"/>
              </w:rPr>
            </w:pPr>
            <w:r>
              <w:rPr>
                <w:rFonts w:hint="eastAsia" w:ascii="宋体" w:hAnsi="宋体" w:cs="Calibri"/>
                <w:sz w:val="24"/>
                <w:highlight w:val="none"/>
              </w:rPr>
              <w:t>评标专家确定方式：</w:t>
            </w:r>
            <w:r>
              <w:rPr>
                <w:rFonts w:hint="eastAsia" w:ascii="宋体" w:hAnsi="宋体" w:eastAsia="宋体" w:cs="宋体"/>
                <w:kern w:val="0"/>
                <w:sz w:val="24"/>
                <w:szCs w:val="24"/>
                <w:highlight w:val="none"/>
              </w:rPr>
              <w:t>开标当天从河南省政府采购网专家库随机抽取。</w:t>
            </w:r>
          </w:p>
        </w:tc>
      </w:tr>
      <w:tr w14:paraId="3FD7E85C">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69F9EC33">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15</w:t>
            </w:r>
          </w:p>
        </w:tc>
        <w:tc>
          <w:tcPr>
            <w:tcW w:w="2070" w:type="dxa"/>
            <w:tcBorders>
              <w:top w:val="single" w:color="auto" w:sz="4" w:space="0"/>
              <w:left w:val="nil"/>
              <w:bottom w:val="single" w:color="auto" w:sz="4" w:space="0"/>
              <w:right w:val="single" w:color="auto" w:sz="4" w:space="0"/>
            </w:tcBorders>
            <w:vAlign w:val="center"/>
          </w:tcPr>
          <w:p w14:paraId="33E74DC6">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授权评委小组推荐中标候选人</w:t>
            </w:r>
          </w:p>
        </w:tc>
        <w:tc>
          <w:tcPr>
            <w:tcW w:w="6353" w:type="dxa"/>
            <w:tcBorders>
              <w:top w:val="single" w:color="auto" w:sz="4" w:space="0"/>
              <w:left w:val="nil"/>
              <w:bottom w:val="single" w:color="auto" w:sz="4" w:space="0"/>
              <w:right w:val="single" w:color="auto" w:sz="4" w:space="0"/>
            </w:tcBorders>
            <w:vAlign w:val="center"/>
          </w:tcPr>
          <w:p w14:paraId="4B9F7853">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是，推荐的中标候选人数：3个</w:t>
            </w:r>
          </w:p>
        </w:tc>
      </w:tr>
      <w:tr w14:paraId="24C6EC34">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58F9F3F4">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16</w:t>
            </w:r>
          </w:p>
        </w:tc>
        <w:tc>
          <w:tcPr>
            <w:tcW w:w="2070" w:type="dxa"/>
            <w:tcBorders>
              <w:top w:val="single" w:color="auto" w:sz="4" w:space="0"/>
              <w:left w:val="nil"/>
              <w:bottom w:val="single" w:color="auto" w:sz="4" w:space="0"/>
              <w:right w:val="single" w:color="auto" w:sz="4" w:space="0"/>
            </w:tcBorders>
            <w:vAlign w:val="center"/>
          </w:tcPr>
          <w:p w14:paraId="0810AC03">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结果公示</w:t>
            </w:r>
          </w:p>
        </w:tc>
        <w:tc>
          <w:tcPr>
            <w:tcW w:w="6353" w:type="dxa"/>
            <w:tcBorders>
              <w:top w:val="single" w:color="auto" w:sz="4" w:space="0"/>
              <w:left w:val="nil"/>
              <w:bottom w:val="single" w:color="auto" w:sz="4" w:space="0"/>
              <w:right w:val="single" w:color="auto" w:sz="4" w:space="0"/>
            </w:tcBorders>
            <w:vAlign w:val="center"/>
          </w:tcPr>
          <w:p w14:paraId="02A3B6CD">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在《</w:t>
            </w:r>
            <w:r>
              <w:rPr>
                <w:rFonts w:hint="eastAsia" w:ascii="宋体" w:hAnsi="宋体" w:cs="Calibri"/>
                <w:kern w:val="0"/>
                <w:sz w:val="24"/>
                <w:highlight w:val="none"/>
                <w:lang w:eastAsia="zh-CN"/>
              </w:rPr>
              <w:t>中国招标投标公共服务平台</w:t>
            </w:r>
            <w:r>
              <w:rPr>
                <w:rFonts w:hint="eastAsia" w:ascii="宋体" w:hAnsi="宋体" w:cs="Calibri"/>
                <w:kern w:val="0"/>
                <w:sz w:val="24"/>
                <w:highlight w:val="none"/>
              </w:rPr>
              <w:t>》、《河南省政府采购网》和《三门峡市公共资源交易中心网》三个网站同步中标结果公告。</w:t>
            </w:r>
          </w:p>
          <w:p w14:paraId="5DA8836E">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招标人以书面形式向中标人发出中标通知书，同时向未中标企业以书面或电子形式告知未中标原因。</w:t>
            </w:r>
          </w:p>
        </w:tc>
      </w:tr>
      <w:tr w14:paraId="279F905C">
        <w:tblPrEx>
          <w:tblCellMar>
            <w:top w:w="0" w:type="dxa"/>
            <w:left w:w="108" w:type="dxa"/>
            <w:bottom w:w="0" w:type="dxa"/>
            <w:right w:w="108" w:type="dxa"/>
          </w:tblCellMar>
        </w:tblPrEx>
        <w:trPr>
          <w:trHeight w:val="514"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7E605E2E">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17</w:t>
            </w:r>
          </w:p>
        </w:tc>
        <w:tc>
          <w:tcPr>
            <w:tcW w:w="2070" w:type="dxa"/>
            <w:tcBorders>
              <w:top w:val="single" w:color="auto" w:sz="4" w:space="0"/>
              <w:left w:val="nil"/>
              <w:bottom w:val="single" w:color="auto" w:sz="4" w:space="0"/>
              <w:right w:val="single" w:color="auto" w:sz="4" w:space="0"/>
            </w:tcBorders>
            <w:vAlign w:val="center"/>
          </w:tcPr>
          <w:p w14:paraId="5209FC00">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签订合同时间</w:t>
            </w:r>
          </w:p>
        </w:tc>
        <w:tc>
          <w:tcPr>
            <w:tcW w:w="6353" w:type="dxa"/>
            <w:tcBorders>
              <w:top w:val="single" w:color="auto" w:sz="4" w:space="0"/>
              <w:left w:val="nil"/>
              <w:bottom w:val="single" w:color="auto" w:sz="4" w:space="0"/>
              <w:right w:val="single" w:color="auto" w:sz="4" w:space="0"/>
            </w:tcBorders>
            <w:vAlign w:val="center"/>
          </w:tcPr>
          <w:p w14:paraId="64157E6A">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中标通知书发出后30日内</w:t>
            </w:r>
          </w:p>
        </w:tc>
      </w:tr>
      <w:tr w14:paraId="4E1CDA5C">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2F71E9D2">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18</w:t>
            </w:r>
          </w:p>
        </w:tc>
        <w:tc>
          <w:tcPr>
            <w:tcW w:w="2070" w:type="dxa"/>
            <w:tcBorders>
              <w:top w:val="single" w:color="auto" w:sz="4" w:space="0"/>
              <w:left w:val="nil"/>
              <w:bottom w:val="single" w:color="auto" w:sz="4" w:space="0"/>
              <w:right w:val="single" w:color="auto" w:sz="4" w:space="0"/>
            </w:tcBorders>
            <w:vAlign w:val="center"/>
          </w:tcPr>
          <w:p w14:paraId="4023F34F">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投标有效期</w:t>
            </w:r>
          </w:p>
        </w:tc>
        <w:tc>
          <w:tcPr>
            <w:tcW w:w="6353" w:type="dxa"/>
            <w:tcBorders>
              <w:top w:val="single" w:color="auto" w:sz="4" w:space="0"/>
              <w:left w:val="nil"/>
              <w:bottom w:val="single" w:color="auto" w:sz="4" w:space="0"/>
              <w:right w:val="single" w:color="auto" w:sz="4" w:space="0"/>
            </w:tcBorders>
            <w:vAlign w:val="center"/>
          </w:tcPr>
          <w:p w14:paraId="3E39E542">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投标截止之日起60日历天</w:t>
            </w:r>
          </w:p>
        </w:tc>
      </w:tr>
      <w:tr w14:paraId="5323B297">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3F1DCE7">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19</w:t>
            </w:r>
          </w:p>
        </w:tc>
        <w:tc>
          <w:tcPr>
            <w:tcW w:w="2070" w:type="dxa"/>
            <w:tcBorders>
              <w:top w:val="single" w:color="auto" w:sz="4" w:space="0"/>
              <w:left w:val="nil"/>
              <w:bottom w:val="single" w:color="auto" w:sz="4" w:space="0"/>
              <w:right w:val="single" w:color="auto" w:sz="4" w:space="0"/>
            </w:tcBorders>
            <w:vAlign w:val="center"/>
          </w:tcPr>
          <w:p w14:paraId="30B46FD2">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履约保证金</w:t>
            </w:r>
          </w:p>
        </w:tc>
        <w:tc>
          <w:tcPr>
            <w:tcW w:w="6353" w:type="dxa"/>
            <w:tcBorders>
              <w:top w:val="single" w:color="auto" w:sz="4" w:space="0"/>
              <w:left w:val="nil"/>
              <w:bottom w:val="single" w:color="auto" w:sz="4" w:space="0"/>
              <w:right w:val="single" w:color="auto" w:sz="4" w:space="0"/>
            </w:tcBorders>
            <w:vAlign w:val="center"/>
          </w:tcPr>
          <w:p w14:paraId="1532A654">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本项目不收取履约保证金</w:t>
            </w:r>
          </w:p>
        </w:tc>
      </w:tr>
      <w:tr w14:paraId="2B60FAF1">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B872F0A">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20</w:t>
            </w:r>
          </w:p>
        </w:tc>
        <w:tc>
          <w:tcPr>
            <w:tcW w:w="2070" w:type="dxa"/>
            <w:tcBorders>
              <w:top w:val="single" w:color="auto" w:sz="4" w:space="0"/>
              <w:left w:val="nil"/>
              <w:bottom w:val="single" w:color="auto" w:sz="4" w:space="0"/>
              <w:right w:val="single" w:color="auto" w:sz="4" w:space="0"/>
            </w:tcBorders>
            <w:vAlign w:val="center"/>
          </w:tcPr>
          <w:p w14:paraId="2C24407E">
            <w:pPr>
              <w:spacing w:line="560" w:lineRule="exact"/>
              <w:jc w:val="center"/>
              <w:rPr>
                <w:rFonts w:hint="eastAsia" w:asciiTheme="minorEastAsia" w:hAnsiTheme="minorEastAsia" w:cstheme="minorEastAsia"/>
                <w:sz w:val="24"/>
                <w:szCs w:val="28"/>
                <w:highlight w:val="none"/>
              </w:rPr>
            </w:pPr>
            <w:r>
              <w:rPr>
                <w:rFonts w:hint="eastAsia" w:ascii="宋体" w:hAnsi="宋体" w:cs="Calibri"/>
                <w:sz w:val="24"/>
                <w:highlight w:val="none"/>
              </w:rPr>
              <w:t>报价及费用</w:t>
            </w:r>
          </w:p>
        </w:tc>
        <w:tc>
          <w:tcPr>
            <w:tcW w:w="6353" w:type="dxa"/>
            <w:tcBorders>
              <w:top w:val="single" w:color="auto" w:sz="4" w:space="0"/>
              <w:left w:val="nil"/>
              <w:bottom w:val="single" w:color="auto" w:sz="4" w:space="0"/>
              <w:right w:val="single" w:color="auto" w:sz="4" w:space="0"/>
            </w:tcBorders>
            <w:vAlign w:val="center"/>
          </w:tcPr>
          <w:p w14:paraId="05CADB8C">
            <w:pPr>
              <w:spacing w:line="420" w:lineRule="exact"/>
              <w:rPr>
                <w:rFonts w:hint="eastAsia" w:ascii="宋体" w:hAnsi="宋体" w:cs="Calibri"/>
                <w:sz w:val="24"/>
                <w:highlight w:val="none"/>
              </w:rPr>
            </w:pPr>
            <w:r>
              <w:rPr>
                <w:rFonts w:hint="eastAsia" w:ascii="宋体" w:hAnsi="宋体" w:cs="Calibri"/>
                <w:sz w:val="24"/>
                <w:highlight w:val="none"/>
              </w:rPr>
              <w:t>1．本项目应以人民币报价，供应商应就该项目完整投标（报价、服务、税费、售后服务等综合费用），招标人不另外支付其他任何费用；</w:t>
            </w:r>
          </w:p>
          <w:p w14:paraId="52553F0F">
            <w:pPr>
              <w:spacing w:line="420" w:lineRule="exact"/>
              <w:rPr>
                <w:rFonts w:hint="eastAsia" w:ascii="宋体" w:hAnsi="宋体" w:cs="Calibri"/>
                <w:sz w:val="24"/>
                <w:highlight w:val="none"/>
              </w:rPr>
            </w:pPr>
            <w:r>
              <w:rPr>
                <w:rFonts w:hint="eastAsia" w:ascii="宋体" w:hAnsi="宋体" w:cs="Calibri"/>
                <w:sz w:val="24"/>
                <w:highlight w:val="none"/>
              </w:rPr>
              <w:t>2. 招标代理服务费按《河南省招标代理服务收费指导意见》豫招标（2023）002号向中标人收取。供应商的投标报价应当包含该代理费用。</w:t>
            </w:r>
          </w:p>
        </w:tc>
      </w:tr>
      <w:tr w14:paraId="36F4E89F">
        <w:tblPrEx>
          <w:tblCellMar>
            <w:top w:w="0" w:type="dxa"/>
            <w:left w:w="108" w:type="dxa"/>
            <w:bottom w:w="0" w:type="dxa"/>
            <w:right w:w="108" w:type="dxa"/>
          </w:tblCellMar>
        </w:tblPrEx>
        <w:trPr>
          <w:trHeight w:val="35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287B6E2">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2</w:t>
            </w:r>
            <w:r>
              <w:rPr>
                <w:rFonts w:ascii="宋体" w:hAnsi="宋体" w:cs="Calibri"/>
                <w:kern w:val="0"/>
                <w:sz w:val="24"/>
                <w:highlight w:val="none"/>
              </w:rPr>
              <w:t>1</w:t>
            </w:r>
          </w:p>
        </w:tc>
        <w:tc>
          <w:tcPr>
            <w:tcW w:w="2070" w:type="dxa"/>
            <w:tcBorders>
              <w:top w:val="single" w:color="auto" w:sz="4" w:space="0"/>
              <w:left w:val="nil"/>
              <w:bottom w:val="single" w:color="auto" w:sz="4" w:space="0"/>
              <w:right w:val="single" w:color="auto" w:sz="4" w:space="0"/>
            </w:tcBorders>
            <w:vAlign w:val="center"/>
          </w:tcPr>
          <w:p w14:paraId="6B7FD2F1">
            <w:pPr>
              <w:spacing w:line="360" w:lineRule="auto"/>
              <w:jc w:val="center"/>
              <w:rPr>
                <w:rFonts w:hint="eastAsia" w:ascii="宋体" w:hAnsi="宋体" w:cs="Calibri"/>
                <w:sz w:val="24"/>
                <w:highlight w:val="none"/>
              </w:rPr>
            </w:pPr>
            <w:r>
              <w:rPr>
                <w:rFonts w:hint="eastAsia" w:ascii="宋体" w:hAnsi="宋体" w:cs="Calibri"/>
                <w:sz w:val="24"/>
                <w:highlight w:val="none"/>
              </w:rPr>
              <w:t>偏离</w:t>
            </w:r>
          </w:p>
        </w:tc>
        <w:tc>
          <w:tcPr>
            <w:tcW w:w="6353" w:type="dxa"/>
            <w:tcBorders>
              <w:top w:val="single" w:color="auto" w:sz="4" w:space="0"/>
              <w:left w:val="nil"/>
              <w:bottom w:val="single" w:color="auto" w:sz="4" w:space="0"/>
              <w:right w:val="single" w:color="auto" w:sz="4" w:space="0"/>
            </w:tcBorders>
            <w:vAlign w:val="center"/>
          </w:tcPr>
          <w:p w14:paraId="21CC5566">
            <w:pPr>
              <w:spacing w:line="360" w:lineRule="auto"/>
              <w:jc w:val="left"/>
              <w:rPr>
                <w:rFonts w:hint="eastAsia" w:ascii="宋体" w:hAnsi="宋体" w:cs="Calibri"/>
                <w:sz w:val="24"/>
                <w:highlight w:val="none"/>
              </w:rPr>
            </w:pPr>
            <w:r>
              <w:rPr>
                <w:rFonts w:hint="eastAsia" w:ascii="宋体" w:hAnsi="宋体" w:cs="Calibri"/>
                <w:sz w:val="24"/>
                <w:highlight w:val="none"/>
              </w:rPr>
              <w:t>允许正偏离。</w:t>
            </w:r>
          </w:p>
        </w:tc>
      </w:tr>
      <w:tr w14:paraId="72DB6837">
        <w:tblPrEx>
          <w:tblCellMar>
            <w:top w:w="0" w:type="dxa"/>
            <w:left w:w="108" w:type="dxa"/>
            <w:bottom w:w="0" w:type="dxa"/>
            <w:right w:w="108" w:type="dxa"/>
          </w:tblCellMar>
        </w:tblPrEx>
        <w:trPr>
          <w:trHeight w:val="35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BC56DC0">
            <w:pPr>
              <w:widowControl/>
              <w:spacing w:line="360" w:lineRule="auto"/>
              <w:jc w:val="center"/>
              <w:rPr>
                <w:rFonts w:hint="default" w:ascii="宋体" w:hAnsi="宋体" w:cs="Calibri" w:eastAsiaTheme="minorEastAsia"/>
                <w:kern w:val="0"/>
                <w:sz w:val="24"/>
                <w:highlight w:val="none"/>
                <w:lang w:val="en-US" w:eastAsia="zh-CN"/>
              </w:rPr>
            </w:pPr>
            <w:r>
              <w:rPr>
                <w:rFonts w:hint="eastAsia" w:ascii="宋体" w:hAnsi="宋体" w:cs="Calibri"/>
                <w:kern w:val="0"/>
                <w:sz w:val="24"/>
                <w:highlight w:val="none"/>
                <w:lang w:val="en-US" w:eastAsia="zh-CN"/>
              </w:rPr>
              <w:t>22</w:t>
            </w:r>
          </w:p>
        </w:tc>
        <w:tc>
          <w:tcPr>
            <w:tcW w:w="2070" w:type="dxa"/>
            <w:tcBorders>
              <w:top w:val="single" w:color="auto" w:sz="4" w:space="0"/>
              <w:left w:val="nil"/>
              <w:bottom w:val="single" w:color="auto" w:sz="4" w:space="0"/>
              <w:right w:val="single" w:color="auto" w:sz="4" w:space="0"/>
            </w:tcBorders>
            <w:vAlign w:val="center"/>
          </w:tcPr>
          <w:p w14:paraId="624AF26B">
            <w:pPr>
              <w:spacing w:line="360" w:lineRule="auto"/>
              <w:jc w:val="center"/>
              <w:rPr>
                <w:rFonts w:hint="eastAsia" w:ascii="宋体" w:hAnsi="宋体" w:cs="Calibri"/>
                <w:sz w:val="24"/>
                <w:highlight w:val="none"/>
              </w:rPr>
            </w:pPr>
            <w:r>
              <w:rPr>
                <w:rFonts w:hint="eastAsia" w:ascii="宋体" w:hAnsi="宋体" w:cs="宋体"/>
                <w:color w:val="auto"/>
                <w:spacing w:val="6"/>
                <w:kern w:val="2"/>
                <w:sz w:val="24"/>
                <w:szCs w:val="24"/>
                <w:highlight w:val="none"/>
              </w:rPr>
              <w:t>付款方式</w:t>
            </w:r>
          </w:p>
        </w:tc>
        <w:tc>
          <w:tcPr>
            <w:tcW w:w="6353" w:type="dxa"/>
            <w:tcBorders>
              <w:top w:val="single" w:color="auto" w:sz="4" w:space="0"/>
              <w:left w:val="nil"/>
              <w:bottom w:val="single" w:color="auto" w:sz="4" w:space="0"/>
              <w:right w:val="single" w:color="auto" w:sz="4" w:space="0"/>
            </w:tcBorders>
            <w:vAlign w:val="center"/>
          </w:tcPr>
          <w:p w14:paraId="551F503A">
            <w:pPr>
              <w:spacing w:line="360" w:lineRule="auto"/>
              <w:jc w:val="both"/>
              <w:rPr>
                <w:rFonts w:hint="eastAsia" w:ascii="宋体" w:hAnsi="宋体" w:cs="Calibri"/>
                <w:sz w:val="24"/>
                <w:highlight w:val="none"/>
              </w:rPr>
            </w:pPr>
            <w:r>
              <w:rPr>
                <w:rFonts w:hint="default" w:ascii="宋体" w:hAnsi="宋体" w:cs="宋体"/>
                <w:color w:val="auto"/>
                <w:spacing w:val="6"/>
                <w:kern w:val="2"/>
                <w:sz w:val="24"/>
                <w:szCs w:val="24"/>
                <w:highlight w:val="none"/>
                <w:lang w:val="en-US"/>
              </w:rPr>
              <w:t>合同签订</w:t>
            </w:r>
            <w:r>
              <w:rPr>
                <w:rFonts w:hint="eastAsia" w:ascii="宋体" w:hAnsi="宋体" w:cs="宋体"/>
                <w:color w:val="auto"/>
                <w:spacing w:val="6"/>
                <w:kern w:val="2"/>
                <w:sz w:val="24"/>
                <w:szCs w:val="24"/>
                <w:highlight w:val="none"/>
                <w:lang w:val="en-US" w:eastAsia="zh-CN"/>
              </w:rPr>
              <w:t>时双方协商</w:t>
            </w:r>
          </w:p>
        </w:tc>
      </w:tr>
      <w:tr w14:paraId="6DF62DBC">
        <w:tblPrEx>
          <w:tblCellMar>
            <w:top w:w="0" w:type="dxa"/>
            <w:left w:w="108" w:type="dxa"/>
            <w:bottom w:w="0" w:type="dxa"/>
            <w:right w:w="108" w:type="dxa"/>
          </w:tblCellMar>
        </w:tblPrEx>
        <w:trPr>
          <w:trHeight w:val="35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111D00E">
            <w:pPr>
              <w:widowControl/>
              <w:spacing w:line="360" w:lineRule="auto"/>
              <w:jc w:val="center"/>
              <w:rPr>
                <w:rFonts w:hint="default" w:ascii="宋体" w:hAnsi="宋体" w:cs="Calibri" w:eastAsiaTheme="minorEastAsia"/>
                <w:kern w:val="0"/>
                <w:sz w:val="24"/>
                <w:highlight w:val="none"/>
                <w:lang w:val="en-US" w:eastAsia="zh-CN"/>
              </w:rPr>
            </w:pPr>
            <w:r>
              <w:rPr>
                <w:rFonts w:hint="eastAsia" w:ascii="宋体" w:hAnsi="宋体" w:cs="Calibri"/>
                <w:kern w:val="0"/>
                <w:sz w:val="24"/>
                <w:highlight w:val="none"/>
                <w:lang w:val="en-US" w:eastAsia="zh-CN"/>
              </w:rPr>
              <w:t>23</w:t>
            </w:r>
          </w:p>
        </w:tc>
        <w:tc>
          <w:tcPr>
            <w:tcW w:w="2070" w:type="dxa"/>
            <w:tcBorders>
              <w:top w:val="single" w:color="auto" w:sz="4" w:space="0"/>
              <w:left w:val="nil"/>
              <w:bottom w:val="single" w:color="auto" w:sz="4" w:space="0"/>
              <w:right w:val="single" w:color="auto" w:sz="4" w:space="0"/>
            </w:tcBorders>
            <w:vAlign w:val="center"/>
          </w:tcPr>
          <w:p w14:paraId="6CFF5EEA">
            <w:pPr>
              <w:wordWrap w:val="0"/>
              <w:rPr>
                <w:rFonts w:hint="eastAsia" w:ascii="宋体" w:hAnsi="宋体" w:cs="Calibri"/>
                <w:sz w:val="24"/>
                <w:highlight w:val="none"/>
              </w:rPr>
            </w:pPr>
            <w:r>
              <w:rPr>
                <w:rFonts w:hint="eastAsia" w:ascii="宋体" w:hAnsi="宋体" w:eastAsia="宋体" w:cs="宋体"/>
                <w:color w:val="auto"/>
                <w:sz w:val="24"/>
                <w:highlight w:val="none"/>
                <w:lang w:val="en-US" w:eastAsia="zh-CN"/>
              </w:rPr>
              <w:t>采购标的对应的中小企业划分标准所属行业</w:t>
            </w:r>
          </w:p>
        </w:tc>
        <w:tc>
          <w:tcPr>
            <w:tcW w:w="6353" w:type="dxa"/>
            <w:tcBorders>
              <w:top w:val="single" w:color="auto" w:sz="4" w:space="0"/>
              <w:left w:val="nil"/>
              <w:bottom w:val="single" w:color="auto" w:sz="4" w:space="0"/>
              <w:right w:val="single" w:color="auto" w:sz="4" w:space="0"/>
            </w:tcBorders>
            <w:vAlign w:val="center"/>
          </w:tcPr>
          <w:p w14:paraId="5DBD300A">
            <w:pPr>
              <w:spacing w:line="4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根据工业和信息化部、国家统计局、国家发展改革委、财政部《关于印发中小企业划型标准规定的通知》（工信部联企业〔2011〕300号），本次采购标的对应的中小企业划分标准属于工业。</w:t>
            </w:r>
          </w:p>
          <w:p w14:paraId="78FEE92F">
            <w:pPr>
              <w:spacing w:line="420" w:lineRule="exact"/>
              <w:rPr>
                <w:rFonts w:hint="eastAsia" w:ascii="宋体" w:hAnsi="宋体" w:cs="Calibri"/>
                <w:sz w:val="24"/>
                <w:highlight w:val="none"/>
              </w:rPr>
            </w:pPr>
            <w:r>
              <w:rPr>
                <w:rFonts w:hint="eastAsia" w:ascii="宋体" w:hAnsi="宋体" w:eastAsia="宋体" w:cs="宋体"/>
                <w:color w:val="auto"/>
                <w:sz w:val="24"/>
                <w:highlight w:val="none"/>
                <w:lang w:val="en-US" w:eastAsia="zh-CN"/>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0D5E454A">
        <w:tblPrEx>
          <w:tblCellMar>
            <w:top w:w="0" w:type="dxa"/>
            <w:left w:w="108" w:type="dxa"/>
            <w:bottom w:w="0" w:type="dxa"/>
            <w:right w:w="108" w:type="dxa"/>
          </w:tblCellMar>
        </w:tblPrEx>
        <w:trPr>
          <w:trHeight w:val="442"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6C8CE8EF">
            <w:pPr>
              <w:widowControl/>
              <w:spacing w:line="360" w:lineRule="auto"/>
              <w:jc w:val="center"/>
              <w:rPr>
                <w:rFonts w:hint="eastAsia" w:ascii="宋体" w:hAnsi="宋体" w:cs="Calibri" w:eastAsiaTheme="minorEastAsia"/>
                <w:sz w:val="24"/>
                <w:highlight w:val="none"/>
                <w:lang w:eastAsia="zh-CN"/>
              </w:rPr>
            </w:pPr>
            <w:r>
              <w:rPr>
                <w:rFonts w:hint="eastAsia" w:ascii="宋体" w:hAnsi="宋体" w:cs="Calibri"/>
                <w:kern w:val="0"/>
                <w:sz w:val="24"/>
                <w:highlight w:val="none"/>
              </w:rPr>
              <w:t>2</w:t>
            </w:r>
            <w:r>
              <w:rPr>
                <w:rFonts w:hint="eastAsia" w:ascii="宋体" w:hAnsi="宋体" w:cs="Calibri"/>
                <w:kern w:val="0"/>
                <w:sz w:val="24"/>
                <w:highlight w:val="none"/>
                <w:lang w:val="en-US" w:eastAsia="zh-CN"/>
              </w:rPr>
              <w:t>4</w:t>
            </w:r>
          </w:p>
        </w:tc>
        <w:tc>
          <w:tcPr>
            <w:tcW w:w="2070" w:type="dxa"/>
            <w:tcBorders>
              <w:top w:val="single" w:color="auto" w:sz="4" w:space="0"/>
              <w:left w:val="nil"/>
              <w:bottom w:val="single" w:color="auto" w:sz="4" w:space="0"/>
              <w:right w:val="single" w:color="auto" w:sz="4" w:space="0"/>
            </w:tcBorders>
            <w:vAlign w:val="center"/>
          </w:tcPr>
          <w:p w14:paraId="74D11C78">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解释</w:t>
            </w:r>
          </w:p>
        </w:tc>
        <w:tc>
          <w:tcPr>
            <w:tcW w:w="6353" w:type="dxa"/>
            <w:tcBorders>
              <w:top w:val="single" w:color="auto" w:sz="4" w:space="0"/>
              <w:left w:val="nil"/>
              <w:bottom w:val="single" w:color="auto" w:sz="4" w:space="0"/>
              <w:right w:val="single" w:color="auto" w:sz="4" w:space="0"/>
            </w:tcBorders>
            <w:vAlign w:val="center"/>
          </w:tcPr>
          <w:p w14:paraId="153E2D58">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本竞争性磋商文件的解释权属于采购人。</w:t>
            </w:r>
          </w:p>
        </w:tc>
      </w:tr>
      <w:tr w14:paraId="50E44CCC">
        <w:tblPrEx>
          <w:tblCellMar>
            <w:top w:w="0" w:type="dxa"/>
            <w:left w:w="108" w:type="dxa"/>
            <w:bottom w:w="0" w:type="dxa"/>
            <w:right w:w="108" w:type="dxa"/>
          </w:tblCellMar>
        </w:tblPrEx>
        <w:trPr>
          <w:trHeight w:val="683"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7494E3D3">
            <w:pPr>
              <w:widowControl/>
              <w:spacing w:line="360" w:lineRule="auto"/>
              <w:jc w:val="center"/>
              <w:rPr>
                <w:rFonts w:hint="eastAsia" w:ascii="宋体" w:hAnsi="宋体" w:cs="Calibri" w:eastAsiaTheme="minorEastAsia"/>
                <w:sz w:val="24"/>
                <w:highlight w:val="none"/>
                <w:lang w:val="en-US" w:eastAsia="zh-CN"/>
              </w:rPr>
            </w:pPr>
            <w:r>
              <w:rPr>
                <w:rFonts w:hint="eastAsia" w:ascii="宋体" w:hAnsi="宋体" w:cs="Calibri"/>
                <w:kern w:val="0"/>
                <w:sz w:val="24"/>
                <w:highlight w:val="none"/>
              </w:rPr>
              <w:t>2</w:t>
            </w:r>
            <w:r>
              <w:rPr>
                <w:rFonts w:hint="eastAsia" w:ascii="宋体" w:hAnsi="宋体" w:cs="Calibri"/>
                <w:kern w:val="0"/>
                <w:sz w:val="24"/>
                <w:highlight w:val="none"/>
                <w:lang w:val="en-US" w:eastAsia="zh-CN"/>
              </w:rPr>
              <w:t>5</w:t>
            </w:r>
          </w:p>
        </w:tc>
        <w:tc>
          <w:tcPr>
            <w:tcW w:w="2070" w:type="dxa"/>
            <w:tcBorders>
              <w:top w:val="single" w:color="auto" w:sz="4" w:space="0"/>
              <w:left w:val="nil"/>
              <w:bottom w:val="single" w:color="auto" w:sz="4" w:space="0"/>
              <w:right w:val="single" w:color="auto" w:sz="4" w:space="0"/>
            </w:tcBorders>
            <w:vAlign w:val="center"/>
          </w:tcPr>
          <w:p w14:paraId="0EF4FB7C">
            <w:pPr>
              <w:widowControl/>
              <w:spacing w:line="360" w:lineRule="auto"/>
              <w:jc w:val="center"/>
              <w:rPr>
                <w:rFonts w:hint="eastAsia" w:ascii="宋体" w:hAnsi="宋体" w:cs="Calibri"/>
                <w:sz w:val="24"/>
                <w:highlight w:val="none"/>
              </w:rPr>
            </w:pPr>
            <w:r>
              <w:rPr>
                <w:rFonts w:hint="eastAsia" w:ascii="宋体" w:hAnsi="宋体" w:cs="Calibri"/>
                <w:b/>
                <w:bCs/>
                <w:kern w:val="0"/>
                <w:sz w:val="24"/>
                <w:highlight w:val="none"/>
              </w:rPr>
              <w:t>电子化交易注意事项</w:t>
            </w:r>
          </w:p>
        </w:tc>
        <w:tc>
          <w:tcPr>
            <w:tcW w:w="6353" w:type="dxa"/>
            <w:tcBorders>
              <w:top w:val="single" w:color="auto" w:sz="4" w:space="0"/>
              <w:left w:val="nil"/>
              <w:bottom w:val="single" w:color="auto" w:sz="4" w:space="0"/>
              <w:right w:val="single" w:color="auto" w:sz="4" w:space="0"/>
            </w:tcBorders>
            <w:vAlign w:val="center"/>
          </w:tcPr>
          <w:p w14:paraId="676071D3">
            <w:pPr>
              <w:spacing w:line="400" w:lineRule="exact"/>
              <w:rPr>
                <w:rFonts w:hint="eastAsia" w:ascii="宋体" w:hAnsi="宋体"/>
                <w:sz w:val="24"/>
                <w:highlight w:val="none"/>
              </w:rPr>
            </w:pPr>
            <w:r>
              <w:rPr>
                <w:rFonts w:hint="eastAsia" w:ascii="宋体" w:hAnsi="宋体"/>
                <w:sz w:val="24"/>
                <w:highlight w:val="none"/>
              </w:rPr>
              <w:t>本项目为电子化交易项目，投标文件是供应商、投标人（以下简称“供应商”）通过中心投标文件制作系统制作，并经过电子签章和加密后生成的电子版投标文件。供应商投标时，不须提交纸质文件资料。</w:t>
            </w:r>
          </w:p>
          <w:p w14:paraId="79FBAB2D">
            <w:pPr>
              <w:spacing w:line="400" w:lineRule="exact"/>
              <w:rPr>
                <w:rFonts w:hint="eastAsia" w:ascii="宋体" w:hAnsi="宋体"/>
                <w:sz w:val="24"/>
                <w:highlight w:val="none"/>
              </w:rPr>
            </w:pPr>
            <w:r>
              <w:rPr>
                <w:rFonts w:hint="eastAsia" w:ascii="宋体" w:hAnsi="宋体"/>
                <w:sz w:val="24"/>
                <w:highlight w:val="none"/>
              </w:rPr>
              <w:t>电子化投标文件具体制作教材请供应商通过CA证书登录三门峡市公共资源电子化交易系统在 “交易智库”中下载操作流程</w:t>
            </w:r>
          </w:p>
          <w:p w14:paraId="46E2E365">
            <w:pPr>
              <w:spacing w:line="400" w:lineRule="exact"/>
              <w:rPr>
                <w:rFonts w:hint="eastAsia" w:ascii="宋体" w:hAnsi="宋体"/>
                <w:sz w:val="24"/>
                <w:highlight w:val="none"/>
              </w:rPr>
            </w:pPr>
            <w:r>
              <w:rPr>
                <w:rFonts w:hint="eastAsia" w:ascii="宋体" w:hAnsi="宋体"/>
                <w:sz w:val="24"/>
                <w:highlight w:val="none"/>
              </w:rPr>
              <w:t>温馨提示：本项目为电子化、无纸化交易项目，供应商时不接受任何纸质资料，为保证您能投标成功，请需仔细阅读以下条款。</w:t>
            </w:r>
          </w:p>
          <w:p w14:paraId="093A71E3">
            <w:pPr>
              <w:spacing w:line="400" w:lineRule="exact"/>
              <w:rPr>
                <w:rFonts w:hint="eastAsia" w:ascii="宋体" w:hAnsi="宋体"/>
                <w:sz w:val="24"/>
                <w:highlight w:val="none"/>
              </w:rPr>
            </w:pPr>
            <w:r>
              <w:rPr>
                <w:rFonts w:hint="eastAsia" w:ascii="宋体" w:hAnsi="宋体"/>
                <w:sz w:val="24"/>
                <w:highlight w:val="none"/>
              </w:rPr>
              <w:t>一、电子化投标</w:t>
            </w:r>
          </w:p>
          <w:p w14:paraId="222FBCED">
            <w:pPr>
              <w:spacing w:line="400" w:lineRule="exact"/>
              <w:rPr>
                <w:rFonts w:hint="eastAsia" w:ascii="宋体" w:hAnsi="宋体"/>
                <w:sz w:val="24"/>
                <w:highlight w:val="none"/>
              </w:rPr>
            </w:pPr>
            <w:r>
              <w:rPr>
                <w:rFonts w:hint="eastAsia" w:ascii="宋体" w:hAnsi="宋体"/>
                <w:sz w:val="24"/>
                <w:highlight w:val="none"/>
              </w:rPr>
              <w:t>（一）电子化投标文件的签章</w:t>
            </w:r>
          </w:p>
          <w:p w14:paraId="1C6F9110">
            <w:pPr>
              <w:spacing w:line="400" w:lineRule="exact"/>
              <w:rPr>
                <w:rFonts w:hint="eastAsia" w:ascii="宋体" w:hAnsi="宋体"/>
                <w:sz w:val="24"/>
                <w:highlight w:val="none"/>
              </w:rPr>
            </w:pPr>
            <w:r>
              <w:rPr>
                <w:rFonts w:hint="eastAsia" w:ascii="宋体" w:hAnsi="宋体"/>
                <w:sz w:val="24"/>
                <w:highlight w:val="none"/>
              </w:rPr>
              <w:t>1、供应商在生成电子化投标文件后，应对电子化投标文件进行签章，未进行签章的视为无效投标。</w:t>
            </w:r>
          </w:p>
          <w:p w14:paraId="7F1CD8CB">
            <w:pPr>
              <w:spacing w:line="400" w:lineRule="exact"/>
              <w:jc w:val="left"/>
              <w:rPr>
                <w:rFonts w:hint="eastAsia" w:ascii="宋体" w:hAnsi="宋体"/>
                <w:sz w:val="24"/>
                <w:highlight w:val="none"/>
              </w:rPr>
            </w:pPr>
            <w:r>
              <w:rPr>
                <w:rFonts w:hint="eastAsia" w:ascii="宋体" w:hAnsi="宋体"/>
                <w:sz w:val="24"/>
                <w:highlight w:val="none"/>
              </w:rPr>
              <w:t>2、投标文件中要求法定代表人或授权委托人签字或盖章的，供应商在进行电子化投标文件签章时，以签盖法定代表人签章为准。电子化投标文件具体制作教材请供应商通过CA证书登录三门峡市公共资源电子化交易系统在右上角“交易智库”中查看。电子化投标文件工具请点击</w:t>
            </w:r>
            <w:r>
              <w:rPr>
                <w:rFonts w:ascii="宋体" w:hAnsi="宋体"/>
                <w:sz w:val="24"/>
                <w:highlight w:val="none"/>
              </w:rPr>
              <w:t>https://download.bqpoint.com/download/downloadlist.html?SoftTypeCode=03</w:t>
            </w:r>
            <w:r>
              <w:rPr>
                <w:rFonts w:hint="eastAsia" w:ascii="宋体" w:hAnsi="宋体"/>
                <w:sz w:val="24"/>
                <w:highlight w:val="none"/>
              </w:rPr>
              <w:t>进行下载。</w:t>
            </w:r>
          </w:p>
          <w:p w14:paraId="10B5D69D">
            <w:pPr>
              <w:spacing w:line="400" w:lineRule="exact"/>
              <w:rPr>
                <w:rFonts w:hint="eastAsia" w:ascii="宋体" w:hAnsi="宋体"/>
                <w:sz w:val="24"/>
                <w:highlight w:val="none"/>
              </w:rPr>
            </w:pPr>
            <w:r>
              <w:rPr>
                <w:rFonts w:hint="eastAsia" w:ascii="宋体" w:hAnsi="宋体"/>
                <w:sz w:val="24"/>
                <w:highlight w:val="none"/>
              </w:rPr>
              <w:t>（二）电子化投标文件的格式及上传投标</w:t>
            </w:r>
          </w:p>
          <w:p w14:paraId="2AF70A0C">
            <w:pPr>
              <w:spacing w:line="400" w:lineRule="exact"/>
              <w:jc w:val="left"/>
              <w:rPr>
                <w:rFonts w:hint="eastAsia" w:ascii="宋体" w:hAnsi="宋体"/>
                <w:sz w:val="24"/>
                <w:highlight w:val="none"/>
              </w:rPr>
            </w:pPr>
            <w:r>
              <w:rPr>
                <w:rFonts w:hint="eastAsia" w:ascii="宋体" w:hAnsi="宋体"/>
                <w:sz w:val="24"/>
                <w:highlight w:val="none"/>
              </w:rPr>
              <w:t>1、供应商所上传的电子化投标文件，应是通过中心投标文件制作系统制作的（投标文件制作工具下载地址：</w:t>
            </w:r>
            <w:r>
              <w:rPr>
                <w:rFonts w:ascii="宋体" w:hAnsi="宋体"/>
                <w:sz w:val="24"/>
                <w:highlight w:val="none"/>
              </w:rPr>
              <w:t>https://download.bqpoint.com/download/downloadlist.html?SoftTypeCode=03</w:t>
            </w:r>
            <w:r>
              <w:rPr>
                <w:rFonts w:hint="eastAsia" w:ascii="宋体" w:hAnsi="宋体"/>
                <w:sz w:val="24"/>
                <w:highlight w:val="none"/>
              </w:rPr>
              <w:t>），经过签章和加密后生成的电子版投标文件。其中包含用于投标文件上传的主文件（后缀为.smxtf）和用于应急补救的投标文件备份文件（后缀为.nsmxtf）。备份文件主要用于电子化开标出现技术问题后的补救，请供应商随身携带。</w:t>
            </w:r>
          </w:p>
          <w:p w14:paraId="62492CFF">
            <w:pPr>
              <w:spacing w:line="400" w:lineRule="exact"/>
              <w:rPr>
                <w:rFonts w:hint="eastAsia" w:ascii="宋体" w:hAnsi="宋体"/>
                <w:sz w:val="24"/>
                <w:highlight w:val="none"/>
              </w:rPr>
            </w:pPr>
            <w:r>
              <w:rPr>
                <w:rFonts w:hint="eastAsia" w:ascii="宋体" w:hAnsi="宋体"/>
                <w:sz w:val="24"/>
                <w:highlight w:val="none"/>
              </w:rPr>
              <w:t>注：供应商投报多个标段的，需要每个标段单独制作电子投标文件。</w:t>
            </w:r>
          </w:p>
          <w:p w14:paraId="2C502D25">
            <w:pPr>
              <w:spacing w:line="400" w:lineRule="exact"/>
              <w:rPr>
                <w:rFonts w:hint="eastAsia" w:ascii="宋体" w:hAnsi="宋体"/>
                <w:sz w:val="24"/>
                <w:highlight w:val="none"/>
              </w:rPr>
            </w:pPr>
            <w:r>
              <w:rPr>
                <w:rFonts w:hint="eastAsia" w:ascii="宋体" w:hAnsi="宋体"/>
                <w:sz w:val="24"/>
                <w:highlight w:val="none"/>
              </w:rPr>
              <w:t>2、电子化投标文件应在投标截止时间前成功上传至三门峡市公共资源电子化交易系统。至投标截止时间止，仍未上传成功的电子化投标文件将不予接收。</w:t>
            </w:r>
          </w:p>
          <w:p w14:paraId="1AE0BD9C">
            <w:pPr>
              <w:spacing w:line="400" w:lineRule="exact"/>
              <w:rPr>
                <w:rFonts w:hint="eastAsia" w:ascii="宋体" w:hAnsi="宋体"/>
                <w:sz w:val="24"/>
                <w:highlight w:val="none"/>
              </w:rPr>
            </w:pPr>
            <w:r>
              <w:rPr>
                <w:rFonts w:hint="eastAsia" w:ascii="宋体" w:hAnsi="宋体"/>
                <w:sz w:val="24"/>
                <w:highlight w:val="none"/>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3AD6C2FE">
            <w:pPr>
              <w:spacing w:line="400" w:lineRule="exact"/>
              <w:rPr>
                <w:rFonts w:hint="eastAsia" w:ascii="宋体" w:hAnsi="宋体"/>
                <w:sz w:val="24"/>
                <w:highlight w:val="none"/>
              </w:rPr>
            </w:pPr>
            <w:r>
              <w:rPr>
                <w:rFonts w:hint="eastAsia" w:ascii="宋体" w:hAnsi="宋体"/>
                <w:sz w:val="24"/>
                <w:highlight w:val="none"/>
              </w:rPr>
              <w:t>技术联系电话：400-998-0000</w:t>
            </w:r>
          </w:p>
          <w:p w14:paraId="5C036263">
            <w:pPr>
              <w:spacing w:line="400" w:lineRule="exact"/>
              <w:rPr>
                <w:rFonts w:hint="eastAsia" w:ascii="宋体" w:hAnsi="宋体"/>
                <w:sz w:val="24"/>
                <w:highlight w:val="none"/>
              </w:rPr>
            </w:pPr>
            <w:r>
              <w:rPr>
                <w:rFonts w:hint="eastAsia" w:ascii="宋体" w:hAnsi="宋体"/>
                <w:sz w:val="24"/>
                <w:highlight w:val="none"/>
              </w:rPr>
              <w:t>主体库咨询电话:0398-3117815</w:t>
            </w:r>
          </w:p>
          <w:p w14:paraId="08E2612F">
            <w:pPr>
              <w:spacing w:line="400" w:lineRule="exact"/>
              <w:rPr>
                <w:rFonts w:hint="eastAsia" w:ascii="宋体" w:hAnsi="宋体"/>
                <w:sz w:val="24"/>
                <w:highlight w:val="none"/>
              </w:rPr>
            </w:pPr>
            <w:r>
              <w:rPr>
                <w:rFonts w:hint="eastAsia" w:ascii="宋体" w:hAnsi="宋体"/>
                <w:sz w:val="24"/>
                <w:highlight w:val="none"/>
              </w:rPr>
              <w:t>CA证书制发:0398-2181635</w:t>
            </w:r>
          </w:p>
          <w:p w14:paraId="6FB70D28">
            <w:pPr>
              <w:spacing w:line="400" w:lineRule="exact"/>
              <w:rPr>
                <w:rFonts w:hint="eastAsia" w:ascii="宋体" w:hAnsi="宋体"/>
                <w:sz w:val="24"/>
                <w:highlight w:val="none"/>
              </w:rPr>
            </w:pPr>
            <w:r>
              <w:rPr>
                <w:rFonts w:hint="eastAsia" w:ascii="宋体" w:hAnsi="宋体"/>
                <w:sz w:val="24"/>
                <w:highlight w:val="none"/>
              </w:rPr>
              <w:t>科技信息科:0398-3117095</w:t>
            </w:r>
          </w:p>
          <w:p w14:paraId="5C80A380">
            <w:pPr>
              <w:spacing w:line="400" w:lineRule="exact"/>
              <w:rPr>
                <w:rFonts w:hint="eastAsia" w:ascii="宋体" w:hAnsi="宋体"/>
                <w:sz w:val="24"/>
                <w:highlight w:val="none"/>
              </w:rPr>
            </w:pPr>
            <w:r>
              <w:rPr>
                <w:rFonts w:hint="eastAsia" w:ascii="宋体" w:hAnsi="宋体"/>
                <w:sz w:val="24"/>
                <w:highlight w:val="none"/>
              </w:rPr>
              <w:t>（三）电子化项目开标、解密、唱标、评标</w:t>
            </w:r>
          </w:p>
          <w:p w14:paraId="4E0D5BF6">
            <w:pPr>
              <w:wordWrap w:val="0"/>
              <w:spacing w:line="400" w:lineRule="exact"/>
              <w:ind w:firstLine="357"/>
              <w:rPr>
                <w:rFonts w:hint="eastAsia" w:ascii="宋体" w:hAnsi="宋体"/>
                <w:sz w:val="24"/>
                <w:highlight w:val="none"/>
              </w:rPr>
            </w:pPr>
            <w:r>
              <w:rPr>
                <w:rFonts w:hint="eastAsia" w:ascii="宋体" w:hAnsi="宋体"/>
                <w:sz w:val="24"/>
                <w:highlight w:val="none"/>
              </w:rPr>
              <w:t>1、本项目采用电子化、无纸化进行招标，开标当日，供应商无需到开标现场参加开标会议，供应商应当在投标截止时间前，登陆不见面开标大厅选择登陆三门峡市公共资源电子招投标系统进行登陆（</w:t>
            </w:r>
            <w:r>
              <w:rPr>
                <w:rFonts w:hint="eastAsia" w:ascii="宋体" w:hAnsi="宋体" w:cs="宋体"/>
                <w:sz w:val="24"/>
                <w:szCs w:val="24"/>
                <w:highlight w:val="none"/>
              </w:rPr>
              <w:t>网址为</w:t>
            </w:r>
            <w:r>
              <w:rPr>
                <w:rFonts w:ascii="宋体" w:hAnsi="宋体" w:cs="宋体"/>
                <w:sz w:val="24"/>
                <w:szCs w:val="24"/>
                <w:highlight w:val="none"/>
              </w:rPr>
              <w:t>http://120.194.249.36:10094/BidOpening/bidopeninghallaction/hall/login</w:t>
            </w:r>
            <w:r>
              <w:rPr>
                <w:rFonts w:hint="eastAsia" w:ascii="宋体" w:hAnsi="宋体"/>
                <w:sz w:val="24"/>
                <w:highlight w:val="none"/>
              </w:rPr>
              <w:t>）,在线准时参加开标活动并进行投标文件解密等。</w:t>
            </w:r>
          </w:p>
          <w:p w14:paraId="718DCCDF">
            <w:pPr>
              <w:spacing w:line="400" w:lineRule="exact"/>
              <w:rPr>
                <w:rFonts w:hint="eastAsia" w:ascii="宋体" w:hAnsi="宋体"/>
                <w:sz w:val="24"/>
                <w:highlight w:val="none"/>
              </w:rPr>
            </w:pPr>
            <w:r>
              <w:rPr>
                <w:rFonts w:hint="eastAsia" w:ascii="宋体" w:hAnsi="宋体"/>
                <w:sz w:val="24"/>
                <w:highlight w:val="none"/>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67F9856A">
            <w:pPr>
              <w:spacing w:line="400" w:lineRule="exact"/>
              <w:rPr>
                <w:rFonts w:hint="eastAsia" w:ascii="宋体" w:hAnsi="宋体"/>
                <w:sz w:val="24"/>
                <w:highlight w:val="none"/>
              </w:rPr>
            </w:pPr>
            <w:r>
              <w:rPr>
                <w:rFonts w:hint="eastAsia" w:ascii="宋体" w:hAnsi="宋体"/>
                <w:sz w:val="24"/>
                <w:highlight w:val="none"/>
              </w:rPr>
              <w:t>3、电子化投标文件解密异常的处理</w:t>
            </w:r>
          </w:p>
          <w:p w14:paraId="6A801DD4">
            <w:pPr>
              <w:spacing w:line="400" w:lineRule="exact"/>
              <w:rPr>
                <w:rFonts w:hint="eastAsia" w:ascii="宋体" w:hAnsi="宋体"/>
                <w:sz w:val="24"/>
                <w:highlight w:val="none"/>
              </w:rPr>
            </w:pPr>
            <w:r>
              <w:rPr>
                <w:rFonts w:hint="eastAsia" w:ascii="宋体" w:hAnsi="宋体"/>
                <w:sz w:val="24"/>
                <w:highlight w:val="none"/>
              </w:rPr>
              <w:t>如出现供应商的电子投标文件无法解密等异常情况，供应商应及时致电中介服务机构说明。投标文件异常，按以下步骤进行处理：</w:t>
            </w:r>
          </w:p>
          <w:p w14:paraId="5005448D">
            <w:pPr>
              <w:spacing w:line="400" w:lineRule="exact"/>
              <w:rPr>
                <w:rFonts w:hint="eastAsia" w:ascii="宋体" w:hAnsi="宋体"/>
                <w:sz w:val="24"/>
                <w:highlight w:val="none"/>
              </w:rPr>
            </w:pPr>
            <w:r>
              <w:rPr>
                <w:rFonts w:hint="eastAsia" w:ascii="宋体" w:hAnsi="宋体"/>
                <w:sz w:val="24"/>
                <w:highlight w:val="none"/>
              </w:rPr>
              <w:t>（1）首先由技术人员进行问题排查。</w:t>
            </w:r>
          </w:p>
          <w:p w14:paraId="7523BCB2">
            <w:pPr>
              <w:spacing w:line="400" w:lineRule="exact"/>
              <w:rPr>
                <w:rFonts w:hint="eastAsia" w:ascii="宋体" w:hAnsi="宋体"/>
                <w:sz w:val="24"/>
                <w:highlight w:val="none"/>
              </w:rPr>
            </w:pPr>
            <w:r>
              <w:rPr>
                <w:rFonts w:hint="eastAsia" w:ascii="宋体" w:hAnsi="宋体"/>
                <w:sz w:val="24"/>
                <w:highlight w:val="none"/>
              </w:rPr>
              <w:t>（2）经技术人员排查后，是供应商文件自身问题导致投标文件无法解密的，该投标文件将不予接收、解密和唱标。开标会议继续进行。</w:t>
            </w:r>
          </w:p>
          <w:p w14:paraId="770AF2F2">
            <w:pPr>
              <w:spacing w:line="400" w:lineRule="exact"/>
              <w:rPr>
                <w:rFonts w:hint="eastAsia" w:ascii="宋体" w:hAnsi="宋体"/>
                <w:sz w:val="24"/>
                <w:highlight w:val="none"/>
              </w:rPr>
            </w:pPr>
            <w:r>
              <w:rPr>
                <w:rFonts w:hint="eastAsia" w:ascii="宋体" w:hAnsi="宋体"/>
                <w:sz w:val="24"/>
                <w:highlight w:val="none"/>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7A171889">
            <w:pPr>
              <w:spacing w:line="400" w:lineRule="exact"/>
              <w:rPr>
                <w:rFonts w:hint="eastAsia" w:ascii="宋体" w:hAnsi="宋体"/>
                <w:sz w:val="24"/>
                <w:highlight w:val="none"/>
              </w:rPr>
            </w:pPr>
            <w:r>
              <w:rPr>
                <w:rFonts w:hint="eastAsia" w:ascii="宋体" w:hAnsi="宋体"/>
                <w:sz w:val="24"/>
                <w:highlight w:val="none"/>
              </w:rPr>
              <w:t>4、待所有供应商投标文件解密完成后，由中介服务机构操作，对所有已解密投标文件进行唱标。</w:t>
            </w:r>
          </w:p>
          <w:p w14:paraId="63152BE4">
            <w:pPr>
              <w:spacing w:line="400" w:lineRule="exact"/>
              <w:rPr>
                <w:rFonts w:hint="eastAsia" w:ascii="宋体" w:hAnsi="宋体"/>
                <w:sz w:val="24"/>
                <w:highlight w:val="none"/>
              </w:rPr>
            </w:pPr>
            <w:r>
              <w:rPr>
                <w:rFonts w:hint="eastAsia" w:ascii="宋体" w:hAnsi="宋体"/>
                <w:sz w:val="24"/>
                <w:highlight w:val="none"/>
              </w:rPr>
              <w:t>供应商应保证在开标期间电话、电脑、网络能够正常工作，供应商因停电、电脑病毒、网络堵塞等原因，未在规定的解密时间内对投标文件进行解密的，其投标文件不予接收、唱标。</w:t>
            </w:r>
          </w:p>
          <w:p w14:paraId="3E41A7DD">
            <w:pPr>
              <w:spacing w:line="400" w:lineRule="exact"/>
              <w:rPr>
                <w:rFonts w:hint="eastAsia" w:ascii="宋体" w:hAnsi="宋体"/>
                <w:sz w:val="24"/>
                <w:highlight w:val="none"/>
              </w:rPr>
            </w:pPr>
            <w:r>
              <w:rPr>
                <w:rFonts w:hint="eastAsia" w:ascii="宋体" w:hAnsi="宋体"/>
                <w:sz w:val="24"/>
                <w:highlight w:val="none"/>
              </w:rPr>
              <w:t>5、开标时供应商可登录到交易系统中在开标解密栏中点击报价一览表查看自己的投标报价。如对自己的唱标内容有异议的，应在供应商解密成功后10分钟内向中介服务机构电话质疑。中介服务机构应在监督人员的监督下进行免提通话接受供应商的质疑并做好书面记录。供应商未在规定时间内提出质疑的，视为认可唱标内容。</w:t>
            </w:r>
          </w:p>
          <w:p w14:paraId="77D1A18C">
            <w:pPr>
              <w:spacing w:line="400" w:lineRule="exact"/>
              <w:rPr>
                <w:rFonts w:hint="eastAsia" w:ascii="宋体" w:hAnsi="宋体"/>
                <w:sz w:val="24"/>
                <w:highlight w:val="none"/>
              </w:rPr>
            </w:pPr>
            <w:r>
              <w:rPr>
                <w:rFonts w:hint="eastAsia" w:ascii="宋体" w:hAnsi="宋体"/>
                <w:sz w:val="24"/>
                <w:highlight w:val="none"/>
              </w:rPr>
              <w:t>6、评标时，磋商小组对电子化投标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磋商小组。</w:t>
            </w:r>
          </w:p>
          <w:p w14:paraId="402F7703">
            <w:pPr>
              <w:spacing w:line="400" w:lineRule="exact"/>
              <w:rPr>
                <w:rFonts w:hint="eastAsia" w:ascii="宋体" w:hAnsi="宋体"/>
                <w:sz w:val="24"/>
                <w:highlight w:val="none"/>
              </w:rPr>
            </w:pPr>
            <w:r>
              <w:rPr>
                <w:rFonts w:hint="eastAsia" w:ascii="宋体" w:hAnsi="宋体"/>
                <w:sz w:val="24"/>
                <w:highlight w:val="none"/>
              </w:rPr>
              <w:t>7、如磋商小组对需要回复的供应商连续三次致电未接通的，视为供应商放弃回复，磋商小组将自行对需要回复的内容进行认定。</w:t>
            </w:r>
          </w:p>
          <w:p w14:paraId="77F5915E">
            <w:pPr>
              <w:spacing w:line="400" w:lineRule="exact"/>
              <w:rPr>
                <w:rFonts w:hint="eastAsia" w:ascii="宋体" w:hAnsi="宋体"/>
                <w:sz w:val="24"/>
                <w:highlight w:val="none"/>
              </w:rPr>
            </w:pPr>
            <w:r>
              <w:rPr>
                <w:rFonts w:hint="eastAsia" w:ascii="宋体" w:hAnsi="宋体"/>
                <w:sz w:val="24"/>
                <w:highlight w:val="none"/>
              </w:rPr>
              <w:t>二、相关证书原件的提交</w:t>
            </w:r>
          </w:p>
          <w:p w14:paraId="22D6B6D7">
            <w:pPr>
              <w:spacing w:line="400" w:lineRule="exact"/>
              <w:rPr>
                <w:rFonts w:hint="eastAsia" w:ascii="宋体" w:hAnsi="宋体"/>
                <w:sz w:val="24"/>
                <w:highlight w:val="none"/>
              </w:rPr>
            </w:pPr>
            <w:r>
              <w:rPr>
                <w:rFonts w:hint="eastAsia" w:ascii="宋体" w:hAnsi="宋体"/>
                <w:sz w:val="24"/>
                <w:highlight w:val="none"/>
              </w:rPr>
              <w:t>本项目实行资格后审，资格评审以投标文件为准，其上传资料真实性由供应商自行承担，同时，供应商要完善主体库。</w:t>
            </w:r>
          </w:p>
          <w:p w14:paraId="22311AF7">
            <w:pPr>
              <w:spacing w:line="400" w:lineRule="exact"/>
              <w:rPr>
                <w:rFonts w:hint="eastAsia" w:ascii="宋体" w:hAnsi="宋体"/>
                <w:sz w:val="24"/>
                <w:highlight w:val="none"/>
              </w:rPr>
            </w:pPr>
            <w:r>
              <w:rPr>
                <w:rFonts w:hint="eastAsia" w:ascii="宋体" w:hAnsi="宋体"/>
                <w:sz w:val="24"/>
                <w:highlight w:val="none"/>
              </w:rPr>
              <w:t>提示：本项目为电子化、无纸化交易项目，开标时不再接受任何纸质资料，为保证您能投标成功，请需仔细阅读以上条款。</w:t>
            </w:r>
          </w:p>
        </w:tc>
      </w:tr>
    </w:tbl>
    <w:p w14:paraId="61630A7F">
      <w:pPr>
        <w:pStyle w:val="21"/>
        <w:spacing w:line="460" w:lineRule="exact"/>
        <w:jc w:val="center"/>
        <w:outlineLvl w:val="1"/>
        <w:rPr>
          <w:rFonts w:hint="eastAsia" w:ascii="宋体" w:hAnsi="宋体" w:eastAsia="宋体" w:cs="宋体"/>
          <w:b/>
          <w:kern w:val="0"/>
          <w:highlight w:val="none"/>
        </w:rPr>
      </w:pPr>
      <w:r>
        <w:rPr>
          <w:rFonts w:hint="eastAsia" w:ascii="宋体" w:hAnsi="宋体"/>
          <w:b/>
          <w:bCs/>
          <w:kern w:val="0"/>
          <w:highlight w:val="none"/>
        </w:rPr>
        <w:br w:type="page"/>
      </w:r>
      <w:bookmarkStart w:id="27" w:name="_Toc20823275"/>
      <w:bookmarkEnd w:id="27"/>
      <w:bookmarkStart w:id="28" w:name="_Toc16938519"/>
      <w:bookmarkEnd w:id="28"/>
      <w:bookmarkStart w:id="29" w:name="_Toc120614214"/>
      <w:bookmarkEnd w:id="29"/>
      <w:bookmarkStart w:id="30" w:name="_Toc517178993"/>
      <w:bookmarkEnd w:id="30"/>
      <w:bookmarkStart w:id="31" w:name="_Toc16770549"/>
      <w:bookmarkEnd w:id="31"/>
      <w:bookmarkStart w:id="32" w:name="_Toc513029203"/>
      <w:bookmarkEnd w:id="32"/>
      <w:bookmarkStart w:id="33" w:name="_Toc27178"/>
      <w:bookmarkStart w:id="34" w:name="_Toc4714_WPSOffice_Level1"/>
      <w:bookmarkStart w:id="35" w:name="_Toc2341_WPSOffice_Level1"/>
      <w:bookmarkStart w:id="36" w:name="_Toc27375_WPSOffice_Level1"/>
      <w:bookmarkStart w:id="37" w:name="_Toc3111_WPSOffice_Level1"/>
      <w:bookmarkStart w:id="38" w:name="_Toc32643"/>
      <w:r>
        <w:rPr>
          <w:rFonts w:hint="eastAsia" w:ascii="宋体" w:hAnsi="宋体" w:eastAsia="宋体" w:cs="宋体"/>
          <w:b/>
          <w:highlight w:val="none"/>
        </w:rPr>
        <w:t>1.总则</w:t>
      </w:r>
      <w:bookmarkEnd w:id="33"/>
    </w:p>
    <w:p w14:paraId="2F96828E">
      <w:pPr>
        <w:wordWrap w:val="0"/>
        <w:spacing w:line="460" w:lineRule="exact"/>
        <w:ind w:firstLine="480" w:firstLineChars="200"/>
        <w:jc w:val="left"/>
        <w:outlineLvl w:val="2"/>
        <w:rPr>
          <w:rFonts w:hint="eastAsia" w:ascii="宋体" w:hAnsi="宋体" w:eastAsia="宋体" w:cs="宋体"/>
          <w:sz w:val="24"/>
          <w:szCs w:val="24"/>
          <w:highlight w:val="none"/>
        </w:rPr>
      </w:pPr>
      <w:bookmarkStart w:id="39" w:name="_Toc513029204"/>
      <w:bookmarkEnd w:id="39"/>
      <w:bookmarkStart w:id="40" w:name="_Toc20823276"/>
      <w:bookmarkEnd w:id="40"/>
      <w:bookmarkStart w:id="41" w:name="_Toc16938520"/>
      <w:bookmarkEnd w:id="41"/>
      <w:bookmarkStart w:id="42" w:name="_Toc528078009"/>
      <w:bookmarkStart w:id="43" w:name="_Toc15871"/>
      <w:r>
        <w:rPr>
          <w:rFonts w:hint="eastAsia" w:ascii="宋体" w:hAnsi="宋体" w:eastAsia="宋体" w:cs="宋体"/>
          <w:sz w:val="24"/>
          <w:szCs w:val="24"/>
          <w:highlight w:val="none"/>
        </w:rPr>
        <w:t>1.1.1</w:t>
      </w:r>
      <w:bookmarkEnd w:id="42"/>
      <w:r>
        <w:rPr>
          <w:rFonts w:hint="eastAsia" w:ascii="宋体" w:hAnsi="宋体" w:eastAsia="宋体" w:cs="宋体"/>
          <w:sz w:val="24"/>
          <w:szCs w:val="24"/>
          <w:highlight w:val="none"/>
        </w:rPr>
        <w:t>采购方式及定义</w:t>
      </w:r>
      <w:bookmarkEnd w:id="43"/>
    </w:p>
    <w:p w14:paraId="3C1B41F3">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本次采购采用竞争性磋商方式（以下简称磋商），本竞争性磋商文件仅适用于竞争性磋商公告中所述项目。</w:t>
      </w:r>
    </w:p>
    <w:p w14:paraId="7CBDE23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合格的供应商</w:t>
      </w:r>
    </w:p>
    <w:p w14:paraId="1B9D2BA2">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1.满足竞争性磋商公告中供应商的资格条件的规定。</w:t>
      </w:r>
    </w:p>
    <w:p w14:paraId="779FA7DC">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2.满足本文件实质性条款的规定。</w:t>
      </w:r>
    </w:p>
    <w:p w14:paraId="42F7A419">
      <w:pPr>
        <w:wordWrap w:val="0"/>
        <w:spacing w:line="460" w:lineRule="exact"/>
        <w:ind w:firstLine="480" w:firstLineChars="200"/>
        <w:jc w:val="left"/>
        <w:outlineLvl w:val="2"/>
        <w:rPr>
          <w:rFonts w:hint="eastAsia" w:ascii="宋体" w:hAnsi="宋体" w:eastAsia="宋体" w:cs="宋体"/>
          <w:sz w:val="24"/>
          <w:szCs w:val="24"/>
          <w:highlight w:val="none"/>
        </w:rPr>
      </w:pPr>
      <w:bookmarkStart w:id="44" w:name="_Toc513029206"/>
      <w:bookmarkEnd w:id="44"/>
      <w:bookmarkStart w:id="45" w:name="_Toc20823278"/>
      <w:bookmarkEnd w:id="45"/>
      <w:bookmarkStart w:id="46" w:name="_Toc16938522"/>
      <w:bookmarkEnd w:id="46"/>
      <w:bookmarkStart w:id="47" w:name="_Toc528078010"/>
      <w:bookmarkStart w:id="48" w:name="_Toc31734"/>
      <w:r>
        <w:rPr>
          <w:rFonts w:hint="eastAsia" w:ascii="宋体" w:hAnsi="宋体" w:eastAsia="宋体" w:cs="宋体"/>
          <w:sz w:val="24"/>
          <w:szCs w:val="24"/>
          <w:highlight w:val="none"/>
        </w:rPr>
        <w:t>1.1.2</w:t>
      </w:r>
      <w:bookmarkEnd w:id="47"/>
      <w:r>
        <w:rPr>
          <w:rFonts w:hint="eastAsia" w:ascii="宋体" w:hAnsi="宋体" w:eastAsia="宋体" w:cs="宋体"/>
          <w:sz w:val="24"/>
          <w:szCs w:val="24"/>
          <w:highlight w:val="none"/>
        </w:rPr>
        <w:t>适用法律</w:t>
      </w:r>
      <w:bookmarkEnd w:id="48"/>
    </w:p>
    <w:p w14:paraId="315F329E">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本次竞争性磋商及由此产生的合同受中华人民共和国有关的法律法规制约和保护。</w:t>
      </w:r>
    </w:p>
    <w:p w14:paraId="2C25A194">
      <w:pPr>
        <w:wordWrap w:val="0"/>
        <w:spacing w:line="460" w:lineRule="exact"/>
        <w:ind w:firstLine="480" w:firstLineChars="200"/>
        <w:jc w:val="left"/>
        <w:outlineLvl w:val="2"/>
        <w:rPr>
          <w:rFonts w:hint="eastAsia" w:ascii="宋体" w:hAnsi="宋体" w:eastAsia="宋体" w:cs="宋体"/>
          <w:sz w:val="24"/>
          <w:szCs w:val="24"/>
          <w:highlight w:val="none"/>
        </w:rPr>
      </w:pPr>
      <w:bookmarkStart w:id="49" w:name="_Toc462564067"/>
      <w:bookmarkEnd w:id="49"/>
      <w:bookmarkStart w:id="50" w:name="_Toc16938523"/>
      <w:bookmarkEnd w:id="50"/>
      <w:bookmarkStart w:id="51" w:name="_Toc20823279"/>
      <w:bookmarkEnd w:id="51"/>
      <w:bookmarkStart w:id="52" w:name="_Toc513029207"/>
      <w:bookmarkEnd w:id="52"/>
      <w:bookmarkStart w:id="53" w:name="_Toc528078011"/>
      <w:bookmarkStart w:id="54" w:name="_Toc20062"/>
      <w:r>
        <w:rPr>
          <w:rFonts w:hint="eastAsia" w:ascii="宋体" w:hAnsi="宋体" w:eastAsia="宋体" w:cs="宋体"/>
          <w:sz w:val="24"/>
          <w:szCs w:val="24"/>
          <w:highlight w:val="none"/>
        </w:rPr>
        <w:t>1.1.3</w:t>
      </w:r>
      <w:bookmarkEnd w:id="53"/>
      <w:r>
        <w:rPr>
          <w:rFonts w:hint="eastAsia" w:ascii="宋体" w:hAnsi="宋体" w:eastAsia="宋体" w:cs="宋体"/>
          <w:sz w:val="24"/>
          <w:szCs w:val="24"/>
          <w:highlight w:val="none"/>
        </w:rPr>
        <w:t>磋商费用</w:t>
      </w:r>
      <w:bookmarkEnd w:id="54"/>
    </w:p>
    <w:p w14:paraId="3AB47DD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次竞争性磋商磋商服务费：招标代理服务费参照《河南省招标代理服务收费指导意见》豫招协（2023）002号文件中，河南省招标代理服务收费计算标准计取。领取中标通知书前由中标人支付。供应商的投标报价应当包含该代理费用。</w:t>
      </w:r>
    </w:p>
    <w:p w14:paraId="394D4B9F">
      <w:pPr>
        <w:wordWrap w:val="0"/>
        <w:spacing w:line="460" w:lineRule="exact"/>
        <w:ind w:left="566" w:leftChars="218" w:hanging="108" w:hangingChars="45"/>
        <w:jc w:val="left"/>
        <w:outlineLvl w:val="1"/>
        <w:rPr>
          <w:rFonts w:hint="eastAsia" w:ascii="宋体" w:hAnsi="宋体" w:eastAsia="宋体" w:cs="宋体"/>
          <w:kern w:val="0"/>
          <w:sz w:val="24"/>
          <w:szCs w:val="24"/>
          <w:highlight w:val="none"/>
        </w:rPr>
      </w:pPr>
      <w:bookmarkStart w:id="55" w:name="_Toc517178994"/>
      <w:bookmarkEnd w:id="55"/>
      <w:bookmarkStart w:id="56" w:name="_Toc16938525"/>
      <w:bookmarkEnd w:id="56"/>
      <w:bookmarkStart w:id="57" w:name="_Toc403987206"/>
      <w:bookmarkEnd w:id="57"/>
      <w:bookmarkStart w:id="58" w:name="_Toc120614215"/>
      <w:bookmarkEnd w:id="58"/>
      <w:bookmarkStart w:id="59" w:name="_Toc505350554"/>
      <w:bookmarkEnd w:id="59"/>
      <w:bookmarkStart w:id="60" w:name="_Toc504491968"/>
      <w:bookmarkEnd w:id="60"/>
      <w:bookmarkStart w:id="61" w:name="_Toc20823281"/>
      <w:bookmarkEnd w:id="61"/>
      <w:bookmarkStart w:id="62" w:name="_Toc513029209"/>
      <w:bookmarkEnd w:id="62"/>
      <w:bookmarkStart w:id="63" w:name="_Toc528078012"/>
      <w:bookmarkStart w:id="64" w:name="_Toc18479"/>
      <w:r>
        <w:rPr>
          <w:rFonts w:hint="eastAsia" w:ascii="宋体" w:hAnsi="宋体" w:eastAsia="宋体" w:cs="宋体"/>
          <w:sz w:val="24"/>
          <w:szCs w:val="24"/>
          <w:highlight w:val="none"/>
        </w:rPr>
        <w:t>2.</w:t>
      </w:r>
      <w:bookmarkEnd w:id="63"/>
      <w:r>
        <w:rPr>
          <w:rFonts w:hint="eastAsia" w:ascii="宋体" w:hAnsi="宋体" w:eastAsia="宋体" w:cs="宋体"/>
          <w:sz w:val="24"/>
          <w:szCs w:val="24"/>
          <w:highlight w:val="none"/>
        </w:rPr>
        <w:t>竞争性磋商文件</w:t>
      </w:r>
      <w:bookmarkEnd w:id="64"/>
    </w:p>
    <w:p w14:paraId="655ADF69">
      <w:pPr>
        <w:wordWrap w:val="0"/>
        <w:spacing w:line="460" w:lineRule="exact"/>
        <w:ind w:firstLine="480" w:firstLineChars="200"/>
        <w:jc w:val="left"/>
        <w:outlineLvl w:val="2"/>
        <w:rPr>
          <w:rFonts w:hint="eastAsia" w:ascii="宋体" w:hAnsi="宋体" w:eastAsia="宋体" w:cs="宋体"/>
          <w:sz w:val="24"/>
          <w:szCs w:val="24"/>
          <w:highlight w:val="none"/>
        </w:rPr>
      </w:pPr>
      <w:bookmarkStart w:id="65" w:name="_Toc513029210"/>
      <w:bookmarkEnd w:id="65"/>
      <w:bookmarkStart w:id="66" w:name="_Toc16938526"/>
      <w:bookmarkEnd w:id="66"/>
      <w:bookmarkStart w:id="67" w:name="_Toc20823282"/>
      <w:bookmarkEnd w:id="67"/>
      <w:bookmarkStart w:id="68" w:name="_Toc528078013"/>
      <w:bookmarkStart w:id="69" w:name="_Toc1487"/>
      <w:r>
        <w:rPr>
          <w:rFonts w:hint="eastAsia" w:ascii="宋体" w:hAnsi="宋体" w:eastAsia="宋体" w:cs="宋体"/>
          <w:sz w:val="24"/>
          <w:szCs w:val="24"/>
          <w:highlight w:val="none"/>
        </w:rPr>
        <w:t>2.1</w:t>
      </w:r>
      <w:bookmarkEnd w:id="68"/>
      <w:r>
        <w:rPr>
          <w:rFonts w:hint="eastAsia" w:ascii="宋体" w:hAnsi="宋体" w:eastAsia="宋体" w:cs="宋体"/>
          <w:sz w:val="24"/>
          <w:szCs w:val="24"/>
          <w:highlight w:val="none"/>
        </w:rPr>
        <w:t>竞争性磋商文件构成</w:t>
      </w:r>
      <w:bookmarkEnd w:id="69"/>
    </w:p>
    <w:p w14:paraId="6A39B860">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2.1.1竞争性磋商公告</w:t>
      </w:r>
    </w:p>
    <w:p w14:paraId="43633708">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2.1.2供应商须知</w:t>
      </w:r>
    </w:p>
    <w:p w14:paraId="504306EC">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2.1.3评标办法（综合评估法）</w:t>
      </w:r>
    </w:p>
    <w:p w14:paraId="366D5D7B">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2.1.4合同主要条款及格式</w:t>
      </w:r>
    </w:p>
    <w:p w14:paraId="1CA8180B">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2.1.5采购清单及技术参数</w:t>
      </w:r>
    </w:p>
    <w:p w14:paraId="77AF2819">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2.1.6投标文件格式</w:t>
      </w:r>
    </w:p>
    <w:p w14:paraId="15A23993">
      <w:pPr>
        <w:wordWrap w:val="0"/>
        <w:spacing w:line="460" w:lineRule="exact"/>
        <w:ind w:firstLine="480" w:firstLineChars="200"/>
        <w:jc w:val="left"/>
        <w:outlineLvl w:val="2"/>
        <w:rPr>
          <w:rFonts w:hint="eastAsia" w:ascii="宋体" w:hAnsi="宋体" w:eastAsia="宋体" w:cs="宋体"/>
          <w:sz w:val="24"/>
          <w:szCs w:val="24"/>
          <w:highlight w:val="none"/>
        </w:rPr>
      </w:pPr>
      <w:bookmarkStart w:id="70" w:name="_Toc20823283"/>
      <w:bookmarkEnd w:id="70"/>
      <w:bookmarkStart w:id="71" w:name="_Toc462564070"/>
      <w:bookmarkEnd w:id="71"/>
      <w:bookmarkStart w:id="72" w:name="_Toc513029211"/>
      <w:bookmarkEnd w:id="72"/>
      <w:bookmarkStart w:id="73" w:name="_Toc16938527"/>
      <w:bookmarkEnd w:id="73"/>
      <w:bookmarkStart w:id="74" w:name="_Toc528078014"/>
      <w:bookmarkStart w:id="75" w:name="_Toc4392"/>
      <w:r>
        <w:rPr>
          <w:rFonts w:hint="eastAsia" w:ascii="宋体" w:hAnsi="宋体" w:eastAsia="宋体" w:cs="宋体"/>
          <w:sz w:val="24"/>
          <w:szCs w:val="24"/>
          <w:highlight w:val="none"/>
        </w:rPr>
        <w:t>2.2</w:t>
      </w:r>
      <w:bookmarkEnd w:id="74"/>
      <w:r>
        <w:rPr>
          <w:rFonts w:hint="eastAsia" w:ascii="宋体" w:hAnsi="宋体" w:eastAsia="宋体" w:cs="宋体"/>
          <w:sz w:val="24"/>
          <w:szCs w:val="24"/>
          <w:highlight w:val="none"/>
        </w:rPr>
        <w:t>竞争性磋商文件的澄清及修改</w:t>
      </w:r>
      <w:bookmarkEnd w:id="75"/>
    </w:p>
    <w:p w14:paraId="0B8784D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2.2.1供应商应仔细阅读和检查磋商文件的全部内容。如发现电子文件缺页或附件不全，应及时向采购人提出，以便补齐。如有疑问，应在投标截止日期5日前在三门峡市公共资源交易系统中提出咨询并打电话至采购代理机构，要求采购人对磋商文件予以澄清。</w:t>
      </w:r>
    </w:p>
    <w:p w14:paraId="6900B832">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2.2.2磋商文件的澄清以澄清回复的方式在三门峡市公共资源交易系统中回复所有报名完成供应商或发布澄清公告，但不指明澄清问题的来源。澄清磋商文件实质性内容且影响响应文件编制的，应当顺延提交首次响应文件截止时间。</w:t>
      </w:r>
      <w:r>
        <w:rPr>
          <w:rFonts w:ascii="宋体" w:hAnsi="宋体" w:eastAsia="宋体" w:cs="宋体"/>
          <w:sz w:val="24"/>
          <w:szCs w:val="24"/>
          <w:highlight w:val="none"/>
        </w:rPr>
        <w:t xml:space="preserve">    </w:t>
      </w:r>
    </w:p>
    <w:p w14:paraId="5BA752EB">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2.2.3提交首次响应文件截止之日前，采购人、采购代理公司可以对已发出的磋商文件进行必要的澄清或者修改，澄清或者修改的内容作为磋商文件的组成部分。澄清或者修改的内容可能影响响应文件编制的，采购人、采购代理公司将在提交首次响应文件截止时间至少5日前，在相关网上发布变更公告形式通知所有获取磋商文件的供应商。不足5日的，应当顺延提交首次响应文件截止时间。</w:t>
      </w:r>
    </w:p>
    <w:p w14:paraId="3D24EBC5">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2.2.4供应商应自行查看澄清或变更信息。</w:t>
      </w:r>
    </w:p>
    <w:p w14:paraId="4C75BBB5">
      <w:pPr>
        <w:wordWrap w:val="0"/>
        <w:spacing w:line="460" w:lineRule="exact"/>
        <w:ind w:firstLine="480" w:firstLineChars="200"/>
        <w:jc w:val="left"/>
        <w:outlineLvl w:val="1"/>
        <w:rPr>
          <w:rFonts w:hint="eastAsia" w:ascii="宋体" w:hAnsi="宋体" w:eastAsia="宋体" w:cs="宋体"/>
          <w:kern w:val="0"/>
          <w:sz w:val="24"/>
          <w:szCs w:val="24"/>
          <w:highlight w:val="none"/>
        </w:rPr>
      </w:pPr>
      <w:bookmarkStart w:id="76" w:name="_Toc20823285"/>
      <w:bookmarkEnd w:id="76"/>
      <w:bookmarkStart w:id="77" w:name="_Toc120614216"/>
      <w:bookmarkEnd w:id="77"/>
      <w:bookmarkStart w:id="78" w:name="_Toc403987207"/>
      <w:bookmarkEnd w:id="78"/>
      <w:bookmarkStart w:id="79" w:name="_Toc16938529"/>
      <w:bookmarkEnd w:id="79"/>
      <w:bookmarkStart w:id="80" w:name="_Toc462564072"/>
      <w:bookmarkEnd w:id="80"/>
      <w:bookmarkStart w:id="81" w:name="_Toc513029213"/>
      <w:r>
        <w:rPr>
          <w:rFonts w:hint="eastAsia" w:ascii="宋体" w:hAnsi="宋体" w:eastAsia="宋体" w:cs="宋体"/>
          <w:sz w:val="24"/>
          <w:szCs w:val="24"/>
          <w:highlight w:val="none"/>
        </w:rPr>
        <w:t xml:space="preserve"> </w:t>
      </w:r>
      <w:bookmarkEnd w:id="81"/>
      <w:bookmarkStart w:id="82" w:name="_Toc517178995"/>
      <w:bookmarkEnd w:id="82"/>
      <w:bookmarkStart w:id="83" w:name="_Toc528078015"/>
      <w:bookmarkEnd w:id="83"/>
      <w:bookmarkStart w:id="84" w:name="_Toc505350555"/>
      <w:bookmarkEnd w:id="84"/>
      <w:bookmarkStart w:id="85" w:name="_Toc504491969"/>
      <w:bookmarkEnd w:id="85"/>
      <w:bookmarkStart w:id="86" w:name="_Toc4643"/>
      <w:r>
        <w:rPr>
          <w:rFonts w:hint="eastAsia" w:ascii="宋体" w:hAnsi="宋体" w:eastAsia="宋体" w:cs="宋体"/>
          <w:sz w:val="24"/>
          <w:szCs w:val="24"/>
          <w:highlight w:val="none"/>
        </w:rPr>
        <w:t>3.磋商响应文件的编制及递交</w:t>
      </w:r>
      <w:bookmarkEnd w:id="86"/>
    </w:p>
    <w:p w14:paraId="5BAEF21C">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电子化交易项目竞争性磋商响应文件（以下简称“响应文件”）是投标人、供应商（以下简称“供应商”）通过中心响应文件制作系统制作，并经过签章和加密后生成的电子版响应文件。供应商投标时，将不再接受任何纸质文件资料。</w:t>
      </w:r>
    </w:p>
    <w:p w14:paraId="618AF077">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电子化响应文件具体制作教材请供应商通过CA证书登录三门峡市公共资源电子化交易系统在“组建下载”中查看。</w:t>
      </w:r>
    </w:p>
    <w:p w14:paraId="2A37EC5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温馨提示：本项目为电子化、无纸化交易项目，开标时不接受任何纸质资料，为保证您能投标成功，请需仔细阅读以下条款。</w:t>
      </w:r>
    </w:p>
    <w:p w14:paraId="3E725052">
      <w:pPr>
        <w:wordWrap w:val="0"/>
        <w:spacing w:line="460" w:lineRule="exact"/>
        <w:ind w:firstLine="480" w:firstLineChars="200"/>
        <w:jc w:val="left"/>
        <w:outlineLvl w:val="2"/>
        <w:rPr>
          <w:rFonts w:hint="eastAsia" w:ascii="宋体" w:hAnsi="宋体" w:eastAsia="宋体" w:cs="宋体"/>
          <w:sz w:val="24"/>
          <w:szCs w:val="24"/>
          <w:highlight w:val="none"/>
        </w:rPr>
      </w:pPr>
      <w:bookmarkStart w:id="87" w:name="_Toc5901"/>
      <w:r>
        <w:rPr>
          <w:rFonts w:hint="eastAsia" w:ascii="宋体" w:hAnsi="宋体" w:eastAsia="宋体" w:cs="宋体"/>
          <w:sz w:val="24"/>
          <w:szCs w:val="24"/>
          <w:highlight w:val="none"/>
        </w:rPr>
        <w:t>一、电子化投标</w:t>
      </w:r>
      <w:bookmarkEnd w:id="87"/>
    </w:p>
    <w:p w14:paraId="428032A7">
      <w:pPr>
        <w:wordWrap w:val="0"/>
        <w:spacing w:line="460" w:lineRule="exact"/>
        <w:ind w:firstLine="480" w:firstLineChars="200"/>
        <w:jc w:val="left"/>
        <w:outlineLvl w:val="3"/>
        <w:rPr>
          <w:rFonts w:hint="eastAsia" w:ascii="宋体" w:hAnsi="宋体" w:eastAsia="宋体" w:cs="宋体"/>
          <w:kern w:val="0"/>
          <w:sz w:val="24"/>
          <w:szCs w:val="24"/>
          <w:highlight w:val="none"/>
        </w:rPr>
      </w:pPr>
      <w:r>
        <w:rPr>
          <w:rFonts w:hint="eastAsia" w:ascii="宋体" w:hAnsi="宋体" w:eastAsia="宋体" w:cs="宋体"/>
          <w:sz w:val="24"/>
          <w:szCs w:val="24"/>
          <w:highlight w:val="none"/>
        </w:rPr>
        <w:t>（一）电子化响应文件的签章</w:t>
      </w:r>
    </w:p>
    <w:p w14:paraId="4B241AD7">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1、供应商在生成电子化响应文件后，应对电子化响应文件进行签章，未进行签章的视为无效投标。</w:t>
      </w:r>
    </w:p>
    <w:p w14:paraId="432692B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磋商文件中要求法定代表人或授权委托人签字或盖章的，供应商在进行电子化响应文件签章时，以签盖法定代表人签章为准。电子化响应文件具体制作教材请供应商通过CA证书登录三门峡市公共资源电子化交易系统在右上角“组建下载”中查看。</w:t>
      </w:r>
    </w:p>
    <w:p w14:paraId="39D6F31C">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（二）电子化响应文件的格式及上传投标</w:t>
      </w:r>
    </w:p>
    <w:p w14:paraId="06394C59">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1、供应商所上传的电子化响应文件，应是通过中心响应文件制作系统制作的，经过签章和加密后生成的电子版响应文件。</w:t>
      </w:r>
    </w:p>
    <w:p w14:paraId="5F32974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2、电子化响应文件应在投标截止时间前成功上传至三门峡市公共资源电子化交易系统。至投标截止时间止，仍未上传成功的电子化响应文件将不予接收。</w:t>
      </w:r>
    </w:p>
    <w:p w14:paraId="32E220F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注：如按照电子化投标操作教材制作完成的电子化响应文件无法上传的，供应商应在投标截止时间前尽早的联系中心技术人员，以便有充分的时间进行处理。供应商应充分考虑到处理技术问题和上传数据等工作所需的时间问题，响应文件未在投标截止时间前成功上传的，其响应文件不予接收。</w:t>
      </w:r>
    </w:p>
    <w:p w14:paraId="2817509D">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（三）电子化项目开标、解密、唱标、磋商</w:t>
      </w:r>
    </w:p>
    <w:p w14:paraId="217C694F">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1、本项目采用电子化、无纸化进行招标，供应商可以通过网络登录交易平台进入项目开标大厅远程在线参加开标会议。</w:t>
      </w:r>
    </w:p>
    <w:p w14:paraId="3CE0C01C">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电子化响应文件采用双重加密方式。开标时，请供应商使用CA证书登录交易平台，进入本项目开标大厅点击解密来完成响应文件的解密工作。每位供应商的解密时间为开标时间起30分钟内完成。待所有供应商全部解密完成后，再由中介服务机构使用CA证书对响应文件进行再次解密。</w:t>
      </w:r>
    </w:p>
    <w:p w14:paraId="1536C5CB">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3、电子化响应文件解密异常的处理</w:t>
      </w:r>
    </w:p>
    <w:p w14:paraId="714ECB7E">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如出现供应商的电子响应文件无法解密等异常情况，供应商应及时致电中介服务机构说明。响应文件异常，按以下步骤进行处理：</w:t>
      </w:r>
    </w:p>
    <w:p w14:paraId="76E19D4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（1）首先由技术人员进行问题排查。</w:t>
      </w:r>
    </w:p>
    <w:p w14:paraId="485C8EFB">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（2）经技术人员排查后，是供应商文件自身问题导致响应文件无法解密的，该响应文件将不予接收、解密和唱标。开标会议继续进行。</w:t>
      </w:r>
    </w:p>
    <w:p w14:paraId="21E5FE57">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0F5B0A34">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4、供应商应保证在开标期间电话、电脑、网络能够正常工作，供应商因停电、电脑病毒、网络堵塞等原因，未在规定的解密时间内对响应文件进行解密的，其响应文件不予接收、唱标。</w:t>
      </w:r>
    </w:p>
    <w:p w14:paraId="32A32204">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磋商小组对电子化响应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磋商小组。</w:t>
      </w:r>
    </w:p>
    <w:p w14:paraId="375CC4FA">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6、如磋商小组对需要回复的供应商连续三次致电未接通的，视为供应商放弃回复，磋商小组将自行对需要回复的内容进行认定。</w:t>
      </w:r>
    </w:p>
    <w:p w14:paraId="7CFD7645">
      <w:pPr>
        <w:wordWrap w:val="0"/>
        <w:spacing w:line="460" w:lineRule="exact"/>
        <w:ind w:firstLine="480" w:firstLineChars="200"/>
        <w:jc w:val="left"/>
        <w:outlineLvl w:val="2"/>
        <w:rPr>
          <w:rFonts w:hint="eastAsia" w:ascii="宋体" w:hAnsi="宋体" w:eastAsia="宋体" w:cs="宋体"/>
          <w:sz w:val="24"/>
          <w:szCs w:val="24"/>
          <w:highlight w:val="none"/>
        </w:rPr>
      </w:pPr>
      <w:bookmarkStart w:id="88" w:name="_Toc24048"/>
      <w:r>
        <w:rPr>
          <w:rFonts w:hint="eastAsia" w:ascii="宋体" w:hAnsi="宋体" w:eastAsia="宋体" w:cs="宋体"/>
          <w:sz w:val="24"/>
          <w:szCs w:val="24"/>
          <w:highlight w:val="none"/>
        </w:rPr>
        <w:t>二、相关证书原件的提交</w:t>
      </w:r>
      <w:bookmarkEnd w:id="88"/>
    </w:p>
    <w:p w14:paraId="22AF31E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本项目实行资格后审，竞争性磋商文件中要求供应商提交营业执照、业绩、荣誉及单位人员等相关资料，供应商需将原件扫描件制作到电子响应文件中</w:t>
      </w:r>
    </w:p>
    <w:p w14:paraId="361A0FB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供应商需应仔细阅读操作手册，保证上传内容齐全，真实有效，原件扫描件清晰可辨。因供应商上传原因导致应得分项而未得分或资格审查不合格等情况的，由供应商自行承担责任。</w:t>
      </w:r>
    </w:p>
    <w:p w14:paraId="20D973B7">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提示：本项目为电子化、无纸化交易项目，开标时不再接受任何纸质资料，为保证您能投标成功，请需仔细阅读以上条款。</w:t>
      </w:r>
    </w:p>
    <w:p w14:paraId="5138E89B">
      <w:pPr>
        <w:wordWrap w:val="0"/>
        <w:spacing w:line="460" w:lineRule="exact"/>
        <w:ind w:firstLine="480" w:firstLineChars="200"/>
        <w:jc w:val="left"/>
        <w:outlineLvl w:val="1"/>
        <w:rPr>
          <w:rFonts w:hint="eastAsia" w:ascii="宋体" w:hAnsi="宋体" w:eastAsia="宋体" w:cs="宋体"/>
          <w:sz w:val="24"/>
          <w:szCs w:val="24"/>
          <w:highlight w:val="none"/>
        </w:rPr>
      </w:pPr>
      <w:bookmarkStart w:id="89" w:name="_Toc528078016"/>
      <w:bookmarkEnd w:id="89"/>
      <w:bookmarkStart w:id="90" w:name="_Toc207"/>
      <w:r>
        <w:rPr>
          <w:rFonts w:hint="eastAsia" w:ascii="宋体" w:hAnsi="宋体" w:eastAsia="宋体" w:cs="宋体"/>
          <w:sz w:val="24"/>
          <w:szCs w:val="24"/>
          <w:highlight w:val="none"/>
        </w:rPr>
        <w:t>3.初次报价表</w:t>
      </w:r>
      <w:bookmarkEnd w:id="90"/>
    </w:p>
    <w:p w14:paraId="0F4053D5">
      <w:pPr>
        <w:wordWrap w:val="0"/>
        <w:spacing w:line="460" w:lineRule="exact"/>
        <w:ind w:firstLine="480" w:firstLineChars="200"/>
        <w:jc w:val="left"/>
        <w:outlineLvl w:val="2"/>
        <w:rPr>
          <w:rFonts w:hint="eastAsia" w:ascii="宋体" w:hAnsi="宋体" w:eastAsia="宋体" w:cs="宋体"/>
          <w:sz w:val="24"/>
          <w:szCs w:val="24"/>
          <w:highlight w:val="none"/>
        </w:rPr>
      </w:pPr>
      <w:bookmarkStart w:id="91" w:name="_Toc528078017"/>
      <w:bookmarkEnd w:id="91"/>
      <w:bookmarkStart w:id="92" w:name="_Toc2129"/>
      <w:r>
        <w:rPr>
          <w:rFonts w:hint="eastAsia" w:ascii="宋体" w:hAnsi="宋体" w:eastAsia="宋体" w:cs="宋体"/>
          <w:sz w:val="24"/>
          <w:szCs w:val="24"/>
          <w:highlight w:val="none"/>
        </w:rPr>
        <w:t>3.1供应商应按照竞争性磋商文件规定格式填报</w:t>
      </w:r>
      <w:bookmarkStart w:id="93" w:name="_Hlt26670399"/>
      <w:bookmarkEnd w:id="93"/>
      <w:r>
        <w:rPr>
          <w:rFonts w:hint="eastAsia" w:ascii="宋体" w:hAnsi="宋体" w:eastAsia="宋体" w:cs="宋体"/>
          <w:sz w:val="24"/>
          <w:szCs w:val="24"/>
          <w:highlight w:val="none"/>
        </w:rPr>
        <w:t>初次报价表。每项费用允许有一个报价，任何有选择的报价将不予接受。</w:t>
      </w:r>
      <w:bookmarkEnd w:id="92"/>
    </w:p>
    <w:p w14:paraId="31DCDDD5">
      <w:pPr>
        <w:wordWrap w:val="0"/>
        <w:spacing w:line="460" w:lineRule="exact"/>
        <w:ind w:firstLine="480" w:firstLineChars="200"/>
        <w:jc w:val="left"/>
        <w:outlineLvl w:val="2"/>
        <w:rPr>
          <w:rFonts w:hint="eastAsia" w:ascii="宋体" w:hAnsi="宋体" w:eastAsia="宋体" w:cs="宋体"/>
          <w:sz w:val="24"/>
          <w:szCs w:val="24"/>
          <w:highlight w:val="none"/>
        </w:rPr>
      </w:pPr>
      <w:bookmarkStart w:id="94" w:name="_Toc23903"/>
      <w:r>
        <w:rPr>
          <w:rFonts w:hint="eastAsia" w:ascii="宋体" w:hAnsi="宋体" w:eastAsia="宋体" w:cs="宋体"/>
          <w:sz w:val="24"/>
          <w:szCs w:val="24"/>
          <w:highlight w:val="none"/>
        </w:rPr>
        <w:t>3.2有关费用处理</w:t>
      </w:r>
      <w:bookmarkEnd w:id="94"/>
    </w:p>
    <w:p w14:paraId="01370ADA">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本项目应以人民币报价，供应商应就该项目完整投标（报价、服务、税费、售后服务等综合费用），采购人不另外支付其他任何费用；</w:t>
      </w:r>
    </w:p>
    <w:p w14:paraId="37A7F1D6">
      <w:pPr>
        <w:wordWrap w:val="0"/>
        <w:spacing w:line="460" w:lineRule="exact"/>
        <w:ind w:firstLine="480" w:firstLineChars="200"/>
        <w:jc w:val="left"/>
        <w:outlineLvl w:val="2"/>
        <w:rPr>
          <w:rFonts w:hint="eastAsia" w:ascii="宋体" w:hAnsi="宋体" w:eastAsia="宋体" w:cs="宋体"/>
          <w:sz w:val="24"/>
          <w:szCs w:val="24"/>
          <w:highlight w:val="none"/>
        </w:rPr>
      </w:pPr>
      <w:bookmarkStart w:id="95" w:name="_Toc528078018"/>
      <w:bookmarkEnd w:id="95"/>
      <w:bookmarkStart w:id="96" w:name="_Toc10149"/>
      <w:r>
        <w:rPr>
          <w:rFonts w:hint="eastAsia" w:ascii="宋体" w:hAnsi="宋体" w:eastAsia="宋体" w:cs="宋体"/>
          <w:sz w:val="24"/>
          <w:szCs w:val="24"/>
          <w:highlight w:val="none"/>
        </w:rPr>
        <w:t>3.3其它费用处理</w:t>
      </w:r>
      <w:bookmarkEnd w:id="96"/>
    </w:p>
    <w:p w14:paraId="40F571C4">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竞争性磋商文件未列明，而供应商认为必需的费用也需列入报价。</w:t>
      </w:r>
    </w:p>
    <w:p w14:paraId="231A3509">
      <w:pPr>
        <w:wordWrap w:val="0"/>
        <w:spacing w:line="460" w:lineRule="exact"/>
        <w:ind w:firstLine="480" w:firstLineChars="200"/>
        <w:jc w:val="left"/>
        <w:outlineLvl w:val="2"/>
        <w:rPr>
          <w:rFonts w:hint="eastAsia" w:ascii="宋体" w:hAnsi="宋体" w:eastAsia="宋体" w:cs="宋体"/>
          <w:sz w:val="24"/>
          <w:szCs w:val="24"/>
          <w:highlight w:val="none"/>
        </w:rPr>
      </w:pPr>
      <w:bookmarkStart w:id="97" w:name="_Toc528078019"/>
      <w:bookmarkEnd w:id="97"/>
      <w:bookmarkStart w:id="98" w:name="_Toc2035"/>
      <w:r>
        <w:rPr>
          <w:rFonts w:hint="eastAsia" w:ascii="宋体" w:hAnsi="宋体" w:eastAsia="宋体" w:cs="宋体"/>
          <w:sz w:val="24"/>
          <w:szCs w:val="24"/>
          <w:highlight w:val="none"/>
        </w:rPr>
        <w:t>3.4响应文件货币</w:t>
      </w:r>
      <w:bookmarkEnd w:id="98"/>
    </w:p>
    <w:p w14:paraId="3F71630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响应文件中的货物单价和总价无特殊规定的采用人民币报价，以元为单位标注。竞争性磋商文件中另有规定的按规定执行。</w:t>
      </w:r>
    </w:p>
    <w:p w14:paraId="7BF0C554">
      <w:pPr>
        <w:wordWrap w:val="0"/>
        <w:spacing w:line="460" w:lineRule="exact"/>
        <w:ind w:firstLine="480" w:firstLineChars="200"/>
        <w:jc w:val="left"/>
        <w:outlineLvl w:val="2"/>
        <w:rPr>
          <w:rFonts w:hint="eastAsia" w:ascii="宋体" w:hAnsi="宋体" w:eastAsia="宋体" w:cs="宋体"/>
          <w:sz w:val="24"/>
          <w:szCs w:val="24"/>
          <w:highlight w:val="none"/>
        </w:rPr>
      </w:pPr>
      <w:bookmarkStart w:id="99" w:name="_Toc528078020"/>
      <w:bookmarkEnd w:id="99"/>
      <w:bookmarkStart w:id="100" w:name="_Toc5979"/>
      <w:r>
        <w:rPr>
          <w:rFonts w:hint="eastAsia" w:ascii="宋体" w:hAnsi="宋体" w:eastAsia="宋体" w:cs="宋体"/>
          <w:sz w:val="24"/>
          <w:szCs w:val="24"/>
          <w:highlight w:val="none"/>
        </w:rPr>
        <w:t>3.5初次报价表上的价格应按下列方式填写：</w:t>
      </w:r>
      <w:bookmarkEnd w:id="100"/>
    </w:p>
    <w:p w14:paraId="5ECF13C9">
      <w:pPr>
        <w:wordWrap w:val="0"/>
        <w:spacing w:line="460" w:lineRule="exact"/>
        <w:ind w:firstLine="480" w:firstLineChars="200"/>
        <w:jc w:val="left"/>
        <w:rPr>
          <w:rFonts w:hint="eastAsia" w:ascii="宋体" w:hAnsi="宋体" w:eastAsia="宋体" w:cs="宋体"/>
          <w:sz w:val="24"/>
          <w:szCs w:val="24"/>
          <w:highlight w:val="none"/>
        </w:rPr>
      </w:pPr>
      <w:bookmarkStart w:id="101" w:name="_Hlt26954842"/>
      <w:bookmarkEnd w:id="101"/>
      <w:bookmarkStart w:id="102" w:name="_Hlt26670425"/>
      <w:bookmarkEnd w:id="102"/>
      <w:bookmarkStart w:id="103" w:name="_Hlt26670403"/>
      <w:bookmarkEnd w:id="103"/>
      <w:bookmarkStart w:id="104" w:name="_Hlt26668983"/>
      <w:bookmarkEnd w:id="104"/>
      <w:bookmarkStart w:id="105" w:name="_Hlt26954844"/>
      <w:bookmarkEnd w:id="105"/>
      <w:r>
        <w:rPr>
          <w:rFonts w:hint="eastAsia" w:ascii="宋体" w:hAnsi="宋体" w:eastAsia="宋体" w:cs="宋体"/>
          <w:sz w:val="24"/>
          <w:szCs w:val="24"/>
          <w:highlight w:val="none"/>
        </w:rPr>
        <w:t>3.5.1项目总价：包括买方服务需求所涉及的所有费用。</w:t>
      </w:r>
    </w:p>
    <w:p w14:paraId="4936F1FE">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3.5.2各项报价的总和等于总价</w:t>
      </w:r>
    </w:p>
    <w:p w14:paraId="5BEE6D4C">
      <w:pPr>
        <w:wordWrap w:val="0"/>
        <w:spacing w:line="460" w:lineRule="exact"/>
        <w:ind w:firstLine="480" w:firstLineChars="200"/>
        <w:jc w:val="left"/>
        <w:outlineLvl w:val="1"/>
        <w:rPr>
          <w:rFonts w:hint="eastAsia" w:ascii="宋体" w:hAnsi="宋体" w:eastAsia="宋体" w:cs="宋体"/>
          <w:kern w:val="0"/>
          <w:sz w:val="24"/>
          <w:szCs w:val="24"/>
          <w:highlight w:val="none"/>
        </w:rPr>
      </w:pPr>
      <w:bookmarkStart w:id="106" w:name="_Hlt26954731"/>
      <w:bookmarkEnd w:id="106"/>
      <w:bookmarkStart w:id="107" w:name="_Hlt26670486"/>
      <w:bookmarkEnd w:id="107"/>
      <w:bookmarkStart w:id="108" w:name="_Hlt26954848"/>
      <w:bookmarkEnd w:id="108"/>
      <w:bookmarkStart w:id="109" w:name="_Hlt26670482"/>
      <w:bookmarkEnd w:id="109"/>
      <w:bookmarkStart w:id="110" w:name="_Toc517178996"/>
      <w:bookmarkEnd w:id="110"/>
      <w:bookmarkStart w:id="111" w:name="_Toc505350556"/>
      <w:bookmarkEnd w:id="111"/>
      <w:bookmarkStart w:id="112" w:name="_Hlt26954846"/>
      <w:bookmarkEnd w:id="112"/>
      <w:bookmarkStart w:id="113" w:name="_Toc20255"/>
      <w:bookmarkStart w:id="114" w:name="_Toc528078025"/>
      <w:r>
        <w:rPr>
          <w:rFonts w:hint="eastAsia" w:ascii="宋体" w:hAnsi="宋体" w:eastAsia="宋体" w:cs="宋体"/>
          <w:sz w:val="24"/>
          <w:szCs w:val="24"/>
          <w:highlight w:val="none"/>
        </w:rPr>
        <w:t>4.磋商与评审</w:t>
      </w:r>
      <w:bookmarkEnd w:id="113"/>
      <w:bookmarkEnd w:id="114"/>
      <w:bookmarkStart w:id="115" w:name="_Toc528078026"/>
      <w:bookmarkEnd w:id="115"/>
    </w:p>
    <w:p w14:paraId="64E3D62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采购代理机构根据采购项目的特点依法组建磋商小组。磋商小组由采购人代表和有关技术、经济等方面的专家组成，成员为3人。其中：技术、经济等方面的专家不能少于磋商小组成员的2/3。采购人代表不得担任磋商小组组长。2名磋商小组成员确定方式：</w:t>
      </w:r>
      <w:r>
        <w:rPr>
          <w:rFonts w:hint="eastAsia" w:ascii="宋体" w:hAnsi="宋体" w:eastAsia="宋体" w:cs="宋体"/>
          <w:kern w:val="0"/>
          <w:sz w:val="24"/>
          <w:szCs w:val="24"/>
          <w:highlight w:val="none"/>
        </w:rPr>
        <w:t>开标当天从河南省政府采购网专家库随机抽取。</w:t>
      </w:r>
      <w:bookmarkStart w:id="116" w:name="_Toc528078027"/>
      <w:bookmarkEnd w:id="116"/>
    </w:p>
    <w:p w14:paraId="139B4BF8">
      <w:pPr>
        <w:wordWrap w:val="0"/>
        <w:spacing w:line="460" w:lineRule="exact"/>
        <w:ind w:firstLine="480" w:firstLineChars="200"/>
        <w:jc w:val="left"/>
        <w:outlineLvl w:val="1"/>
        <w:rPr>
          <w:rFonts w:hint="eastAsia" w:ascii="宋体" w:hAnsi="宋体" w:eastAsia="宋体" w:cs="宋体"/>
          <w:sz w:val="24"/>
          <w:szCs w:val="24"/>
          <w:highlight w:val="none"/>
        </w:rPr>
      </w:pPr>
      <w:bookmarkStart w:id="117" w:name="_Toc20748"/>
      <w:r>
        <w:rPr>
          <w:rFonts w:hint="eastAsia" w:ascii="宋体" w:hAnsi="宋体" w:eastAsia="宋体" w:cs="宋体"/>
          <w:sz w:val="24"/>
          <w:szCs w:val="24"/>
          <w:highlight w:val="none"/>
        </w:rPr>
        <w:t>5、磋商小组工作原则</w:t>
      </w:r>
      <w:bookmarkEnd w:id="117"/>
    </w:p>
    <w:p w14:paraId="47BE2C9B">
      <w:pPr>
        <w:wordWrap w:val="0"/>
        <w:spacing w:line="460" w:lineRule="exact"/>
        <w:ind w:firstLine="480" w:firstLineChars="200"/>
        <w:jc w:val="left"/>
        <w:outlineLvl w:val="2"/>
        <w:rPr>
          <w:rFonts w:hint="eastAsia" w:ascii="宋体" w:hAnsi="宋体" w:eastAsia="宋体" w:cs="宋体"/>
          <w:sz w:val="24"/>
          <w:szCs w:val="24"/>
          <w:highlight w:val="none"/>
        </w:rPr>
      </w:pPr>
      <w:bookmarkStart w:id="118" w:name="_Toc528078029"/>
      <w:bookmarkEnd w:id="118"/>
      <w:bookmarkStart w:id="119" w:name="_Toc32266"/>
      <w:r>
        <w:rPr>
          <w:rFonts w:hint="eastAsia" w:ascii="宋体" w:hAnsi="宋体" w:eastAsia="宋体" w:cs="宋体"/>
          <w:sz w:val="24"/>
          <w:szCs w:val="24"/>
          <w:highlight w:val="none"/>
        </w:rPr>
        <w:t>磋商小组成员应当按照客观、公正、审慎的原则，根据磋商文件规定的评审程序、评审方法和评审标准进行独立评审。未实质性响应磋商文件的响应文件按无效响应处理，磋商小组应当告知提交响应文件的供应商。磋商文件内容违反国家有关强制性规定的，磋商小组应当停止评审并向采购人或者采购代理机构说明情况。</w:t>
      </w:r>
      <w:bookmarkEnd w:id="119"/>
    </w:p>
    <w:p w14:paraId="65C20308">
      <w:pPr>
        <w:wordWrap w:val="0"/>
        <w:spacing w:line="460" w:lineRule="exact"/>
        <w:ind w:firstLine="480" w:firstLineChars="200"/>
        <w:jc w:val="left"/>
        <w:outlineLvl w:val="1"/>
        <w:rPr>
          <w:rFonts w:hint="eastAsia" w:ascii="宋体" w:hAnsi="宋体" w:eastAsia="宋体" w:cs="宋体"/>
          <w:sz w:val="24"/>
          <w:szCs w:val="24"/>
          <w:highlight w:val="none"/>
        </w:rPr>
      </w:pPr>
      <w:bookmarkStart w:id="120" w:name="_Toc528078030"/>
      <w:bookmarkEnd w:id="120"/>
      <w:bookmarkStart w:id="121" w:name="_Toc4976"/>
      <w:r>
        <w:rPr>
          <w:rFonts w:hint="eastAsia" w:ascii="宋体" w:hAnsi="宋体" w:eastAsia="宋体" w:cs="宋体"/>
          <w:sz w:val="24"/>
          <w:szCs w:val="24"/>
          <w:highlight w:val="none"/>
        </w:rPr>
        <w:t>6、响应文件审查</w:t>
      </w:r>
      <w:bookmarkEnd w:id="121"/>
    </w:p>
    <w:p w14:paraId="5EFB4A1B">
      <w:pPr>
        <w:wordWrap w:val="0"/>
        <w:spacing w:line="460" w:lineRule="exact"/>
        <w:ind w:firstLine="480" w:firstLineChars="200"/>
        <w:jc w:val="left"/>
        <w:outlineLvl w:val="2"/>
        <w:rPr>
          <w:rFonts w:hint="eastAsia" w:ascii="宋体" w:hAnsi="宋体" w:eastAsia="宋体" w:cs="宋体"/>
          <w:sz w:val="24"/>
          <w:szCs w:val="24"/>
          <w:highlight w:val="none"/>
        </w:rPr>
      </w:pPr>
      <w:bookmarkStart w:id="122" w:name="_Toc528078031"/>
      <w:bookmarkEnd w:id="122"/>
      <w:bookmarkStart w:id="123" w:name="_Toc8206"/>
      <w:r>
        <w:rPr>
          <w:rFonts w:hint="eastAsia" w:ascii="宋体" w:hAnsi="宋体" w:eastAsia="宋体" w:cs="宋体"/>
          <w:sz w:val="24"/>
          <w:szCs w:val="24"/>
          <w:highlight w:val="none"/>
        </w:rPr>
        <w:t>磋商小组在对响应文件的有效性、完整性和响应程度进行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bookmarkEnd w:id="123"/>
    </w:p>
    <w:p w14:paraId="6956E5D7">
      <w:pPr>
        <w:wordWrap w:val="0"/>
        <w:spacing w:line="460" w:lineRule="exact"/>
        <w:ind w:firstLine="480" w:firstLineChars="200"/>
        <w:jc w:val="left"/>
        <w:outlineLvl w:val="1"/>
        <w:rPr>
          <w:rFonts w:hint="eastAsia" w:ascii="宋体" w:hAnsi="宋体" w:eastAsia="宋体" w:cs="宋体"/>
          <w:sz w:val="24"/>
          <w:szCs w:val="24"/>
          <w:highlight w:val="none"/>
        </w:rPr>
      </w:pPr>
      <w:bookmarkStart w:id="124" w:name="_Toc20823304"/>
      <w:bookmarkEnd w:id="124"/>
      <w:bookmarkStart w:id="125" w:name="_Toc513029232"/>
      <w:bookmarkEnd w:id="125"/>
      <w:bookmarkStart w:id="126" w:name="_Toc16938548"/>
      <w:bookmarkEnd w:id="126"/>
      <w:bookmarkStart w:id="127" w:name="_Toc28147"/>
      <w:r>
        <w:rPr>
          <w:rFonts w:hint="eastAsia" w:ascii="宋体" w:hAnsi="宋体" w:eastAsia="宋体" w:cs="宋体"/>
          <w:sz w:val="24"/>
          <w:szCs w:val="24"/>
          <w:highlight w:val="none"/>
        </w:rPr>
        <w:t>7、磋商程序、最后报价、综合评分</w:t>
      </w:r>
      <w:bookmarkEnd w:id="127"/>
    </w:p>
    <w:p w14:paraId="45BC68DC">
      <w:pPr>
        <w:wordWrap w:val="0"/>
        <w:spacing w:line="460" w:lineRule="exact"/>
        <w:ind w:firstLine="480" w:firstLineChars="200"/>
        <w:jc w:val="left"/>
        <w:outlineLvl w:val="2"/>
        <w:rPr>
          <w:rFonts w:hint="eastAsia" w:ascii="宋体" w:hAnsi="宋体" w:eastAsia="宋体" w:cs="宋体"/>
          <w:sz w:val="24"/>
          <w:szCs w:val="24"/>
          <w:highlight w:val="none"/>
        </w:rPr>
      </w:pPr>
      <w:bookmarkStart w:id="128" w:name="_Toc528078034"/>
      <w:bookmarkEnd w:id="128"/>
      <w:bookmarkStart w:id="129" w:name="_Toc23161"/>
      <w:r>
        <w:rPr>
          <w:rFonts w:hint="eastAsia" w:ascii="宋体" w:hAnsi="宋体" w:eastAsia="宋体" w:cs="宋体"/>
          <w:sz w:val="24"/>
          <w:szCs w:val="24"/>
          <w:highlight w:val="none"/>
        </w:rPr>
        <w:t>7.1磋商小组所有成员应当集中与供应商分别进行磋商，并给予所有参加磋商的供应商平等的磋商机会。</w:t>
      </w:r>
      <w:bookmarkEnd w:id="129"/>
    </w:p>
    <w:p w14:paraId="680F8E25">
      <w:pPr>
        <w:wordWrap w:val="0"/>
        <w:spacing w:line="460" w:lineRule="exact"/>
        <w:ind w:firstLine="480" w:firstLineChars="200"/>
        <w:jc w:val="left"/>
        <w:outlineLvl w:val="2"/>
        <w:rPr>
          <w:rFonts w:hint="eastAsia" w:ascii="宋体" w:hAnsi="宋体" w:eastAsia="宋体" w:cs="宋体"/>
          <w:sz w:val="24"/>
          <w:szCs w:val="24"/>
          <w:highlight w:val="none"/>
        </w:rPr>
      </w:pPr>
      <w:bookmarkStart w:id="130" w:name="_Toc528078035"/>
      <w:bookmarkEnd w:id="130"/>
      <w:bookmarkStart w:id="131" w:name="_Toc15859"/>
      <w:r>
        <w:rPr>
          <w:rFonts w:hint="eastAsia" w:ascii="宋体" w:hAnsi="宋体" w:eastAsia="宋体" w:cs="宋体"/>
          <w:sz w:val="24"/>
          <w:szCs w:val="24"/>
          <w:highlight w:val="none"/>
        </w:rPr>
        <w:t>7.2在磋商过程中，磋商小组可以根据磋商文件和磋商情况实质性变动采购需求中的技术、服务要求以及合同草案条款，但不得变动磋商文件中的其他内容。对磋商文件做出的实质性变动是磋商文件的有效组成部分，磋商小组应当及时以书面形式同时通知所有参加磋商的供应商。供应商应当按照磋商文件的变动情况和磋商小组的要求重新提交响应文件，并由其法定代表人或授权代表签字或者加盖公章。</w:t>
      </w:r>
      <w:bookmarkEnd w:id="131"/>
    </w:p>
    <w:p w14:paraId="37CD138F">
      <w:pPr>
        <w:wordWrap w:val="0"/>
        <w:spacing w:line="460" w:lineRule="exact"/>
        <w:ind w:firstLine="480" w:firstLineChars="200"/>
        <w:jc w:val="left"/>
        <w:outlineLvl w:val="2"/>
        <w:rPr>
          <w:rFonts w:hint="eastAsia" w:ascii="宋体" w:hAnsi="宋体" w:eastAsia="宋体" w:cs="宋体"/>
          <w:sz w:val="24"/>
          <w:szCs w:val="24"/>
          <w:highlight w:val="none"/>
        </w:rPr>
      </w:pPr>
      <w:bookmarkStart w:id="132" w:name="_Toc528078036"/>
      <w:bookmarkEnd w:id="132"/>
      <w:bookmarkStart w:id="133" w:name="_Toc21845"/>
      <w:r>
        <w:rPr>
          <w:rFonts w:hint="eastAsia" w:ascii="宋体" w:hAnsi="宋体" w:eastAsia="宋体" w:cs="宋体"/>
          <w:sz w:val="24"/>
          <w:szCs w:val="24"/>
          <w:highlight w:val="none"/>
        </w:rPr>
        <w:t>7.3磋商文件能够详细列明采购标的的技术、服务要求的，磋商结束后，磋商小组将要求所有实质性响应的供应商在规定时间内提交最后报价。最后报价是供应商响应文件的有效组成部分。</w:t>
      </w:r>
      <w:bookmarkEnd w:id="133"/>
    </w:p>
    <w:p w14:paraId="517420ED">
      <w:pPr>
        <w:wordWrap w:val="0"/>
        <w:spacing w:line="460" w:lineRule="exact"/>
        <w:ind w:firstLine="480" w:firstLineChars="200"/>
        <w:jc w:val="left"/>
        <w:outlineLvl w:val="2"/>
        <w:rPr>
          <w:rFonts w:hint="eastAsia" w:ascii="宋体" w:hAnsi="宋体" w:eastAsia="宋体" w:cs="宋体"/>
          <w:sz w:val="24"/>
          <w:szCs w:val="24"/>
          <w:highlight w:val="none"/>
        </w:rPr>
      </w:pPr>
      <w:bookmarkStart w:id="134" w:name="_Toc528078037"/>
      <w:bookmarkEnd w:id="134"/>
      <w:bookmarkStart w:id="135" w:name="_Toc21230"/>
      <w:r>
        <w:rPr>
          <w:rFonts w:hint="eastAsia" w:ascii="宋体" w:hAnsi="宋体" w:eastAsia="宋体" w:cs="宋体"/>
          <w:sz w:val="24"/>
          <w:szCs w:val="24"/>
          <w:highlight w:val="none"/>
        </w:rPr>
        <w:t>7.4已提交响应文件的供应商，在提交最后报价之前，可以根据磋商情况退出磋商。</w:t>
      </w:r>
      <w:bookmarkEnd w:id="135"/>
    </w:p>
    <w:p w14:paraId="6F2004FA">
      <w:pPr>
        <w:wordWrap w:val="0"/>
        <w:spacing w:line="460" w:lineRule="exact"/>
        <w:ind w:firstLine="480" w:firstLineChars="200"/>
        <w:jc w:val="left"/>
        <w:outlineLvl w:val="2"/>
        <w:rPr>
          <w:rFonts w:hint="eastAsia" w:ascii="宋体" w:hAnsi="宋体" w:eastAsia="宋体" w:cs="宋体"/>
          <w:sz w:val="24"/>
          <w:szCs w:val="24"/>
          <w:highlight w:val="none"/>
        </w:rPr>
      </w:pPr>
      <w:bookmarkStart w:id="136" w:name="_Toc528078038"/>
      <w:bookmarkEnd w:id="136"/>
      <w:bookmarkStart w:id="137" w:name="_Toc13144"/>
      <w:r>
        <w:rPr>
          <w:rFonts w:hint="eastAsia" w:ascii="宋体" w:hAnsi="宋体" w:eastAsia="宋体" w:cs="宋体"/>
          <w:sz w:val="24"/>
          <w:szCs w:val="24"/>
          <w:highlight w:val="none"/>
        </w:rPr>
        <w:t>7.5经磋商确定最终采购需求和提交最后报价的供应商后，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bookmarkEnd w:id="137"/>
    </w:p>
    <w:p w14:paraId="3A6BE5B4">
      <w:pPr>
        <w:wordWrap w:val="0"/>
        <w:spacing w:line="460" w:lineRule="exact"/>
        <w:ind w:firstLine="480" w:firstLineChars="200"/>
        <w:jc w:val="left"/>
        <w:outlineLvl w:val="2"/>
        <w:rPr>
          <w:rFonts w:hint="eastAsia" w:ascii="宋体" w:hAnsi="宋体" w:eastAsia="宋体" w:cs="宋体"/>
          <w:sz w:val="24"/>
          <w:szCs w:val="24"/>
          <w:highlight w:val="none"/>
        </w:rPr>
      </w:pPr>
      <w:bookmarkStart w:id="138" w:name="_Toc528078039"/>
      <w:bookmarkEnd w:id="138"/>
      <w:bookmarkStart w:id="139" w:name="_Toc22828"/>
      <w:r>
        <w:rPr>
          <w:rFonts w:hint="eastAsia" w:ascii="宋体" w:hAnsi="宋体" w:eastAsia="宋体" w:cs="宋体"/>
          <w:sz w:val="24"/>
          <w:szCs w:val="24"/>
          <w:highlight w:val="none"/>
        </w:rPr>
        <w:t>7.6评审时，磋商小组各成员独立对每个有效响应的文件进行评价、打分，然后汇总每个供应商每项评分因素的得分。</w:t>
      </w:r>
      <w:bookmarkEnd w:id="139"/>
    </w:p>
    <w:p w14:paraId="58580008">
      <w:pPr>
        <w:wordWrap w:val="0"/>
        <w:spacing w:line="460" w:lineRule="exact"/>
        <w:ind w:firstLine="480" w:firstLineChars="200"/>
        <w:jc w:val="left"/>
        <w:outlineLvl w:val="2"/>
        <w:rPr>
          <w:rFonts w:hint="eastAsia" w:ascii="宋体" w:hAnsi="宋体" w:eastAsia="宋体" w:cs="宋体"/>
          <w:sz w:val="24"/>
          <w:szCs w:val="24"/>
          <w:highlight w:val="none"/>
        </w:rPr>
      </w:pPr>
      <w:bookmarkStart w:id="140" w:name="_Toc528078040"/>
      <w:bookmarkEnd w:id="140"/>
      <w:bookmarkStart w:id="141" w:name="_Toc23148"/>
      <w:r>
        <w:rPr>
          <w:rFonts w:hint="eastAsia" w:ascii="宋体" w:hAnsi="宋体" w:eastAsia="宋体" w:cs="宋体"/>
          <w:sz w:val="24"/>
          <w:szCs w:val="24"/>
          <w:highlight w:val="none"/>
        </w:rPr>
        <w:t>磋商小组应当根据综合评分情况，按照评审得分由高到低顺序推荐1-3名成交候选供应商，并编写评审报告。评审得</w:t>
      </w:r>
      <w:r>
        <w:rPr>
          <w:rFonts w:hint="eastAsia" w:ascii="Times New Roman" w:hAnsi="Times New Roman" w:eastAsia="宋体" w:cs="Times New Roman"/>
          <w:sz w:val="24"/>
          <w:szCs w:val="24"/>
          <w:highlight w:val="none"/>
        </w:rPr>
        <w:t>分相同的，按照最后报价由低到高的顺序推荐。评审得分且最后报价相同的，按照技术指标优劣顺序推荐。</w:t>
      </w:r>
      <w:bookmarkEnd w:id="141"/>
    </w:p>
    <w:p w14:paraId="43062459">
      <w:pPr>
        <w:wordWrap w:val="0"/>
        <w:spacing w:line="460" w:lineRule="exact"/>
        <w:ind w:firstLine="480" w:firstLineChars="200"/>
        <w:jc w:val="left"/>
        <w:outlineLvl w:val="2"/>
        <w:rPr>
          <w:rFonts w:hint="eastAsia" w:ascii="宋体" w:hAnsi="宋体" w:eastAsia="宋体" w:cs="宋体"/>
          <w:sz w:val="24"/>
          <w:szCs w:val="24"/>
          <w:highlight w:val="none"/>
        </w:rPr>
      </w:pPr>
      <w:bookmarkStart w:id="142" w:name="_Toc528078041"/>
      <w:bookmarkEnd w:id="142"/>
      <w:bookmarkStart w:id="143" w:name="_Toc26278"/>
      <w:r>
        <w:rPr>
          <w:rFonts w:hint="eastAsia" w:ascii="宋体" w:hAnsi="宋体" w:eastAsia="宋体" w:cs="宋体"/>
          <w:sz w:val="24"/>
          <w:szCs w:val="24"/>
          <w:highlight w:val="none"/>
        </w:rPr>
        <w:t>7.7响应无效和终止磋商活动条款</w:t>
      </w:r>
      <w:bookmarkEnd w:id="143"/>
    </w:p>
    <w:p w14:paraId="5DAD4452">
      <w:pPr>
        <w:wordWrap w:val="0"/>
        <w:spacing w:line="460" w:lineRule="exact"/>
        <w:ind w:firstLine="480" w:firstLineChars="200"/>
        <w:jc w:val="left"/>
        <w:rPr>
          <w:rFonts w:hint="eastAsia" w:ascii="宋体" w:hAnsi="宋体" w:eastAsia="宋体" w:cs="宋体"/>
          <w:sz w:val="24"/>
          <w:szCs w:val="24"/>
          <w:highlight w:val="none"/>
        </w:rPr>
      </w:pPr>
      <w:bookmarkStart w:id="144" w:name="_Toc513029235"/>
      <w:bookmarkEnd w:id="144"/>
      <w:bookmarkStart w:id="145" w:name="_Toc16938551"/>
      <w:bookmarkEnd w:id="145"/>
      <w:r>
        <w:rPr>
          <w:rFonts w:hint="eastAsia" w:ascii="宋体" w:hAnsi="宋体" w:eastAsia="宋体" w:cs="宋体"/>
          <w:sz w:val="24"/>
          <w:szCs w:val="24"/>
          <w:highlight w:val="none"/>
        </w:rPr>
        <w:t>1）未按照竞争性磋商文件规定要求签署、盖章的；</w:t>
      </w:r>
    </w:p>
    <w:p w14:paraId="5B22DD6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2）供应商不具备竞争性磋商文件中规定资格条件的；</w:t>
      </w:r>
    </w:p>
    <w:p w14:paraId="63946333">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3）不符合法律、法规和竞争性磋商文件中规定的其他实质性要求的；</w:t>
      </w:r>
    </w:p>
    <w:p w14:paraId="4EAE90D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4）其他法律、法规及本竞争性磋商文件规定的属响应无效的情形。</w:t>
      </w:r>
    </w:p>
    <w:p w14:paraId="19F8595C">
      <w:pPr>
        <w:wordWrap w:val="0"/>
        <w:spacing w:line="460" w:lineRule="exact"/>
        <w:ind w:firstLine="480" w:firstLineChars="200"/>
        <w:jc w:val="left"/>
        <w:outlineLvl w:val="2"/>
        <w:rPr>
          <w:rFonts w:hint="eastAsia" w:ascii="宋体" w:hAnsi="宋体" w:eastAsia="宋体" w:cs="宋体"/>
          <w:sz w:val="24"/>
          <w:szCs w:val="24"/>
          <w:highlight w:val="none"/>
        </w:rPr>
      </w:pPr>
      <w:bookmarkStart w:id="146" w:name="_Toc6517"/>
      <w:r>
        <w:rPr>
          <w:rFonts w:hint="eastAsia" w:ascii="宋体" w:hAnsi="宋体" w:eastAsia="宋体" w:cs="宋体"/>
          <w:sz w:val="24"/>
          <w:szCs w:val="24"/>
          <w:highlight w:val="none"/>
        </w:rPr>
        <w:t>7.8终止竞争性磋商采购活动的条款</w:t>
      </w:r>
      <w:bookmarkEnd w:id="146"/>
    </w:p>
    <w:p w14:paraId="6788E78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出现下列情形之一的，采购人将终止竞争性磋商采购活动，发布项目终止公告并说明原因，重新开展采购活动：</w:t>
      </w:r>
    </w:p>
    <w:p w14:paraId="0A27F0DB">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1）因情况变化，不再符合规定的竞争性磋商采购方式适用情形的；</w:t>
      </w:r>
    </w:p>
    <w:p w14:paraId="394FB2D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14:paraId="418D8FB1">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3)在采购过程中符合要求的供应商的供应商不足2家的。</w:t>
      </w:r>
    </w:p>
    <w:p w14:paraId="6ECE571C">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7.9根据财库（2015）124号文，竞争性磋商只有2家响应人仍可继续进行。</w:t>
      </w:r>
    </w:p>
    <w:p w14:paraId="7CF0B6E4">
      <w:pPr>
        <w:wordWrap w:val="0"/>
        <w:spacing w:line="460" w:lineRule="exact"/>
        <w:ind w:firstLine="480" w:firstLineChars="200"/>
        <w:jc w:val="left"/>
        <w:outlineLvl w:val="1"/>
        <w:rPr>
          <w:rFonts w:hint="eastAsia" w:ascii="宋体" w:hAnsi="宋体" w:eastAsia="宋体" w:cs="宋体"/>
          <w:kern w:val="0"/>
          <w:sz w:val="24"/>
          <w:szCs w:val="24"/>
          <w:highlight w:val="none"/>
        </w:rPr>
      </w:pPr>
      <w:bookmarkStart w:id="147" w:name="_Toc504491971"/>
      <w:bookmarkEnd w:id="147"/>
      <w:bookmarkStart w:id="148" w:name="_Toc505350557"/>
      <w:bookmarkEnd w:id="148"/>
      <w:bookmarkStart w:id="149" w:name="_Toc517178997"/>
      <w:bookmarkEnd w:id="149"/>
      <w:bookmarkStart w:id="150" w:name="_Toc528078042"/>
      <w:bookmarkStart w:id="151" w:name="_Toc9277"/>
      <w:r>
        <w:rPr>
          <w:rFonts w:hint="eastAsia" w:ascii="宋体" w:hAnsi="宋体" w:eastAsia="宋体" w:cs="宋体"/>
          <w:sz w:val="24"/>
          <w:szCs w:val="24"/>
          <w:highlight w:val="none"/>
        </w:rPr>
        <w:t>8.确定成交、询问及质疑</w:t>
      </w:r>
      <w:bookmarkEnd w:id="150"/>
      <w:bookmarkEnd w:id="151"/>
    </w:p>
    <w:p w14:paraId="39A5546C">
      <w:pPr>
        <w:wordWrap w:val="0"/>
        <w:spacing w:line="460" w:lineRule="exact"/>
        <w:ind w:firstLine="480" w:firstLineChars="200"/>
        <w:jc w:val="left"/>
        <w:outlineLvl w:val="2"/>
        <w:rPr>
          <w:rFonts w:hint="eastAsia" w:ascii="宋体" w:hAnsi="宋体" w:eastAsia="宋体" w:cs="宋体"/>
          <w:sz w:val="24"/>
          <w:szCs w:val="24"/>
          <w:highlight w:val="none"/>
        </w:rPr>
      </w:pPr>
      <w:bookmarkStart w:id="152" w:name="_Toc20823310"/>
      <w:bookmarkEnd w:id="152"/>
      <w:bookmarkStart w:id="153" w:name="_Toc16938554"/>
      <w:bookmarkEnd w:id="153"/>
      <w:bookmarkStart w:id="154" w:name="_Toc528078043"/>
      <w:bookmarkStart w:id="155" w:name="_Toc23867"/>
      <w:r>
        <w:rPr>
          <w:rFonts w:hint="eastAsia" w:ascii="宋体" w:hAnsi="宋体" w:eastAsia="宋体" w:cs="宋体"/>
          <w:sz w:val="24"/>
          <w:szCs w:val="24"/>
          <w:highlight w:val="none"/>
        </w:rPr>
        <w:t>8.1</w:t>
      </w:r>
      <w:bookmarkEnd w:id="154"/>
      <w:r>
        <w:rPr>
          <w:rFonts w:hint="eastAsia" w:ascii="宋体" w:hAnsi="宋体" w:eastAsia="宋体" w:cs="宋体"/>
          <w:sz w:val="24"/>
          <w:szCs w:val="24"/>
          <w:highlight w:val="none"/>
        </w:rPr>
        <w:t>确定成交供应商</w:t>
      </w:r>
      <w:bookmarkEnd w:id="155"/>
    </w:p>
    <w:p w14:paraId="16A47600">
      <w:pPr>
        <w:wordWrap w:val="0"/>
        <w:spacing w:line="4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8.1.1采购代理机构应当在评标结束后2个工作日内将评标报告送采购人。</w:t>
      </w:r>
    </w:p>
    <w:p w14:paraId="3E4F8B68">
      <w:pPr>
        <w:wordWrap w:val="0"/>
        <w:spacing w:line="4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采购人应当自收到评标报告之日起5个工作日内，在评标报告确定的中标候选人名单中按顺序确定中标人。中标候选人并列的，由采购人或者采购人委托磋商小组按照竞争性磋商文件规定的方式确定中标人；竞争性磋商文件未规定的，采取随机抽取的方式确定。</w:t>
      </w:r>
    </w:p>
    <w:p w14:paraId="0CA3F179">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8.1.2成交供应商确定后2个工作日内在“《</w:t>
      </w:r>
      <w:r>
        <w:rPr>
          <w:rFonts w:hint="eastAsia" w:ascii="宋体" w:hAnsi="宋体" w:eastAsia="宋体" w:cs="宋体"/>
          <w:sz w:val="24"/>
          <w:szCs w:val="24"/>
          <w:highlight w:val="none"/>
          <w:lang w:eastAsia="zh-CN"/>
        </w:rPr>
        <w:t>中国招标投标公共服务平台</w:t>
      </w:r>
      <w:r>
        <w:rPr>
          <w:rFonts w:hint="eastAsia" w:ascii="宋体" w:hAnsi="宋体" w:eastAsia="宋体" w:cs="宋体"/>
          <w:sz w:val="24"/>
          <w:szCs w:val="24"/>
          <w:highlight w:val="none"/>
        </w:rPr>
        <w:t>》、《河南省政府采购网》和《三门峡市公共资源交易中心网》”公告成交结果。</w:t>
      </w:r>
    </w:p>
    <w:p w14:paraId="08735686">
      <w:pPr>
        <w:wordWrap w:val="0"/>
        <w:spacing w:line="460" w:lineRule="exact"/>
        <w:ind w:firstLine="480" w:firstLineChars="200"/>
        <w:jc w:val="left"/>
        <w:outlineLvl w:val="2"/>
        <w:rPr>
          <w:rFonts w:hint="eastAsia" w:ascii="宋体" w:hAnsi="宋体" w:eastAsia="宋体" w:cs="宋体"/>
          <w:sz w:val="24"/>
          <w:szCs w:val="24"/>
          <w:highlight w:val="none"/>
        </w:rPr>
      </w:pPr>
      <w:bookmarkStart w:id="156" w:name="_Toc200451960"/>
      <w:bookmarkEnd w:id="156"/>
      <w:bookmarkStart w:id="157" w:name="_Toc7540"/>
      <w:bookmarkStart w:id="158" w:name="_Toc528078044"/>
      <w:r>
        <w:rPr>
          <w:rFonts w:hint="eastAsia" w:ascii="宋体" w:hAnsi="宋体" w:eastAsia="宋体" w:cs="宋体"/>
          <w:sz w:val="24"/>
          <w:szCs w:val="24"/>
          <w:highlight w:val="none"/>
        </w:rPr>
        <w:t>8.2询问及质疑</w:t>
      </w:r>
      <w:bookmarkEnd w:id="157"/>
      <w:bookmarkEnd w:id="158"/>
    </w:p>
    <w:p w14:paraId="4BCB028F">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8.2.1询问及质疑依据《中华人民共和国政府采购法》、《中华人民共和国政府采购法实施条例》及相关法律法规处理。</w:t>
      </w:r>
    </w:p>
    <w:p w14:paraId="462E0469">
      <w:pPr>
        <w:wordWrap w:val="0"/>
        <w:spacing w:line="460" w:lineRule="exact"/>
        <w:ind w:firstLine="480" w:firstLineChars="200"/>
        <w:jc w:val="left"/>
        <w:outlineLvl w:val="1"/>
        <w:rPr>
          <w:rFonts w:hint="eastAsia" w:ascii="宋体" w:hAnsi="宋体" w:eastAsia="宋体" w:cs="宋体"/>
          <w:kern w:val="0"/>
          <w:sz w:val="24"/>
          <w:szCs w:val="24"/>
          <w:highlight w:val="none"/>
        </w:rPr>
      </w:pPr>
      <w:bookmarkStart w:id="159" w:name="_Toc403987211"/>
      <w:bookmarkEnd w:id="159"/>
      <w:bookmarkStart w:id="160" w:name="_Toc20823308"/>
      <w:bookmarkEnd w:id="160"/>
      <w:bookmarkStart w:id="161" w:name="_Toc120614220"/>
      <w:bookmarkEnd w:id="161"/>
      <w:bookmarkStart w:id="162" w:name="_Toc513029236"/>
      <w:bookmarkEnd w:id="162"/>
      <w:bookmarkStart w:id="163" w:name="_Toc504491972"/>
      <w:bookmarkEnd w:id="163"/>
      <w:bookmarkStart w:id="164" w:name="_Toc505350558"/>
      <w:bookmarkEnd w:id="164"/>
      <w:bookmarkStart w:id="165" w:name="_Toc517178998"/>
      <w:bookmarkEnd w:id="165"/>
      <w:bookmarkStart w:id="166" w:name="_Toc16938552"/>
      <w:bookmarkEnd w:id="166"/>
      <w:bookmarkStart w:id="167" w:name="_Toc528078045"/>
      <w:bookmarkStart w:id="168" w:name="_Toc30108"/>
      <w:r>
        <w:rPr>
          <w:rFonts w:hint="eastAsia" w:ascii="宋体" w:hAnsi="宋体" w:eastAsia="宋体" w:cs="宋体"/>
          <w:sz w:val="24"/>
          <w:szCs w:val="24"/>
          <w:highlight w:val="none"/>
        </w:rPr>
        <w:t>9.</w:t>
      </w:r>
      <w:bookmarkEnd w:id="167"/>
      <w:r>
        <w:rPr>
          <w:rFonts w:hint="eastAsia" w:ascii="宋体" w:hAnsi="宋体" w:eastAsia="宋体" w:cs="宋体"/>
          <w:sz w:val="24"/>
          <w:szCs w:val="24"/>
          <w:highlight w:val="none"/>
        </w:rPr>
        <w:t>授予合同</w:t>
      </w:r>
      <w:bookmarkEnd w:id="168"/>
    </w:p>
    <w:p w14:paraId="6E6C0F87">
      <w:pPr>
        <w:wordWrap w:val="0"/>
        <w:spacing w:line="460" w:lineRule="exact"/>
        <w:ind w:firstLine="480" w:firstLineChars="200"/>
        <w:jc w:val="left"/>
        <w:outlineLvl w:val="2"/>
        <w:rPr>
          <w:rFonts w:hint="eastAsia" w:ascii="宋体" w:hAnsi="宋体" w:eastAsia="宋体" w:cs="宋体"/>
          <w:sz w:val="24"/>
          <w:szCs w:val="24"/>
          <w:highlight w:val="none"/>
        </w:rPr>
      </w:pPr>
      <w:bookmarkStart w:id="169" w:name="_Toc513029237"/>
      <w:bookmarkEnd w:id="169"/>
      <w:bookmarkStart w:id="170" w:name="_Toc20823309"/>
      <w:bookmarkEnd w:id="170"/>
      <w:bookmarkStart w:id="171" w:name="_Toc16938553"/>
      <w:bookmarkEnd w:id="171"/>
      <w:bookmarkStart w:id="172" w:name="_Toc21335"/>
      <w:bookmarkStart w:id="173" w:name="_Toc528078046"/>
      <w:r>
        <w:rPr>
          <w:rFonts w:hint="eastAsia" w:ascii="宋体" w:hAnsi="宋体" w:eastAsia="宋体" w:cs="宋体"/>
          <w:sz w:val="24"/>
          <w:szCs w:val="24"/>
          <w:highlight w:val="none"/>
        </w:rPr>
        <w:t>9.1签订合同</w:t>
      </w:r>
      <w:bookmarkEnd w:id="172"/>
      <w:bookmarkEnd w:id="173"/>
    </w:p>
    <w:p w14:paraId="429C90A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9.1.1采购人、成交供应商在成交通知书发出之日起30日内（不超过30日），根据竞争性磋商文件确定的事项和成交供应商响应性文件签订合同。双方所签订的合同不得对竞争性磋商文件和成交供应商响应性文件作实质性修改。成交供应商逾期未签订合同，视为成交后无正当理由不与采购人签订合同，按照有关法律规定承担相应的法律责任。采购人逾期不与成交供应商签订合同的，按政府采购的有关规定处理。</w:t>
      </w:r>
    </w:p>
    <w:p w14:paraId="0B660BA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9.1.2竞争性磋商文件、竞争性磋商文件的修改文件、成交供应商的响应性文件、补充或修改的文件及澄清或承诺文件等，均为双方签订合同的组成部分，并与合同一并作为本竞争性磋商文件所列采购项目的互补性法律文件，与合同具有同等法律效力。</w:t>
      </w:r>
    </w:p>
    <w:p w14:paraId="64D97C8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9.1.3成交供应商放弃成交、因不可抗力不能履行合同、或者被查实存在影响成交结果的违法行为等情形，不符合成交条件的，采购人可以按照磋商小组提出的成交候选供应商名单排序依次确定其他成交候选供应商为成交供应商，也可以重新组织采购</w:t>
      </w:r>
      <w:bookmarkStart w:id="174" w:name="_Toc479757211"/>
      <w:bookmarkEnd w:id="174"/>
      <w:bookmarkStart w:id="175" w:name="_Toc20823314"/>
      <w:bookmarkEnd w:id="175"/>
      <w:bookmarkStart w:id="176" w:name="_Toc513029242"/>
      <w:bookmarkEnd w:id="176"/>
      <w:bookmarkStart w:id="177" w:name="_Hlt16619475"/>
      <w:bookmarkEnd w:id="177"/>
      <w:bookmarkStart w:id="178" w:name="_Toc517178999"/>
      <w:bookmarkEnd w:id="178"/>
      <w:bookmarkStart w:id="179" w:name="_Toc479757207"/>
      <w:bookmarkEnd w:id="179"/>
      <w:bookmarkStart w:id="180" w:name="_Toc528078047"/>
      <w:bookmarkEnd w:id="180"/>
      <w:bookmarkStart w:id="181" w:name="_Toc120614221"/>
      <w:bookmarkEnd w:id="181"/>
      <w:bookmarkStart w:id="182" w:name="_Toc16938558"/>
      <w:bookmarkEnd w:id="182"/>
      <w:bookmarkStart w:id="183" w:name="_Toc528078062"/>
      <w:r>
        <w:rPr>
          <w:rFonts w:hint="eastAsia" w:ascii="宋体" w:hAnsi="宋体" w:eastAsia="宋体" w:cs="宋体"/>
          <w:sz w:val="24"/>
          <w:szCs w:val="24"/>
          <w:highlight w:val="none"/>
        </w:rPr>
        <w:t>。</w:t>
      </w:r>
      <w:bookmarkEnd w:id="183"/>
    </w:p>
    <w:p w14:paraId="068B1ABE">
      <w:pPr>
        <w:widowControl/>
        <w:spacing w:line="480" w:lineRule="exact"/>
        <w:ind w:firstLine="482" w:firstLineChars="200"/>
        <w:outlineLvl w:val="2"/>
        <w:rPr>
          <w:rFonts w:hint="eastAsia" w:ascii="宋体" w:hAnsi="宋体" w:eastAsia="宋体" w:cs="宋体"/>
          <w:b/>
          <w:bCs/>
          <w:sz w:val="24"/>
          <w:szCs w:val="24"/>
          <w:highlight w:val="none"/>
        </w:rPr>
      </w:pPr>
      <w:bookmarkStart w:id="184" w:name="_Toc13695"/>
      <w:r>
        <w:rPr>
          <w:rFonts w:hint="eastAsia" w:ascii="宋体" w:hAnsi="宋体" w:eastAsia="宋体" w:cs="宋体"/>
          <w:b/>
          <w:bCs/>
          <w:sz w:val="24"/>
          <w:szCs w:val="24"/>
          <w:highlight w:val="none"/>
        </w:rPr>
        <w:t>9.</w:t>
      </w:r>
      <w:r>
        <w:rPr>
          <w:rFonts w:ascii="宋体" w:hAnsi="宋体" w:eastAsia="宋体" w:cs="宋体"/>
          <w:b/>
          <w:bCs/>
          <w:sz w:val="24"/>
          <w:szCs w:val="24"/>
          <w:highlight w:val="none"/>
        </w:rPr>
        <w:t>2</w:t>
      </w:r>
      <w:r>
        <w:rPr>
          <w:rFonts w:hint="eastAsia" w:ascii="宋体" w:hAnsi="宋体" w:eastAsia="宋体" w:cs="宋体"/>
          <w:b/>
          <w:bCs/>
          <w:sz w:val="24"/>
          <w:szCs w:val="24"/>
          <w:highlight w:val="none"/>
        </w:rPr>
        <w:t>投诉</w:t>
      </w:r>
      <w:bookmarkEnd w:id="184"/>
    </w:p>
    <w:p w14:paraId="218D9A61">
      <w:pPr>
        <w:spacing w:line="500" w:lineRule="exact"/>
        <w:ind w:firstLine="480" w:firstLineChars="200"/>
        <w:rPr>
          <w:rFonts w:hint="eastAsia" w:ascii="宋体" w:hAnsi="宋体" w:eastAsia="宋体" w:cs="Times New Roman"/>
          <w:sz w:val="24"/>
          <w:szCs w:val="24"/>
          <w:highlight w:val="none"/>
        </w:rPr>
      </w:pPr>
      <w:bookmarkStart w:id="185" w:name="_Toc466566702"/>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.1 供应商或有关当事人对磋商过程、成交结果有异议的，可以向采购人或者采购代理机构提出询问。</w:t>
      </w:r>
    </w:p>
    <w:p w14:paraId="50684D49">
      <w:pPr>
        <w:spacing w:line="500" w:lineRule="exact"/>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.2 采购人或者采购代理机构应当在三个工作日内对供应商依法提出的询问作出答复。</w:t>
      </w:r>
    </w:p>
    <w:p w14:paraId="4C69BF63">
      <w:pPr>
        <w:spacing w:line="500" w:lineRule="exact"/>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.3 供应商认为竞争性磋商文件、采购过程使自己的权益受到损害的，可以在知道或者应知其权益受到损害之日起七个工作日内，以书面形式向采购人提出质疑。</w:t>
      </w:r>
    </w:p>
    <w:p w14:paraId="0FE018F4">
      <w:pPr>
        <w:spacing w:line="500" w:lineRule="exact"/>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.4 供应商认为成交结果使自己的权益受到损害的，可以在成交结果公告期限届满之日起七个工作日内，以书面形式向采购人提出质疑，接收质疑函联系部门、电话及地址详见竞争性磋商公告。在法定质疑期内供应商针对同一采购程序环节的质疑应当一次性提出。</w:t>
      </w:r>
    </w:p>
    <w:p w14:paraId="2329EFE8">
      <w:pPr>
        <w:spacing w:line="500" w:lineRule="exact"/>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.5 采购人或者采购代理机构应当在收到供应商的书面质疑后七个工作日内作出答复，并以书面形式通知质疑供应商和其他有关供应商，但答复的内容不得涉及商业秘密。</w:t>
      </w:r>
    </w:p>
    <w:p w14:paraId="1AE551A7">
      <w:pPr>
        <w:spacing w:line="500" w:lineRule="exact"/>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.6 质疑单位对采购人、采购代理机构的答复不满意或者采购人、采购代理机构未在规定的时间内作出答复的，可以在答复期满后十五个工作日内向同级政府采购监督管理部门投诉。</w:t>
      </w:r>
    </w:p>
    <w:p w14:paraId="6A7A3A40">
      <w:pPr>
        <w:spacing w:line="500" w:lineRule="exact"/>
        <w:ind w:firstLine="480" w:firstLineChars="200"/>
        <w:rPr>
          <w:rFonts w:ascii="Calibri" w:hAnsi="Calibri" w:eastAsia="宋体" w:cs="Times New Roman"/>
          <w:kern w:val="0"/>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.7 供应商质疑、投诉应当有明确的请求和必要的证明材料。供应商投诉的事项不得超出已质疑事项的范围。</w:t>
      </w:r>
      <w:r>
        <w:rPr>
          <w:rFonts w:hint="eastAsia" w:ascii="Calibri" w:hAnsi="Calibri" w:eastAsia="宋体" w:cs="Times New Roman"/>
          <w:kern w:val="0"/>
          <w:sz w:val="24"/>
          <w:szCs w:val="24"/>
          <w:highlight w:val="none"/>
        </w:rPr>
        <w:t>质疑函应当包括下列内容：</w:t>
      </w:r>
    </w:p>
    <w:p w14:paraId="6E198722">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1、供应商的姓名或者名称、地址、邮编、联系人及联系电话；</w:t>
      </w:r>
    </w:p>
    <w:p w14:paraId="6462140B">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2、质疑项目的名称、编号；</w:t>
      </w:r>
    </w:p>
    <w:p w14:paraId="21A7CB08">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3、具体、明确的质疑事项和与质疑事项相关的请求；</w:t>
      </w:r>
    </w:p>
    <w:p w14:paraId="3D24AE00">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4、事实依据；</w:t>
      </w:r>
    </w:p>
    <w:p w14:paraId="43340367">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5、必要的法律依据；</w:t>
      </w:r>
    </w:p>
    <w:p w14:paraId="3D73523F">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6、提出质疑的日期。</w:t>
      </w:r>
    </w:p>
    <w:p w14:paraId="0C270DD6">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质疑事项按照有关法律、法规和规章规定及招标文件要求属于保密或者处于保密阶段的事项，供应商必须提供正常的信息来源或有效证据，供应商不能提供或者拒绝提供合法的信息来源或有效证据的，其质疑将被拒绝；</w:t>
      </w:r>
    </w:p>
    <w:p w14:paraId="514A8124">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质疑函应提供充足有效的相关证明材料；如果涉及到产品功能或技术指标的，应出具相关制造商的证明文件；</w:t>
      </w:r>
    </w:p>
    <w:p w14:paraId="324916F9">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质疑材料中有外文资料的，应一并附上中文译本，并以中文译本为准。</w:t>
      </w:r>
    </w:p>
    <w:p w14:paraId="39032094">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供应商质疑实行实名制并须在质疑书上署名。供应商不得进行虚假、恶意质疑，不得以质疑为手段获取不当得利、实现非法目的。</w:t>
      </w:r>
    </w:p>
    <w:p w14:paraId="4805AA9A">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供应商可以委托代理人进行质疑和投诉。其授权委托书应当载明代理人的姓名或者名称、代理事项、具体权限、期限和相关事项。供应商为自然人的，应当由本人签</w:t>
      </w:r>
      <w:bookmarkStart w:id="186" w:name="第四部分_合同条款"/>
      <w:bookmarkEnd w:id="186"/>
      <w:r>
        <w:rPr>
          <w:rFonts w:hint="eastAsia" w:ascii="宋体" w:hAnsi="宋体" w:eastAsia="宋体" w:cs="宋体"/>
          <w:sz w:val="24"/>
          <w:szCs w:val="24"/>
          <w:highlight w:val="none"/>
        </w:rPr>
        <w:t>字；供应商为法人或者其他组织的，应当由法定代表人、主要负责人签字或者盖章，并加盖公章。代理人提出质疑和投诉，应当提交供应商签署的授权委托书。授权委托书应载明委托代理的具体权限和事项。授权委托书应当由委托人签字并加盖单位公章。</w:t>
      </w:r>
    </w:p>
    <w:p w14:paraId="1C6EB1CF">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质疑书提交方式。供应商或者其委托代理人应当当面提交质疑书及相关证明材料。提交质疑书时，供应商应同时提交本人身份证，委托他人代理质疑事宜的，还应提交被委托人的身份证。</w:t>
      </w:r>
    </w:p>
    <w:p w14:paraId="5DA82033">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供应商不得虚假质疑和恶意质疑，并对质疑内容的真实性承担责任。供应商或者其他利害关系人通过捏造事实、伪造证明材料等方式提出异议或投诉，阻碍招投标活动正常进行的，属于严重不良行为，监督部门将其列入不良行为记录名单，并依法予以处罚。</w:t>
      </w:r>
    </w:p>
    <w:p w14:paraId="15E821BE">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采购人或招标代理机构将在收到符合上述条件的书面质疑后7个工作日内审查质疑事项，采购人做出答复或相关处理决定，并以书面形式通知质疑供应商和其他有关供应商。</w:t>
      </w:r>
    </w:p>
    <w:p w14:paraId="05632801">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依法提出质疑的供应商对采购人或招标代理机构的答复不满意、以及采购人或招标代理机构未在规定的时间内做出答复的，可以在答复期满后15个工作日内向监督部门投诉。</w:t>
      </w:r>
    </w:p>
    <w:p w14:paraId="480267C2">
      <w:pPr>
        <w:spacing w:line="500" w:lineRule="exact"/>
        <w:ind w:firstLine="480" w:firstLineChars="200"/>
        <w:outlineLvl w:val="3"/>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质疑函格式详见附件1</w:t>
      </w:r>
    </w:p>
    <w:p w14:paraId="1F535C90">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w:t>
      </w:r>
      <w:r>
        <w:rPr>
          <w:rFonts w:ascii="宋体" w:hAnsi="宋体" w:eastAsia="宋体" w:cs="宋体"/>
          <w:sz w:val="24"/>
          <w:szCs w:val="24"/>
          <w:highlight w:val="none"/>
        </w:rPr>
        <w:t>.2.8</w:t>
      </w:r>
      <w:r>
        <w:rPr>
          <w:rFonts w:hint="eastAsia" w:ascii="宋体" w:hAnsi="宋体" w:eastAsia="宋体" w:cs="宋体"/>
          <w:sz w:val="24"/>
          <w:szCs w:val="24"/>
          <w:highlight w:val="none"/>
        </w:rPr>
        <w:t>投诉人在全国范围12个月内三次以上投诉查无实据的，由财政部门列入不良行为记录名单，投诉人有下列行为之一的，属于虚假、恶意投诉，由财政部门列入不良行为记录名单，禁止其1至3年内参加政府采购活动：</w:t>
      </w:r>
    </w:p>
    <w:p w14:paraId="5C12C70B">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1、捏造事实；</w:t>
      </w:r>
    </w:p>
    <w:p w14:paraId="576ADCD1">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2、提供虚假材料；</w:t>
      </w:r>
    </w:p>
    <w:p w14:paraId="39A62660">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3、以非法手段取得证明材料。证据来源的合法性存在明显疑问，投诉人无法证明其取得方式合法的，视为以非法手段取得证明材料。</w:t>
      </w:r>
    </w:p>
    <w:bookmarkEnd w:id="185"/>
    <w:p w14:paraId="361B12A8">
      <w:pPr>
        <w:widowControl/>
        <w:jc w:val="left"/>
        <w:rPr>
          <w:rFonts w:hint="eastAsia" w:ascii="宋体" w:hAnsi="宋体" w:eastAsia="宋体" w:cs="宋体"/>
          <w:b/>
          <w:sz w:val="24"/>
          <w:szCs w:val="24"/>
          <w:highlight w:val="none"/>
        </w:rPr>
      </w:pPr>
      <w:r>
        <w:rPr>
          <w:rFonts w:ascii="宋体" w:hAnsi="宋体" w:eastAsia="宋体" w:cs="宋体"/>
          <w:b/>
          <w:sz w:val="24"/>
          <w:szCs w:val="24"/>
          <w:highlight w:val="none"/>
        </w:rPr>
        <w:br w:type="page"/>
      </w:r>
    </w:p>
    <w:p w14:paraId="47A79272">
      <w:pPr>
        <w:spacing w:line="480" w:lineRule="exact"/>
        <w:ind w:firstLine="405" w:firstLineChars="168"/>
        <w:rPr>
          <w:rFonts w:hint="eastAsia" w:ascii="宋体" w:hAnsi="宋体" w:eastAsia="宋体" w:cs="宋体"/>
          <w:b/>
          <w:sz w:val="24"/>
          <w:szCs w:val="24"/>
          <w:highlight w:val="none"/>
        </w:rPr>
      </w:pPr>
      <w:r>
        <w:rPr>
          <w:rFonts w:hint="eastAsia" w:ascii="宋体" w:hAnsi="宋体" w:eastAsia="宋体" w:cs="宋体"/>
          <w:b/>
          <w:sz w:val="24"/>
          <w:szCs w:val="24"/>
          <w:highlight w:val="none"/>
        </w:rPr>
        <w:t>附件1：质疑函范本</w:t>
      </w:r>
    </w:p>
    <w:p w14:paraId="02A9E9F9">
      <w:pPr>
        <w:spacing w:line="48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质疑函范本</w:t>
      </w:r>
    </w:p>
    <w:p w14:paraId="4B819EAB">
      <w:pPr>
        <w:spacing w:line="480" w:lineRule="exact"/>
        <w:ind w:firstLine="480" w:firstLineChars="200"/>
        <w:outlineLvl w:val="3"/>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一、质疑供应商基本信息</w:t>
      </w:r>
    </w:p>
    <w:p w14:paraId="46B0DC37">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质疑供应商：                                        </w:t>
      </w:r>
    </w:p>
    <w:p w14:paraId="09FD0F83">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地址：                          邮编：                                 </w:t>
      </w:r>
    </w:p>
    <w:p w14:paraId="4C48CCC9">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联系人：                      联系电话：                              </w:t>
      </w:r>
    </w:p>
    <w:p w14:paraId="1FE51DB4">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授权代表：                                          </w:t>
      </w:r>
    </w:p>
    <w:p w14:paraId="33B13E56">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联系电话：                                            </w:t>
      </w:r>
    </w:p>
    <w:p w14:paraId="31B128B5">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地址：                         邮编：                                       </w:t>
      </w:r>
    </w:p>
    <w:p w14:paraId="74737BD2">
      <w:pPr>
        <w:spacing w:line="480" w:lineRule="exact"/>
        <w:ind w:firstLine="480" w:firstLineChars="200"/>
        <w:outlineLvl w:val="3"/>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二、质疑项目基本情况</w:t>
      </w:r>
    </w:p>
    <w:p w14:paraId="0D621FDA">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质疑项目的名称：                                      </w:t>
      </w:r>
    </w:p>
    <w:p w14:paraId="086CABB7">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质疑项目的编号：               包号：                 </w:t>
      </w:r>
    </w:p>
    <w:p w14:paraId="4C0443D3">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招标人名称：                                         </w:t>
      </w:r>
    </w:p>
    <w:p w14:paraId="5AAAE645">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招标文件获取日期：                                           </w:t>
      </w:r>
    </w:p>
    <w:p w14:paraId="6950BF21">
      <w:pPr>
        <w:spacing w:line="480" w:lineRule="exact"/>
        <w:ind w:firstLine="480" w:firstLineChars="200"/>
        <w:outlineLvl w:val="3"/>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三、质疑事项具体内容</w:t>
      </w:r>
    </w:p>
    <w:p w14:paraId="59C13B90">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质疑事项1：                                         </w:t>
      </w:r>
    </w:p>
    <w:p w14:paraId="6516F6B3">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事实依据：                                          </w:t>
      </w:r>
    </w:p>
    <w:p w14:paraId="3D0326BD">
      <w:pPr>
        <w:spacing w:line="480" w:lineRule="exact"/>
        <w:ind w:firstLine="480" w:firstLineChars="200"/>
        <w:rPr>
          <w:rFonts w:hint="eastAsia" w:ascii="宋体" w:hAnsi="宋体" w:eastAsia="宋体" w:cs="宋体"/>
          <w:kern w:val="0"/>
          <w:sz w:val="24"/>
          <w:szCs w:val="24"/>
          <w:highlight w:val="none"/>
        </w:rPr>
      </w:pPr>
    </w:p>
    <w:p w14:paraId="3CF20836">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法律依据：                                          </w:t>
      </w:r>
    </w:p>
    <w:p w14:paraId="2C31DA82">
      <w:pPr>
        <w:spacing w:line="480" w:lineRule="exact"/>
        <w:ind w:firstLine="480" w:firstLineChars="200"/>
        <w:rPr>
          <w:rFonts w:hint="eastAsia" w:ascii="宋体" w:hAnsi="宋体" w:eastAsia="宋体" w:cs="宋体"/>
          <w:kern w:val="0"/>
          <w:sz w:val="24"/>
          <w:szCs w:val="24"/>
          <w:highlight w:val="none"/>
        </w:rPr>
      </w:pPr>
    </w:p>
    <w:p w14:paraId="0F986D5E">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质疑事项2</w:t>
      </w:r>
    </w:p>
    <w:p w14:paraId="65A87534">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w:t>
      </w:r>
    </w:p>
    <w:p w14:paraId="0AA545BA">
      <w:pPr>
        <w:spacing w:line="480" w:lineRule="exact"/>
        <w:ind w:firstLine="480" w:firstLineChars="200"/>
        <w:outlineLvl w:val="3"/>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四、与质疑事项相关的质疑请求</w:t>
      </w:r>
    </w:p>
    <w:p w14:paraId="0170B163">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请求：                                               </w:t>
      </w:r>
    </w:p>
    <w:p w14:paraId="5B51DB03">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签字(签章)：                   公章：                      </w:t>
      </w:r>
    </w:p>
    <w:p w14:paraId="6E4BD6D5">
      <w:pPr>
        <w:autoSpaceDE w:val="0"/>
        <w:autoSpaceDN w:val="0"/>
        <w:spacing w:before="90" w:line="312" w:lineRule="auto"/>
        <w:ind w:right="95" w:firstLine="480" w:firstLineChars="200"/>
        <w:rPr>
          <w:rFonts w:hint="eastAsia" w:ascii="宋体" w:hAnsi="宋体" w:eastAsia="宋体" w:cs="宋体"/>
          <w:kern w:val="0"/>
          <w:sz w:val="24"/>
          <w:szCs w:val="24"/>
          <w:highlight w:val="none"/>
        </w:rPr>
      </w:pPr>
      <w:r>
        <w:rPr>
          <w:rFonts w:hint="eastAsia" w:ascii="宋体" w:hAnsi="宋体" w:eastAsia="宋体" w:cs="宋体"/>
          <w:sz w:val="24"/>
          <w:szCs w:val="24"/>
          <w:highlight w:val="none"/>
        </w:rPr>
        <w:t>日期：</w:t>
      </w:r>
      <w:r>
        <w:rPr>
          <w:rFonts w:hint="eastAsia" w:ascii="宋体" w:hAnsi="宋体" w:eastAsia="宋体" w:cs="Times New Roman"/>
          <w:sz w:val="24"/>
          <w:szCs w:val="24"/>
          <w:highlight w:val="none"/>
        </w:rPr>
        <w:br w:type="page"/>
      </w:r>
    </w:p>
    <w:p w14:paraId="6E7D9F63">
      <w:pPr>
        <w:pStyle w:val="7"/>
        <w:jc w:val="center"/>
        <w:rPr>
          <w:highlight w:val="none"/>
        </w:rPr>
      </w:pPr>
      <w:bookmarkStart w:id="187" w:name="_Toc21295"/>
      <w:bookmarkStart w:id="188" w:name="_Toc6120"/>
      <w:bookmarkStart w:id="189" w:name="_Toc14135"/>
      <w:r>
        <w:rPr>
          <w:rFonts w:hint="eastAsia"/>
          <w:highlight w:val="none"/>
        </w:rPr>
        <w:t>第三章  评标办法（综合评估法）</w:t>
      </w:r>
      <w:bookmarkEnd w:id="34"/>
      <w:bookmarkEnd w:id="35"/>
      <w:bookmarkEnd w:id="36"/>
      <w:bookmarkEnd w:id="37"/>
      <w:bookmarkEnd w:id="38"/>
      <w:bookmarkEnd w:id="187"/>
      <w:bookmarkEnd w:id="188"/>
      <w:bookmarkEnd w:id="189"/>
    </w:p>
    <w:p w14:paraId="64589C76">
      <w:pPr>
        <w:widowControl/>
        <w:spacing w:line="400" w:lineRule="exact"/>
        <w:ind w:firstLine="420"/>
        <w:rPr>
          <w:rFonts w:hint="eastAsia" w:ascii="宋体" w:hAnsi="宋体" w:cs="Calibri"/>
          <w:sz w:val="24"/>
          <w:highlight w:val="none"/>
        </w:rPr>
      </w:pPr>
      <w:bookmarkStart w:id="190" w:name="_Toc466566705"/>
      <w:bookmarkEnd w:id="190"/>
      <w:bookmarkStart w:id="191" w:name="_Toc375053347"/>
      <w:bookmarkEnd w:id="191"/>
      <w:bookmarkStart w:id="192" w:name="_Toc144974567"/>
      <w:bookmarkEnd w:id="192"/>
      <w:bookmarkStart w:id="193" w:name="_Toc466566794"/>
      <w:bookmarkEnd w:id="193"/>
      <w:bookmarkStart w:id="194" w:name="_Toc179632618"/>
      <w:bookmarkEnd w:id="194"/>
      <w:bookmarkStart w:id="195" w:name="_Toc152045600"/>
      <w:bookmarkEnd w:id="195"/>
      <w:bookmarkStart w:id="196" w:name="OLE_LINK1"/>
      <w:r>
        <w:rPr>
          <w:rFonts w:hint="eastAsia" w:ascii="宋体" w:hAnsi="宋体" w:cs="Calibri"/>
          <w:kern w:val="0"/>
          <w:sz w:val="24"/>
          <w:highlight w:val="none"/>
        </w:rPr>
        <w:t>本次项目的评审分为初步审查和详细审查。详细审查采用综合评分法，总分为100分。</w:t>
      </w:r>
      <w:bookmarkEnd w:id="196"/>
      <w:r>
        <w:rPr>
          <w:rFonts w:hint="eastAsia" w:ascii="宋体" w:hAnsi="宋体" w:cs="Calibri"/>
          <w:kern w:val="0"/>
          <w:sz w:val="24"/>
          <w:highlight w:val="none"/>
        </w:rPr>
        <w:t>评审因素如下：</w:t>
      </w:r>
    </w:p>
    <w:p w14:paraId="367752AE">
      <w:pPr>
        <w:widowControl/>
        <w:spacing w:line="400" w:lineRule="exact"/>
        <w:rPr>
          <w:rFonts w:hint="eastAsia" w:ascii="宋体" w:hAnsi="宋体" w:cs="Calibri"/>
          <w:b/>
          <w:bCs/>
          <w:sz w:val="24"/>
          <w:highlight w:val="none"/>
        </w:rPr>
      </w:pPr>
      <w:r>
        <w:rPr>
          <w:rFonts w:hint="eastAsia" w:ascii="宋体" w:hAnsi="宋体" w:cs="Calibri"/>
          <w:b/>
          <w:bCs/>
          <w:kern w:val="0"/>
          <w:sz w:val="24"/>
          <w:highlight w:val="none"/>
        </w:rPr>
        <w:t>一、初步审查</w:t>
      </w:r>
    </w:p>
    <w:tbl>
      <w:tblPr>
        <w:tblStyle w:val="24"/>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024"/>
        <w:gridCol w:w="2647"/>
        <w:gridCol w:w="5603"/>
      </w:tblGrid>
      <w:tr w14:paraId="524B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569" w:type="dxa"/>
            <w:gridSpan w:val="2"/>
            <w:tcBorders>
              <w:top w:val="single" w:color="auto" w:sz="4" w:space="0"/>
              <w:left w:val="single" w:color="auto" w:sz="4" w:space="0"/>
              <w:bottom w:val="single" w:color="auto" w:sz="4" w:space="0"/>
              <w:right w:val="single" w:color="auto" w:sz="4" w:space="0"/>
            </w:tcBorders>
            <w:vAlign w:val="center"/>
          </w:tcPr>
          <w:p w14:paraId="1AABA1B3">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条款号</w:t>
            </w:r>
          </w:p>
        </w:tc>
        <w:tc>
          <w:tcPr>
            <w:tcW w:w="2647" w:type="dxa"/>
            <w:tcBorders>
              <w:top w:val="single" w:color="auto" w:sz="4" w:space="0"/>
              <w:left w:val="nil"/>
              <w:bottom w:val="single" w:color="auto" w:sz="4" w:space="0"/>
              <w:right w:val="single" w:color="auto" w:sz="4" w:space="0"/>
            </w:tcBorders>
            <w:vAlign w:val="center"/>
          </w:tcPr>
          <w:p w14:paraId="45670441">
            <w:pPr>
              <w:spacing w:line="360" w:lineRule="auto"/>
              <w:ind w:firstLine="60" w:firstLineChars="25"/>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评审因素</w:t>
            </w:r>
          </w:p>
        </w:tc>
        <w:tc>
          <w:tcPr>
            <w:tcW w:w="5603" w:type="dxa"/>
            <w:tcBorders>
              <w:top w:val="single" w:color="auto" w:sz="4" w:space="0"/>
              <w:left w:val="nil"/>
              <w:bottom w:val="single" w:color="auto" w:sz="4" w:space="0"/>
              <w:right w:val="single" w:color="auto" w:sz="4" w:space="0"/>
            </w:tcBorders>
            <w:vAlign w:val="center"/>
          </w:tcPr>
          <w:p w14:paraId="1C1AFC3F">
            <w:pPr>
              <w:spacing w:line="360" w:lineRule="auto"/>
              <w:ind w:firstLine="1920" w:firstLineChars="800"/>
              <w:rPr>
                <w:rFonts w:hint="eastAsia" w:ascii="宋体" w:hAnsi="宋体" w:eastAsia="宋体" w:cs="Courier New"/>
                <w:sz w:val="24"/>
                <w:szCs w:val="21"/>
                <w:highlight w:val="none"/>
              </w:rPr>
            </w:pPr>
            <w:r>
              <w:rPr>
                <w:rFonts w:hint="eastAsia" w:ascii="宋体" w:hAnsi="宋体" w:eastAsia="宋体" w:cs="Courier New"/>
                <w:sz w:val="24"/>
                <w:szCs w:val="21"/>
                <w:highlight w:val="none"/>
              </w:rPr>
              <w:t>评审标准</w:t>
            </w:r>
          </w:p>
        </w:tc>
      </w:tr>
      <w:tr w14:paraId="6B7B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45" w:type="dxa"/>
            <w:vMerge w:val="restart"/>
            <w:tcBorders>
              <w:top w:val="nil"/>
              <w:left w:val="single" w:color="auto" w:sz="4" w:space="0"/>
              <w:right w:val="single" w:color="auto" w:sz="4" w:space="0"/>
            </w:tcBorders>
            <w:vAlign w:val="center"/>
          </w:tcPr>
          <w:p w14:paraId="3C3B3726">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初</w:t>
            </w:r>
          </w:p>
          <w:p w14:paraId="46BF7BB4">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步</w:t>
            </w:r>
          </w:p>
          <w:p w14:paraId="3AF98C7F">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评</w:t>
            </w:r>
          </w:p>
          <w:p w14:paraId="128FB164">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审</w:t>
            </w:r>
          </w:p>
        </w:tc>
        <w:tc>
          <w:tcPr>
            <w:tcW w:w="1024" w:type="dxa"/>
            <w:vMerge w:val="restart"/>
            <w:tcBorders>
              <w:top w:val="nil"/>
              <w:left w:val="nil"/>
              <w:bottom w:val="single" w:color="auto" w:sz="4" w:space="0"/>
              <w:right w:val="single" w:color="auto" w:sz="4" w:space="0"/>
            </w:tcBorders>
            <w:vAlign w:val="center"/>
          </w:tcPr>
          <w:p w14:paraId="22609F6C">
            <w:pPr>
              <w:spacing w:line="360" w:lineRule="auto"/>
              <w:rPr>
                <w:rFonts w:hint="eastAsia" w:ascii="宋体" w:hAnsi="宋体" w:eastAsia="宋体" w:cs="Times New Roman"/>
                <w:sz w:val="24"/>
                <w:szCs w:val="21"/>
                <w:highlight w:val="none"/>
              </w:rPr>
            </w:pPr>
            <w:r>
              <w:rPr>
                <w:rFonts w:hint="eastAsia" w:ascii="宋体" w:hAnsi="宋体" w:eastAsia="宋体" w:cs="Courier New"/>
                <w:sz w:val="24"/>
                <w:szCs w:val="21"/>
                <w:highlight w:val="none"/>
                <w:lang w:val="en-US" w:eastAsia="zh-CN"/>
              </w:rPr>
              <w:t>符合性</w:t>
            </w:r>
            <w:r>
              <w:rPr>
                <w:rFonts w:hint="eastAsia" w:ascii="宋体" w:hAnsi="宋体" w:eastAsia="宋体" w:cs="Courier New"/>
                <w:sz w:val="24"/>
                <w:szCs w:val="21"/>
                <w:highlight w:val="none"/>
              </w:rPr>
              <w:t>评审</w:t>
            </w:r>
            <w:r>
              <w:rPr>
                <w:rFonts w:hint="eastAsia" w:ascii="宋体" w:hAnsi="宋体" w:eastAsia="宋体" w:cs="Times New Roman"/>
                <w:sz w:val="24"/>
                <w:szCs w:val="21"/>
                <w:highlight w:val="none"/>
              </w:rPr>
              <w:t>标准</w:t>
            </w:r>
          </w:p>
        </w:tc>
        <w:tc>
          <w:tcPr>
            <w:tcW w:w="2647" w:type="dxa"/>
            <w:tcBorders>
              <w:top w:val="single" w:color="auto" w:sz="4" w:space="0"/>
              <w:left w:val="nil"/>
              <w:bottom w:val="single" w:color="auto" w:sz="4" w:space="0"/>
              <w:right w:val="single" w:color="auto" w:sz="4" w:space="0"/>
            </w:tcBorders>
            <w:vAlign w:val="center"/>
          </w:tcPr>
          <w:p w14:paraId="6FD0A7CE">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供应商名称</w:t>
            </w:r>
          </w:p>
        </w:tc>
        <w:tc>
          <w:tcPr>
            <w:tcW w:w="5603" w:type="dxa"/>
            <w:tcBorders>
              <w:top w:val="single" w:color="auto" w:sz="4" w:space="0"/>
              <w:left w:val="nil"/>
              <w:bottom w:val="single" w:color="auto" w:sz="4" w:space="0"/>
              <w:right w:val="single" w:color="auto" w:sz="4" w:space="0"/>
            </w:tcBorders>
            <w:vAlign w:val="center"/>
          </w:tcPr>
          <w:p w14:paraId="32C2852B">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与营业执照一致</w:t>
            </w:r>
          </w:p>
        </w:tc>
      </w:tr>
      <w:tr w14:paraId="3958D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45" w:type="dxa"/>
            <w:vMerge w:val="continue"/>
            <w:tcBorders>
              <w:left w:val="single" w:color="auto" w:sz="4" w:space="0"/>
              <w:right w:val="single" w:color="auto" w:sz="4" w:space="0"/>
            </w:tcBorders>
            <w:vAlign w:val="center"/>
          </w:tcPr>
          <w:p w14:paraId="00172D94">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143C348D">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64B8B806">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签字盖章</w:t>
            </w:r>
          </w:p>
        </w:tc>
        <w:tc>
          <w:tcPr>
            <w:tcW w:w="5603" w:type="dxa"/>
            <w:tcBorders>
              <w:top w:val="single" w:color="auto" w:sz="4" w:space="0"/>
              <w:left w:val="nil"/>
              <w:bottom w:val="single" w:color="auto" w:sz="4" w:space="0"/>
              <w:right w:val="single" w:color="auto" w:sz="4" w:space="0"/>
            </w:tcBorders>
            <w:vAlign w:val="center"/>
          </w:tcPr>
          <w:p w14:paraId="1D78AB85">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有法定代表人或其委托代理人签字或盖章并加盖单位公章</w:t>
            </w:r>
          </w:p>
        </w:tc>
      </w:tr>
      <w:tr w14:paraId="4C75B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545" w:type="dxa"/>
            <w:vMerge w:val="continue"/>
            <w:tcBorders>
              <w:left w:val="single" w:color="auto" w:sz="4" w:space="0"/>
              <w:right w:val="single" w:color="auto" w:sz="4" w:space="0"/>
            </w:tcBorders>
            <w:vAlign w:val="center"/>
          </w:tcPr>
          <w:p w14:paraId="218F07E1">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072E0A00">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0C424B84">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报价唯一</w:t>
            </w:r>
          </w:p>
        </w:tc>
        <w:tc>
          <w:tcPr>
            <w:tcW w:w="5603" w:type="dxa"/>
            <w:tcBorders>
              <w:top w:val="single" w:color="auto" w:sz="4" w:space="0"/>
              <w:left w:val="nil"/>
              <w:bottom w:val="single" w:color="auto" w:sz="4" w:space="0"/>
              <w:right w:val="single" w:color="auto" w:sz="4" w:space="0"/>
            </w:tcBorders>
            <w:vAlign w:val="center"/>
          </w:tcPr>
          <w:p w14:paraId="6657AC31">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只能有一个有效报价，且不超过控制价</w:t>
            </w:r>
          </w:p>
        </w:tc>
      </w:tr>
      <w:tr w14:paraId="5DD2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545" w:type="dxa"/>
            <w:vMerge w:val="continue"/>
            <w:tcBorders>
              <w:left w:val="single" w:color="auto" w:sz="4" w:space="0"/>
              <w:right w:val="single" w:color="auto" w:sz="4" w:space="0"/>
            </w:tcBorders>
            <w:vAlign w:val="center"/>
          </w:tcPr>
          <w:p w14:paraId="5B288C04">
            <w:pPr>
              <w:spacing w:line="360" w:lineRule="auto"/>
              <w:jc w:val="center"/>
              <w:rPr>
                <w:rFonts w:hint="eastAsia" w:ascii="宋体" w:hAnsi="宋体" w:eastAsia="宋体" w:cs="Courier New"/>
                <w:sz w:val="24"/>
                <w:szCs w:val="21"/>
                <w:highlight w:val="none"/>
              </w:rPr>
            </w:pPr>
          </w:p>
        </w:tc>
        <w:tc>
          <w:tcPr>
            <w:tcW w:w="1024" w:type="dxa"/>
            <w:vMerge w:val="restart"/>
            <w:tcBorders>
              <w:top w:val="nil"/>
              <w:left w:val="nil"/>
              <w:bottom w:val="single" w:color="auto" w:sz="4" w:space="0"/>
              <w:right w:val="single" w:color="auto" w:sz="4" w:space="0"/>
            </w:tcBorders>
            <w:vAlign w:val="center"/>
          </w:tcPr>
          <w:p w14:paraId="3D904939">
            <w:pPr>
              <w:spacing w:line="360"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资格</w:t>
            </w:r>
          </w:p>
          <w:p w14:paraId="6355EC64">
            <w:pPr>
              <w:spacing w:line="360"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评审</w:t>
            </w:r>
          </w:p>
          <w:p w14:paraId="725AAC9D">
            <w:pPr>
              <w:spacing w:line="360" w:lineRule="auto"/>
              <w:rPr>
                <w:rFonts w:hint="eastAsia" w:ascii="宋体" w:hAnsi="宋体" w:eastAsia="宋体" w:cs="Times New Roman"/>
                <w:sz w:val="24"/>
                <w:szCs w:val="21"/>
                <w:highlight w:val="none"/>
              </w:rPr>
            </w:pPr>
            <w:r>
              <w:rPr>
                <w:rFonts w:hint="eastAsia" w:ascii="宋体" w:hAnsi="宋体" w:eastAsia="宋体" w:cs="Times New Roman"/>
                <w:sz w:val="24"/>
                <w:szCs w:val="21"/>
                <w:highlight w:val="none"/>
              </w:rPr>
              <w:t>标准</w:t>
            </w:r>
          </w:p>
        </w:tc>
        <w:tc>
          <w:tcPr>
            <w:tcW w:w="2647" w:type="dxa"/>
            <w:tcBorders>
              <w:top w:val="single" w:color="auto" w:sz="4" w:space="0"/>
              <w:left w:val="nil"/>
              <w:bottom w:val="single" w:color="auto" w:sz="4" w:space="0"/>
              <w:right w:val="single" w:color="auto" w:sz="4" w:space="0"/>
            </w:tcBorders>
            <w:vAlign w:val="center"/>
          </w:tcPr>
          <w:p w14:paraId="1B9CFFA5">
            <w:pPr>
              <w:spacing w:line="380" w:lineRule="exact"/>
              <w:jc w:val="left"/>
              <w:rPr>
                <w:rFonts w:hint="eastAsia" w:ascii="宋体" w:hAnsi="宋体" w:eastAsia="宋体" w:cs="Times New Roman"/>
                <w:sz w:val="24"/>
                <w:szCs w:val="21"/>
                <w:highlight w:val="none"/>
              </w:rPr>
            </w:pPr>
            <w:r>
              <w:rPr>
                <w:rFonts w:hint="eastAsia" w:ascii="宋体" w:hAnsi="宋体" w:eastAsia="宋体" w:cs="Times New Roman"/>
                <w:sz w:val="24"/>
                <w:szCs w:val="21"/>
                <w:highlight w:val="none"/>
              </w:rPr>
              <w:t>营业执照</w:t>
            </w:r>
          </w:p>
        </w:tc>
        <w:tc>
          <w:tcPr>
            <w:tcW w:w="5603" w:type="dxa"/>
            <w:tcBorders>
              <w:top w:val="single" w:color="auto" w:sz="4" w:space="0"/>
              <w:left w:val="nil"/>
              <w:bottom w:val="single" w:color="auto" w:sz="4" w:space="0"/>
              <w:right w:val="single" w:color="auto" w:sz="4" w:space="0"/>
            </w:tcBorders>
            <w:vAlign w:val="center"/>
          </w:tcPr>
          <w:p w14:paraId="7108131D">
            <w:pPr>
              <w:adjustRightInd w:val="0"/>
              <w:spacing w:line="360" w:lineRule="auto"/>
              <w:jc w:val="left"/>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详见第二章“供应商须知前附表”的规定</w:t>
            </w:r>
          </w:p>
        </w:tc>
      </w:tr>
      <w:tr w14:paraId="57BD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45" w:type="dxa"/>
            <w:vMerge w:val="continue"/>
            <w:tcBorders>
              <w:left w:val="single" w:color="auto" w:sz="4" w:space="0"/>
              <w:right w:val="single" w:color="auto" w:sz="4" w:space="0"/>
            </w:tcBorders>
            <w:vAlign w:val="center"/>
          </w:tcPr>
          <w:p w14:paraId="142B624E">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5F67109E">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0FF565C7">
            <w:pPr>
              <w:spacing w:line="266" w:lineRule="auto"/>
              <w:rPr>
                <w:rFonts w:hint="eastAsia" w:ascii="宋体" w:hAnsi="宋体" w:eastAsia="宋体" w:cs="Courier New"/>
                <w:sz w:val="24"/>
                <w:szCs w:val="21"/>
                <w:highlight w:val="none"/>
              </w:rPr>
            </w:pPr>
            <w:r>
              <w:rPr>
                <w:rFonts w:ascii="宋体" w:hAnsi="宋体" w:eastAsia="宋体" w:cs="Courier New"/>
                <w:sz w:val="24"/>
                <w:szCs w:val="21"/>
                <w:highlight w:val="none"/>
              </w:rPr>
              <w:t>无行贿查询结果或承诺</w:t>
            </w:r>
          </w:p>
        </w:tc>
        <w:tc>
          <w:tcPr>
            <w:tcW w:w="5603" w:type="dxa"/>
            <w:tcBorders>
              <w:top w:val="single" w:color="auto" w:sz="4" w:space="0"/>
              <w:left w:val="nil"/>
              <w:bottom w:val="single" w:color="auto" w:sz="4" w:space="0"/>
              <w:right w:val="single" w:color="auto" w:sz="4" w:space="0"/>
            </w:tcBorders>
            <w:vAlign w:val="center"/>
          </w:tcPr>
          <w:p w14:paraId="544E37BE">
            <w:pPr>
              <w:adjustRightInd w:val="0"/>
              <w:spacing w:line="360" w:lineRule="auto"/>
              <w:jc w:val="left"/>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详见第二章“供应商须知前附表”的规定</w:t>
            </w:r>
          </w:p>
        </w:tc>
      </w:tr>
      <w:tr w14:paraId="245D3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45" w:type="dxa"/>
            <w:vMerge w:val="continue"/>
            <w:tcBorders>
              <w:left w:val="single" w:color="auto" w:sz="4" w:space="0"/>
              <w:right w:val="single" w:color="auto" w:sz="4" w:space="0"/>
            </w:tcBorders>
            <w:vAlign w:val="center"/>
          </w:tcPr>
          <w:p w14:paraId="153B5F22">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21BD4816">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75833853">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无商业贿赂及无不正当竞争行为承诺书</w:t>
            </w:r>
          </w:p>
        </w:tc>
        <w:tc>
          <w:tcPr>
            <w:tcW w:w="5603" w:type="dxa"/>
            <w:tcBorders>
              <w:top w:val="single" w:color="auto" w:sz="4" w:space="0"/>
              <w:left w:val="nil"/>
              <w:bottom w:val="single" w:color="auto" w:sz="4" w:space="0"/>
              <w:right w:val="single" w:color="auto" w:sz="4" w:space="0"/>
            </w:tcBorders>
            <w:vAlign w:val="center"/>
          </w:tcPr>
          <w:p w14:paraId="4614BB2B">
            <w:pPr>
              <w:adjustRightInd w:val="0"/>
              <w:spacing w:line="360" w:lineRule="auto"/>
              <w:jc w:val="left"/>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详见第二章“供应商须知前附表”的规定</w:t>
            </w:r>
          </w:p>
        </w:tc>
      </w:tr>
      <w:tr w14:paraId="2C0D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45" w:type="dxa"/>
            <w:vMerge w:val="continue"/>
            <w:tcBorders>
              <w:left w:val="single" w:color="auto" w:sz="4" w:space="0"/>
              <w:right w:val="single" w:color="auto" w:sz="4" w:space="0"/>
            </w:tcBorders>
            <w:vAlign w:val="center"/>
          </w:tcPr>
          <w:p w14:paraId="26901E70">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01EC8396">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6980BD40">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“信用中国”、“中国政府采购网”查询结果</w:t>
            </w:r>
          </w:p>
        </w:tc>
        <w:tc>
          <w:tcPr>
            <w:tcW w:w="5603" w:type="dxa"/>
            <w:tcBorders>
              <w:top w:val="single" w:color="auto" w:sz="4" w:space="0"/>
              <w:left w:val="nil"/>
              <w:bottom w:val="single" w:color="auto" w:sz="4" w:space="0"/>
              <w:right w:val="single" w:color="auto" w:sz="4" w:space="0"/>
            </w:tcBorders>
            <w:vAlign w:val="center"/>
          </w:tcPr>
          <w:p w14:paraId="0AE91D18">
            <w:pPr>
              <w:adjustRightInd w:val="0"/>
              <w:spacing w:line="360" w:lineRule="auto"/>
              <w:jc w:val="left"/>
              <w:textAlignment w:val="baseline"/>
              <w:rPr>
                <w:rFonts w:hint="eastAsia" w:ascii="宋体" w:hAnsi="宋体" w:eastAsia="宋体" w:cs="宋体"/>
                <w:sz w:val="24"/>
                <w:szCs w:val="21"/>
                <w:highlight w:val="none"/>
                <w:lang w:val="zh-CN"/>
              </w:rPr>
            </w:pPr>
            <w:r>
              <w:rPr>
                <w:rFonts w:hint="eastAsia" w:ascii="宋体" w:hAnsi="宋体" w:eastAsia="宋体" w:cs="宋体"/>
                <w:sz w:val="24"/>
                <w:szCs w:val="21"/>
                <w:highlight w:val="none"/>
              </w:rPr>
              <w:t>详见第二章“供应商须知前附表”的规定</w:t>
            </w:r>
          </w:p>
        </w:tc>
      </w:tr>
      <w:tr w14:paraId="119C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45" w:type="dxa"/>
            <w:vMerge w:val="continue"/>
            <w:tcBorders>
              <w:left w:val="single" w:color="auto" w:sz="4" w:space="0"/>
              <w:right w:val="single" w:color="auto" w:sz="4" w:space="0"/>
            </w:tcBorders>
            <w:vAlign w:val="center"/>
          </w:tcPr>
          <w:p w14:paraId="27B907DC">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006F3A99">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4627B17C">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“国家企业信用信息公示系统”查询结果</w:t>
            </w:r>
          </w:p>
        </w:tc>
        <w:tc>
          <w:tcPr>
            <w:tcW w:w="5603" w:type="dxa"/>
            <w:tcBorders>
              <w:top w:val="single" w:color="auto" w:sz="4" w:space="0"/>
              <w:left w:val="nil"/>
              <w:bottom w:val="single" w:color="auto" w:sz="4" w:space="0"/>
              <w:right w:val="single" w:color="auto" w:sz="4" w:space="0"/>
            </w:tcBorders>
            <w:vAlign w:val="center"/>
          </w:tcPr>
          <w:p w14:paraId="7BD0BAD6">
            <w:pPr>
              <w:adjustRightInd w:val="0"/>
              <w:spacing w:line="360" w:lineRule="auto"/>
              <w:jc w:val="left"/>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详见第二章“供应商须知前附表”的规定</w:t>
            </w:r>
          </w:p>
        </w:tc>
      </w:tr>
      <w:tr w14:paraId="6FC9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45" w:type="dxa"/>
            <w:vMerge w:val="continue"/>
            <w:tcBorders>
              <w:left w:val="single" w:color="auto" w:sz="4" w:space="0"/>
              <w:right w:val="single" w:color="auto" w:sz="4" w:space="0"/>
            </w:tcBorders>
            <w:vAlign w:val="center"/>
          </w:tcPr>
          <w:p w14:paraId="3EA9AAEC">
            <w:pPr>
              <w:spacing w:line="360" w:lineRule="auto"/>
              <w:jc w:val="center"/>
              <w:rPr>
                <w:rFonts w:hint="eastAsia" w:ascii="宋体" w:hAnsi="宋体" w:eastAsia="宋体" w:cs="Courier New"/>
                <w:sz w:val="24"/>
                <w:szCs w:val="21"/>
                <w:highlight w:val="none"/>
              </w:rPr>
            </w:pPr>
          </w:p>
        </w:tc>
        <w:tc>
          <w:tcPr>
            <w:tcW w:w="1024" w:type="dxa"/>
            <w:vMerge w:val="restart"/>
            <w:tcBorders>
              <w:top w:val="nil"/>
              <w:left w:val="nil"/>
              <w:bottom w:val="single" w:color="auto" w:sz="4" w:space="0"/>
              <w:right w:val="single" w:color="auto" w:sz="4" w:space="0"/>
            </w:tcBorders>
            <w:vAlign w:val="center"/>
          </w:tcPr>
          <w:p w14:paraId="714C99C4">
            <w:pPr>
              <w:spacing w:line="360" w:lineRule="auto"/>
              <w:jc w:val="center"/>
              <w:rPr>
                <w:rFonts w:hint="eastAsia" w:ascii="宋体" w:hAnsi="宋体" w:eastAsia="宋体" w:cs="Courier New"/>
                <w:sz w:val="24"/>
                <w:szCs w:val="21"/>
                <w:highlight w:val="none"/>
                <w:lang w:eastAsia="zh-CN"/>
              </w:rPr>
            </w:pPr>
            <w:r>
              <w:rPr>
                <w:rFonts w:hint="eastAsia" w:ascii="宋体" w:hAnsi="宋体" w:eastAsia="宋体" w:cs="Courier New"/>
                <w:sz w:val="24"/>
                <w:szCs w:val="21"/>
                <w:highlight w:val="none"/>
                <w:lang w:val="en-US" w:eastAsia="zh-CN"/>
              </w:rPr>
              <w:t>实质性</w:t>
            </w:r>
          </w:p>
          <w:p w14:paraId="75820961">
            <w:pPr>
              <w:spacing w:line="360" w:lineRule="auto"/>
              <w:jc w:val="both"/>
              <w:rPr>
                <w:rFonts w:hint="eastAsia" w:ascii="宋体" w:hAnsi="宋体" w:eastAsia="宋体" w:cs="Courier New"/>
                <w:sz w:val="24"/>
                <w:szCs w:val="21"/>
                <w:highlight w:val="none"/>
              </w:rPr>
            </w:pPr>
            <w:r>
              <w:rPr>
                <w:rFonts w:hint="eastAsia" w:ascii="宋体" w:hAnsi="宋体" w:eastAsia="宋体" w:cs="Courier New"/>
                <w:sz w:val="24"/>
                <w:szCs w:val="21"/>
                <w:highlight w:val="none"/>
              </w:rPr>
              <w:t>评审标</w:t>
            </w:r>
          </w:p>
          <w:p w14:paraId="18AED257">
            <w:pPr>
              <w:spacing w:line="360" w:lineRule="auto"/>
              <w:jc w:val="both"/>
              <w:rPr>
                <w:rFonts w:hint="eastAsia" w:ascii="宋体" w:hAnsi="宋体" w:eastAsia="宋体" w:cs="Courier New"/>
                <w:sz w:val="24"/>
                <w:szCs w:val="21"/>
                <w:highlight w:val="none"/>
              </w:rPr>
            </w:pPr>
            <w:r>
              <w:rPr>
                <w:rFonts w:hint="eastAsia" w:ascii="宋体" w:hAnsi="宋体" w:eastAsia="宋体" w:cs="Courier New"/>
                <w:sz w:val="24"/>
                <w:szCs w:val="21"/>
                <w:highlight w:val="none"/>
              </w:rPr>
              <w:t>准</w:t>
            </w:r>
          </w:p>
        </w:tc>
        <w:tc>
          <w:tcPr>
            <w:tcW w:w="2647" w:type="dxa"/>
            <w:tcBorders>
              <w:top w:val="single" w:color="auto" w:sz="4" w:space="0"/>
              <w:left w:val="nil"/>
              <w:bottom w:val="single" w:color="auto" w:sz="4" w:space="0"/>
              <w:right w:val="single" w:color="auto" w:sz="4" w:space="0"/>
            </w:tcBorders>
            <w:vAlign w:val="center"/>
          </w:tcPr>
          <w:p w14:paraId="05C81014">
            <w:pPr>
              <w:adjustRightInd w:val="0"/>
              <w:spacing w:line="360" w:lineRule="auto"/>
              <w:jc w:val="center"/>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供货期</w:t>
            </w:r>
          </w:p>
        </w:tc>
        <w:tc>
          <w:tcPr>
            <w:tcW w:w="5603" w:type="dxa"/>
            <w:tcBorders>
              <w:top w:val="single" w:color="auto" w:sz="4" w:space="0"/>
              <w:left w:val="nil"/>
              <w:bottom w:val="single" w:color="auto" w:sz="4" w:space="0"/>
              <w:right w:val="single" w:color="auto" w:sz="4" w:space="0"/>
            </w:tcBorders>
            <w:vAlign w:val="center"/>
          </w:tcPr>
          <w:p w14:paraId="671D72C8">
            <w:pPr>
              <w:adjustRightInd w:val="0"/>
              <w:spacing w:line="360" w:lineRule="auto"/>
              <w:jc w:val="left"/>
              <w:textAlignment w:val="baseline"/>
              <w:rPr>
                <w:rFonts w:hint="eastAsia" w:ascii="宋体" w:hAnsi="宋体" w:eastAsia="宋体" w:cs="宋体"/>
                <w:sz w:val="24"/>
                <w:szCs w:val="21"/>
                <w:highlight w:val="none"/>
                <w:lang w:val="zh-CN"/>
              </w:rPr>
            </w:pPr>
            <w:r>
              <w:rPr>
                <w:rFonts w:hint="eastAsia" w:ascii="宋体" w:hAnsi="宋体" w:eastAsia="宋体" w:cs="宋体"/>
                <w:sz w:val="24"/>
                <w:szCs w:val="21"/>
                <w:highlight w:val="none"/>
              </w:rPr>
              <w:t>详见第二章“供应商须知前附表”的规定</w:t>
            </w:r>
          </w:p>
        </w:tc>
      </w:tr>
      <w:tr w14:paraId="2461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45" w:type="dxa"/>
            <w:vMerge w:val="continue"/>
            <w:tcBorders>
              <w:left w:val="single" w:color="auto" w:sz="4" w:space="0"/>
              <w:right w:val="single" w:color="auto" w:sz="4" w:space="0"/>
            </w:tcBorders>
            <w:vAlign w:val="center"/>
          </w:tcPr>
          <w:p w14:paraId="16B25F58">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54007E1F">
            <w:pPr>
              <w:spacing w:line="360" w:lineRule="auto"/>
              <w:jc w:val="center"/>
              <w:rPr>
                <w:rFonts w:hint="eastAsia" w:ascii="宋体" w:hAnsi="宋体" w:eastAsia="宋体" w:cs="Courier New"/>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31F34C38">
            <w:pPr>
              <w:adjustRightInd w:val="0"/>
              <w:spacing w:line="360" w:lineRule="auto"/>
              <w:jc w:val="center"/>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质保期</w:t>
            </w:r>
          </w:p>
        </w:tc>
        <w:tc>
          <w:tcPr>
            <w:tcW w:w="5603" w:type="dxa"/>
            <w:tcBorders>
              <w:top w:val="single" w:color="auto" w:sz="4" w:space="0"/>
              <w:left w:val="nil"/>
              <w:bottom w:val="single" w:color="auto" w:sz="4" w:space="0"/>
              <w:right w:val="single" w:color="auto" w:sz="4" w:space="0"/>
            </w:tcBorders>
            <w:vAlign w:val="center"/>
          </w:tcPr>
          <w:p w14:paraId="5DBFDBD4">
            <w:pPr>
              <w:adjustRightInd w:val="0"/>
              <w:spacing w:line="360" w:lineRule="auto"/>
              <w:jc w:val="left"/>
              <w:textAlignment w:val="baseline"/>
              <w:rPr>
                <w:rFonts w:hint="eastAsia" w:ascii="宋体" w:hAnsi="宋体" w:eastAsia="宋体" w:cs="宋体"/>
                <w:sz w:val="24"/>
                <w:szCs w:val="21"/>
                <w:highlight w:val="none"/>
                <w:lang w:val="zh-CN"/>
              </w:rPr>
            </w:pPr>
            <w:r>
              <w:rPr>
                <w:rFonts w:hint="eastAsia" w:ascii="宋体" w:hAnsi="宋体" w:eastAsia="宋体" w:cs="宋体"/>
                <w:sz w:val="24"/>
                <w:szCs w:val="21"/>
                <w:highlight w:val="none"/>
              </w:rPr>
              <w:t>详见第二章“供应商须知前附表”的规定</w:t>
            </w:r>
          </w:p>
        </w:tc>
      </w:tr>
      <w:tr w14:paraId="1709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45" w:type="dxa"/>
            <w:vMerge w:val="continue"/>
            <w:tcBorders>
              <w:left w:val="single" w:color="auto" w:sz="4" w:space="0"/>
              <w:right w:val="single" w:color="auto" w:sz="4" w:space="0"/>
            </w:tcBorders>
            <w:vAlign w:val="center"/>
          </w:tcPr>
          <w:p w14:paraId="43A9A85F">
            <w:pPr>
              <w:widowControl/>
              <w:jc w:val="left"/>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5EAD1AFA">
            <w:pPr>
              <w:widowControl/>
              <w:jc w:val="left"/>
              <w:rPr>
                <w:rFonts w:hint="eastAsia" w:ascii="宋体" w:hAnsi="宋体" w:eastAsia="宋体" w:cs="Courier New"/>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31F0DA30">
            <w:pPr>
              <w:adjustRightInd w:val="0"/>
              <w:spacing w:line="360" w:lineRule="auto"/>
              <w:jc w:val="center"/>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质量要求</w:t>
            </w:r>
          </w:p>
        </w:tc>
        <w:tc>
          <w:tcPr>
            <w:tcW w:w="5603" w:type="dxa"/>
            <w:tcBorders>
              <w:top w:val="single" w:color="auto" w:sz="4" w:space="0"/>
              <w:left w:val="nil"/>
              <w:bottom w:val="single" w:color="auto" w:sz="4" w:space="0"/>
              <w:right w:val="single" w:color="auto" w:sz="4" w:space="0"/>
            </w:tcBorders>
            <w:vAlign w:val="center"/>
          </w:tcPr>
          <w:p w14:paraId="7FEF3674">
            <w:pPr>
              <w:adjustRightInd w:val="0"/>
              <w:spacing w:line="360" w:lineRule="auto"/>
              <w:jc w:val="left"/>
              <w:textAlignment w:val="baseline"/>
              <w:rPr>
                <w:rFonts w:hint="eastAsia" w:ascii="宋体" w:hAnsi="宋体" w:eastAsia="宋体" w:cs="宋体"/>
                <w:sz w:val="24"/>
                <w:szCs w:val="21"/>
                <w:highlight w:val="none"/>
                <w:lang w:val="zh-CN"/>
              </w:rPr>
            </w:pPr>
            <w:r>
              <w:rPr>
                <w:rFonts w:hint="eastAsia" w:ascii="宋体" w:hAnsi="宋体" w:eastAsia="宋体" w:cs="宋体"/>
                <w:sz w:val="24"/>
                <w:szCs w:val="21"/>
                <w:highlight w:val="none"/>
              </w:rPr>
              <w:t>详见第二章“供应商须知前附表”的规定</w:t>
            </w:r>
          </w:p>
        </w:tc>
      </w:tr>
      <w:tr w14:paraId="3C1D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jc w:val="center"/>
        </w:trPr>
        <w:tc>
          <w:tcPr>
            <w:tcW w:w="545" w:type="dxa"/>
            <w:vMerge w:val="continue"/>
            <w:tcBorders>
              <w:left w:val="single" w:color="auto" w:sz="4" w:space="0"/>
              <w:right w:val="single" w:color="auto" w:sz="4" w:space="0"/>
            </w:tcBorders>
            <w:vAlign w:val="center"/>
          </w:tcPr>
          <w:p w14:paraId="50DA70A5">
            <w:pPr>
              <w:widowControl/>
              <w:jc w:val="left"/>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67204367">
            <w:pPr>
              <w:widowControl/>
              <w:jc w:val="left"/>
              <w:rPr>
                <w:rFonts w:hint="eastAsia" w:ascii="宋体" w:hAnsi="宋体" w:eastAsia="宋体" w:cs="Courier New"/>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5BC6C1F9">
            <w:pPr>
              <w:adjustRightInd w:val="0"/>
              <w:spacing w:line="360" w:lineRule="auto"/>
              <w:jc w:val="center"/>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投标有效期</w:t>
            </w:r>
          </w:p>
        </w:tc>
        <w:tc>
          <w:tcPr>
            <w:tcW w:w="5603" w:type="dxa"/>
            <w:tcBorders>
              <w:top w:val="single" w:color="auto" w:sz="4" w:space="0"/>
              <w:left w:val="nil"/>
              <w:bottom w:val="single" w:color="auto" w:sz="4" w:space="0"/>
              <w:right w:val="single" w:color="auto" w:sz="4" w:space="0"/>
            </w:tcBorders>
            <w:vAlign w:val="center"/>
          </w:tcPr>
          <w:p w14:paraId="730C5B73">
            <w:pPr>
              <w:adjustRightInd w:val="0"/>
              <w:spacing w:line="360" w:lineRule="auto"/>
              <w:jc w:val="left"/>
              <w:textAlignment w:val="baseline"/>
              <w:rPr>
                <w:rFonts w:hint="eastAsia" w:ascii="宋体" w:hAnsi="宋体" w:eastAsia="宋体" w:cs="宋体"/>
                <w:sz w:val="24"/>
                <w:szCs w:val="21"/>
                <w:highlight w:val="none"/>
                <w:lang w:val="zh-CN"/>
              </w:rPr>
            </w:pPr>
            <w:r>
              <w:rPr>
                <w:rFonts w:hint="eastAsia" w:ascii="宋体" w:hAnsi="宋体" w:eastAsia="宋体" w:cs="宋体"/>
                <w:sz w:val="24"/>
                <w:szCs w:val="21"/>
                <w:highlight w:val="none"/>
              </w:rPr>
              <w:t>详见第二章“供应商须知前附表”的规定</w:t>
            </w:r>
          </w:p>
        </w:tc>
      </w:tr>
    </w:tbl>
    <w:p w14:paraId="48CCE835">
      <w:pPr>
        <w:widowControl/>
        <w:spacing w:line="400" w:lineRule="exact"/>
        <w:rPr>
          <w:rFonts w:hint="eastAsia" w:ascii="宋体" w:hAnsi="宋体" w:cs="Calibri"/>
          <w:b/>
          <w:bCs/>
          <w:kern w:val="0"/>
          <w:sz w:val="24"/>
          <w:highlight w:val="none"/>
        </w:rPr>
      </w:pPr>
    </w:p>
    <w:p w14:paraId="77F5267F">
      <w:pPr>
        <w:widowControl/>
        <w:jc w:val="left"/>
        <w:rPr>
          <w:rFonts w:hint="eastAsia" w:ascii="宋体" w:hAnsi="宋体" w:cs="Calibri"/>
          <w:b/>
          <w:bCs/>
          <w:kern w:val="0"/>
          <w:sz w:val="24"/>
          <w:highlight w:val="none"/>
        </w:rPr>
      </w:pPr>
      <w:r>
        <w:rPr>
          <w:rFonts w:ascii="宋体" w:hAnsi="宋体" w:cs="Calibri"/>
          <w:b/>
          <w:bCs/>
          <w:kern w:val="0"/>
          <w:sz w:val="24"/>
          <w:highlight w:val="none"/>
        </w:rPr>
        <w:br w:type="page"/>
      </w:r>
    </w:p>
    <w:p w14:paraId="12D2CFE6">
      <w:pPr>
        <w:widowControl/>
        <w:spacing w:line="400" w:lineRule="exact"/>
        <w:jc w:val="left"/>
        <w:rPr>
          <w:rFonts w:hint="eastAsia" w:ascii="宋体" w:hAnsi="宋体" w:cs="Calibri"/>
          <w:b/>
          <w:bCs/>
          <w:sz w:val="24"/>
          <w:highlight w:val="none"/>
        </w:rPr>
      </w:pPr>
      <w:r>
        <w:rPr>
          <w:rFonts w:hint="eastAsia" w:ascii="宋体" w:hAnsi="宋体" w:cs="Calibri"/>
          <w:b/>
          <w:bCs/>
          <w:kern w:val="0"/>
          <w:sz w:val="24"/>
          <w:highlight w:val="none"/>
        </w:rPr>
        <w:t>二、详细审查：</w:t>
      </w:r>
    </w:p>
    <w:p w14:paraId="3C7E647A">
      <w:pPr>
        <w:widowControl/>
        <w:rPr>
          <w:rFonts w:hint="eastAsia" w:ascii="宋体" w:hAnsi="宋体" w:eastAsia="宋体" w:cs="宋体"/>
          <w:sz w:val="24"/>
          <w:szCs w:val="32"/>
          <w:highlight w:val="none"/>
        </w:rPr>
      </w:pPr>
      <w:bookmarkStart w:id="197" w:name="_Toc512514899"/>
      <w:bookmarkEnd w:id="197"/>
      <w:bookmarkStart w:id="198" w:name="_Toc16770583"/>
      <w:bookmarkEnd w:id="198"/>
      <w:bookmarkStart w:id="199" w:name="_Toc517179004"/>
      <w:bookmarkEnd w:id="199"/>
      <w:bookmarkStart w:id="200" w:name="_Toc528078063"/>
      <w:bookmarkEnd w:id="200"/>
      <w:bookmarkStart w:id="201" w:name="_Toc13219"/>
      <w:bookmarkStart w:id="202" w:name="_Toc43302814"/>
      <w:r>
        <w:rPr>
          <w:rFonts w:hint="eastAsia" w:ascii="宋体" w:hAnsi="宋体" w:eastAsia="宋体" w:cs="宋体"/>
          <w:sz w:val="24"/>
          <w:szCs w:val="32"/>
          <w:highlight w:val="none"/>
        </w:rPr>
        <w:t>评分标准</w:t>
      </w:r>
      <w:bookmarkEnd w:id="201"/>
      <w:bookmarkEnd w:id="202"/>
    </w:p>
    <w:p w14:paraId="57E15F74">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分值构成(总分100分) 报价分：30分；技术分：50分；商务分：20分；</w:t>
      </w:r>
    </w:p>
    <w:p w14:paraId="7C17DBC0">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综合得分按公式计算：综合得分=报价得分＋技术得分＋商务得分；</w:t>
      </w:r>
    </w:p>
    <w:tbl>
      <w:tblPr>
        <w:tblStyle w:val="24"/>
        <w:tblpPr w:leftFromText="180" w:rightFromText="180" w:vertAnchor="text" w:horzAnchor="page" w:tblpXSpec="center" w:tblpY="460"/>
        <w:tblOverlap w:val="never"/>
        <w:tblW w:w="97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1232"/>
        <w:gridCol w:w="749"/>
        <w:gridCol w:w="6426"/>
      </w:tblGrid>
      <w:tr w14:paraId="592F1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tcBorders>
              <w:top w:val="single" w:color="auto" w:sz="4" w:space="0"/>
              <w:left w:val="single" w:color="auto" w:sz="4" w:space="0"/>
              <w:bottom w:val="single" w:color="auto" w:sz="4" w:space="0"/>
              <w:right w:val="single" w:color="auto" w:sz="4" w:space="0"/>
            </w:tcBorders>
          </w:tcPr>
          <w:p w14:paraId="3A564332">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评分项</w:t>
            </w:r>
          </w:p>
        </w:tc>
        <w:tc>
          <w:tcPr>
            <w:tcW w:w="1232" w:type="dxa"/>
            <w:tcBorders>
              <w:top w:val="single" w:color="auto" w:sz="4" w:space="0"/>
              <w:left w:val="nil"/>
              <w:bottom w:val="single" w:color="auto" w:sz="4" w:space="0"/>
              <w:right w:val="single" w:color="auto" w:sz="4" w:space="0"/>
            </w:tcBorders>
          </w:tcPr>
          <w:p w14:paraId="1A5CA51D">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评审内容</w:t>
            </w:r>
          </w:p>
        </w:tc>
        <w:tc>
          <w:tcPr>
            <w:tcW w:w="749" w:type="dxa"/>
            <w:tcBorders>
              <w:top w:val="single" w:color="auto" w:sz="4" w:space="0"/>
              <w:left w:val="nil"/>
              <w:bottom w:val="single" w:color="auto" w:sz="4" w:space="0"/>
              <w:right w:val="single" w:color="auto" w:sz="4" w:space="0"/>
            </w:tcBorders>
          </w:tcPr>
          <w:p w14:paraId="6F371C1B">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分值</w:t>
            </w:r>
          </w:p>
        </w:tc>
        <w:tc>
          <w:tcPr>
            <w:tcW w:w="6426" w:type="dxa"/>
            <w:tcBorders>
              <w:top w:val="single" w:color="auto" w:sz="4" w:space="0"/>
              <w:left w:val="nil"/>
              <w:bottom w:val="single" w:color="auto" w:sz="4" w:space="0"/>
              <w:right w:val="single" w:color="auto" w:sz="4" w:space="0"/>
            </w:tcBorders>
          </w:tcPr>
          <w:p w14:paraId="303E1818">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评分准则</w:t>
            </w:r>
          </w:p>
        </w:tc>
      </w:tr>
      <w:tr w14:paraId="40C6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14:paraId="7E1C68AD">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报价</w:t>
            </w:r>
          </w:p>
          <w:p w14:paraId="22E89F2C">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（30分）</w:t>
            </w:r>
          </w:p>
        </w:tc>
        <w:tc>
          <w:tcPr>
            <w:tcW w:w="1981" w:type="dxa"/>
            <w:gridSpan w:val="2"/>
            <w:tcBorders>
              <w:top w:val="single" w:color="auto" w:sz="4" w:space="0"/>
              <w:left w:val="nil"/>
              <w:bottom w:val="single" w:color="auto" w:sz="4" w:space="0"/>
              <w:right w:val="single" w:color="auto" w:sz="4" w:space="0"/>
            </w:tcBorders>
            <w:vAlign w:val="center"/>
          </w:tcPr>
          <w:p w14:paraId="512F2B3B">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投标报价（30分）</w:t>
            </w:r>
          </w:p>
        </w:tc>
        <w:tc>
          <w:tcPr>
            <w:tcW w:w="6426" w:type="dxa"/>
            <w:tcBorders>
              <w:top w:val="single" w:color="auto" w:sz="4" w:space="0"/>
              <w:left w:val="nil"/>
              <w:bottom w:val="single" w:color="auto" w:sz="4" w:space="0"/>
              <w:right w:val="single" w:color="auto" w:sz="4" w:space="0"/>
            </w:tcBorders>
          </w:tcPr>
          <w:p w14:paraId="7D25A3B1">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（1）本项目</w:t>
            </w:r>
            <w:r>
              <w:rPr>
                <w:rFonts w:hint="eastAsia" w:ascii="宋体" w:hAnsi="宋体" w:eastAsia="宋体" w:cs="宋体"/>
                <w:color w:val="auto"/>
                <w:kern w:val="0"/>
                <w:sz w:val="24"/>
                <w:szCs w:val="24"/>
                <w:highlight w:val="none"/>
                <w:lang w:val="en-US" w:eastAsia="zh-CN"/>
              </w:rPr>
              <w:t>投标人投标</w:t>
            </w:r>
            <w:r>
              <w:rPr>
                <w:rFonts w:hint="eastAsia" w:ascii="宋体" w:hAnsi="宋体" w:eastAsia="宋体" w:cs="宋体"/>
                <w:color w:val="auto"/>
                <w:kern w:val="0"/>
                <w:sz w:val="24"/>
                <w:szCs w:val="24"/>
                <w:highlight w:val="none"/>
              </w:rPr>
              <w:t>报价超出预算金额的，采购人不予接受，且报价无效；</w:t>
            </w:r>
          </w:p>
          <w:p w14:paraId="2033E9A0">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（2）有效报价计算得分：有效报价范围内，满足</w:t>
            </w:r>
            <w:r>
              <w:rPr>
                <w:rFonts w:hint="eastAsia" w:ascii="宋体" w:hAnsi="宋体" w:eastAsia="宋体" w:cs="宋体"/>
                <w:color w:val="auto"/>
                <w:kern w:val="0"/>
                <w:sz w:val="24"/>
                <w:szCs w:val="24"/>
                <w:highlight w:val="none"/>
                <w:lang w:eastAsia="zh-CN"/>
              </w:rPr>
              <w:t>磋商文件</w:t>
            </w:r>
            <w:r>
              <w:rPr>
                <w:rFonts w:hint="eastAsia" w:ascii="宋体" w:hAnsi="宋体" w:eastAsia="宋体" w:cs="宋体"/>
                <w:color w:val="auto"/>
                <w:kern w:val="0"/>
                <w:sz w:val="24"/>
                <w:szCs w:val="24"/>
                <w:highlight w:val="none"/>
              </w:rPr>
              <w:t>初步评审要求且</w:t>
            </w:r>
            <w:r>
              <w:rPr>
                <w:rFonts w:hint="eastAsia" w:ascii="宋体" w:hAnsi="宋体" w:eastAsia="宋体" w:cs="宋体"/>
                <w:color w:val="auto"/>
                <w:kern w:val="0"/>
                <w:sz w:val="24"/>
                <w:szCs w:val="24"/>
                <w:highlight w:val="none"/>
                <w:lang w:val="en-US" w:eastAsia="zh-CN"/>
              </w:rPr>
              <w:t>投标人</w:t>
            </w:r>
            <w:r>
              <w:rPr>
                <w:rFonts w:hint="eastAsia" w:ascii="宋体" w:hAnsi="宋体" w:eastAsia="宋体" w:cs="宋体"/>
                <w:color w:val="auto"/>
                <w:kern w:val="0"/>
                <w:sz w:val="24"/>
                <w:szCs w:val="24"/>
                <w:highlight w:val="none"/>
              </w:rPr>
              <w:t>报价最低的</w:t>
            </w:r>
            <w:r>
              <w:rPr>
                <w:rFonts w:hint="eastAsia" w:ascii="宋体" w:hAnsi="宋体" w:eastAsia="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rPr>
              <w:t>为</w:t>
            </w:r>
            <w:r>
              <w:rPr>
                <w:rFonts w:hint="eastAsia" w:ascii="宋体" w:hAnsi="宋体" w:eastAsia="宋体" w:cs="宋体"/>
                <w:color w:val="auto"/>
                <w:kern w:val="0"/>
                <w:sz w:val="24"/>
                <w:szCs w:val="24"/>
                <w:highlight w:val="none"/>
                <w:lang w:val="en-US" w:eastAsia="zh-CN"/>
              </w:rPr>
              <w:t>评标</w:t>
            </w:r>
            <w:r>
              <w:rPr>
                <w:rFonts w:hint="eastAsia" w:ascii="宋体" w:hAnsi="宋体" w:eastAsia="宋体" w:cs="宋体"/>
                <w:color w:val="auto"/>
                <w:kern w:val="0"/>
                <w:sz w:val="24"/>
                <w:szCs w:val="24"/>
                <w:highlight w:val="none"/>
              </w:rPr>
              <w:t>基准价，其价格分为满分30分，其他</w:t>
            </w:r>
            <w:r>
              <w:rPr>
                <w:rFonts w:hint="eastAsia" w:ascii="宋体" w:hAnsi="宋体" w:eastAsia="宋体" w:cs="宋体"/>
                <w:color w:val="auto"/>
                <w:kern w:val="0"/>
                <w:sz w:val="24"/>
                <w:szCs w:val="24"/>
                <w:highlight w:val="none"/>
                <w:lang w:val="en-US" w:eastAsia="zh-CN"/>
              </w:rPr>
              <w:t>投标人</w:t>
            </w:r>
            <w:r>
              <w:rPr>
                <w:rFonts w:hint="eastAsia" w:ascii="宋体" w:hAnsi="宋体" w:eastAsia="宋体" w:cs="宋体"/>
                <w:color w:val="auto"/>
                <w:kern w:val="0"/>
                <w:sz w:val="24"/>
                <w:szCs w:val="24"/>
                <w:highlight w:val="none"/>
              </w:rPr>
              <w:t>的报价分按照下列公式计算：</w:t>
            </w:r>
          </w:p>
          <w:p w14:paraId="167DADA1">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报价得分=(评标基准价/投标报价)×30</w:t>
            </w:r>
          </w:p>
          <w:p w14:paraId="372462F7">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分值计算保留两位小数。</w:t>
            </w:r>
          </w:p>
          <w:p w14:paraId="31187FB2">
            <w:pPr>
              <w:widowControl/>
              <w:spacing w:line="360" w:lineRule="auto"/>
              <w:rPr>
                <w:rFonts w:ascii="宋体" w:hAnsi="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rPr>
              <w:t>如磋商小组一致认为最低报价明显不合理，有降低质量、不能诚信履约的可能时，磋商小组有权通知供应商进行解释。如供应商未能在规定期限内作出解释，或所作解释不合理，经磋商小组取得一致意见后，对该供应商将不予推荐。</w:t>
            </w:r>
          </w:p>
          <w:p w14:paraId="0FBD2D58">
            <w:pPr>
              <w:widowControl/>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3</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 xml:space="preserve">价格扣除： </w:t>
            </w:r>
          </w:p>
          <w:p w14:paraId="3962E90C">
            <w:pPr>
              <w:widowControl/>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1.</w:t>
            </w:r>
            <w:r>
              <w:rPr>
                <w:rFonts w:hint="eastAsia" w:ascii="宋体" w:hAnsi="宋体" w:cs="宋体"/>
                <w:color w:val="auto"/>
                <w:kern w:val="0"/>
                <w:sz w:val="24"/>
                <w:szCs w:val="24"/>
                <w:highlight w:val="none"/>
              </w:rPr>
              <w:t>根据《政府采购促进中小企业发展管理办法》（财库﹝2020﹞46 号）及《关于进一步加大政府采购支持中小企业力度的通知》(财库﹝2022﹞19号)的规定，对小型、微型企业产品的价格给予10%～20%的扣除，本项目小型、微型企业按20%扣除。对于中型企业产品的价格不予扣除。</w:t>
            </w:r>
          </w:p>
          <w:p w14:paraId="5F26DEA8">
            <w:pPr>
              <w:widowControl/>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所投小微企业产品报价=所投小微企业产品报价×（1-20%）</w:t>
            </w:r>
          </w:p>
          <w:p w14:paraId="42B00513">
            <w:pPr>
              <w:widowControl/>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rPr>
              <w:t>根据财政部司法部《关于政府采购支持监狱企业发展有关问题的通知》（财库〔2014〕68号）规定，对于监狱企业视同为小型、微型企业，价格给予20%的扣除。</w:t>
            </w:r>
          </w:p>
          <w:p w14:paraId="7521B949">
            <w:pPr>
              <w:widowControl/>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所投监狱企业产品报价=所投监狱企业产品报价×（1-20%）</w:t>
            </w:r>
          </w:p>
          <w:p w14:paraId="70373244">
            <w:pPr>
              <w:widowControl/>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3.</w:t>
            </w:r>
            <w:r>
              <w:rPr>
                <w:rFonts w:hint="eastAsia" w:ascii="宋体" w:hAnsi="宋体" w:cs="宋体"/>
                <w:color w:val="auto"/>
                <w:kern w:val="0"/>
                <w:sz w:val="24"/>
                <w:szCs w:val="24"/>
                <w:highlight w:val="none"/>
              </w:rPr>
              <w:t>根据财政部民政部中国残疾人联合会《关于促进残疾人就业政府采购政策的通知》（财库〔2017〕141号）规定，对于残疾人福利性单位视同为小型、微型企业，价格给予20%的扣除。</w:t>
            </w:r>
          </w:p>
          <w:p w14:paraId="0E728418">
            <w:pPr>
              <w:widowControl/>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所投残疾人福利性单位企业产品报价=所投残疾人福利性单位企业产品报价×（1-20%）</w:t>
            </w:r>
          </w:p>
          <w:p w14:paraId="6947A304">
            <w:pPr>
              <w:widowControl/>
              <w:spacing w:line="360" w:lineRule="auto"/>
              <w:rPr>
                <w:rFonts w:hint="eastAsia" w:ascii="宋体" w:hAnsi="宋体" w:eastAsia="宋体" w:cs="宋体"/>
                <w:sz w:val="24"/>
                <w:szCs w:val="24"/>
                <w:highlight w:val="none"/>
              </w:rPr>
            </w:pPr>
            <w:r>
              <w:rPr>
                <w:rFonts w:hint="eastAsia" w:ascii="宋体" w:hAnsi="宋体" w:cs="宋体"/>
                <w:color w:val="auto"/>
                <w:kern w:val="0"/>
                <w:sz w:val="24"/>
                <w:szCs w:val="24"/>
                <w:highlight w:val="none"/>
              </w:rPr>
              <w:t>同一供应商，中小微企业产品、监狱企业产品、残疾人福利性单位产品的价格扣除优惠只享受一次，不得重复享受。</w:t>
            </w:r>
          </w:p>
        </w:tc>
      </w:tr>
      <w:tr w14:paraId="476F7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jc w:val="center"/>
        </w:trPr>
        <w:tc>
          <w:tcPr>
            <w:tcW w:w="1300" w:type="dxa"/>
            <w:vMerge w:val="restart"/>
            <w:tcBorders>
              <w:top w:val="single" w:color="auto" w:sz="4" w:space="0"/>
              <w:left w:val="single" w:color="auto" w:sz="4" w:space="0"/>
              <w:right w:val="single" w:color="auto" w:sz="4" w:space="0"/>
            </w:tcBorders>
            <w:vAlign w:val="center"/>
          </w:tcPr>
          <w:p w14:paraId="0D37FEF3">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技术标</w:t>
            </w:r>
          </w:p>
          <w:p w14:paraId="383C749D">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（50分）</w:t>
            </w:r>
          </w:p>
        </w:tc>
        <w:tc>
          <w:tcPr>
            <w:tcW w:w="1981" w:type="dxa"/>
            <w:gridSpan w:val="2"/>
            <w:tcBorders>
              <w:top w:val="single" w:color="auto" w:sz="4" w:space="0"/>
              <w:left w:val="nil"/>
              <w:bottom w:val="single" w:color="auto" w:sz="4" w:space="0"/>
              <w:right w:val="single" w:color="auto" w:sz="4" w:space="0"/>
            </w:tcBorders>
            <w:vAlign w:val="center"/>
          </w:tcPr>
          <w:p w14:paraId="025277B1">
            <w:pPr>
              <w:spacing w:line="42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zh-CN"/>
              </w:rPr>
              <w:t>技术指标响应情况 （0-</w:t>
            </w:r>
            <w:r>
              <w:rPr>
                <w:rFonts w:hint="eastAsia" w:ascii="宋体" w:hAnsi="宋体" w:eastAsia="宋体" w:cs="宋体"/>
                <w:sz w:val="24"/>
                <w:szCs w:val="24"/>
                <w:highlight w:val="none"/>
              </w:rPr>
              <w:t>20</w:t>
            </w:r>
            <w:r>
              <w:rPr>
                <w:rFonts w:hint="eastAsia" w:ascii="宋体" w:hAnsi="宋体" w:eastAsia="宋体" w:cs="宋体"/>
                <w:sz w:val="24"/>
                <w:szCs w:val="24"/>
                <w:highlight w:val="none"/>
                <w:lang w:val="zh-CN"/>
              </w:rPr>
              <w:t>分）</w:t>
            </w:r>
          </w:p>
        </w:tc>
        <w:tc>
          <w:tcPr>
            <w:tcW w:w="6426" w:type="dxa"/>
            <w:tcBorders>
              <w:top w:val="single" w:color="auto" w:sz="4" w:space="0"/>
              <w:left w:val="nil"/>
              <w:bottom w:val="single" w:color="auto" w:sz="4" w:space="0"/>
              <w:right w:val="single" w:color="auto" w:sz="4" w:space="0"/>
            </w:tcBorders>
            <w:vAlign w:val="center"/>
          </w:tcPr>
          <w:p w14:paraId="30C66DCF">
            <w:pPr>
              <w:spacing w:line="42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zh-CN"/>
              </w:rPr>
              <w:t>供应商所投货物的技术参数能够全部满足</w:t>
            </w:r>
            <w:r>
              <w:rPr>
                <w:rFonts w:hint="eastAsia" w:ascii="宋体" w:hAnsi="宋体" w:eastAsia="宋体" w:cs="宋体"/>
                <w:sz w:val="24"/>
                <w:szCs w:val="24"/>
                <w:highlight w:val="none"/>
              </w:rPr>
              <w:t>磋商</w:t>
            </w:r>
            <w:r>
              <w:rPr>
                <w:rFonts w:hint="eastAsia" w:ascii="宋体" w:hAnsi="宋体" w:eastAsia="宋体" w:cs="宋体"/>
                <w:sz w:val="24"/>
                <w:szCs w:val="24"/>
                <w:highlight w:val="none"/>
                <w:lang w:val="zh-CN"/>
              </w:rPr>
              <w:t>文件要求的, 得满分</w:t>
            </w:r>
            <w:r>
              <w:rPr>
                <w:rFonts w:hint="eastAsia" w:ascii="宋体" w:hAnsi="宋体" w:eastAsia="宋体" w:cs="宋体"/>
                <w:sz w:val="24"/>
                <w:szCs w:val="24"/>
                <w:highlight w:val="none"/>
              </w:rPr>
              <w:t>20</w:t>
            </w:r>
            <w:r>
              <w:rPr>
                <w:rFonts w:hint="eastAsia" w:ascii="宋体" w:hAnsi="宋体" w:eastAsia="宋体" w:cs="宋体"/>
                <w:sz w:val="24"/>
                <w:szCs w:val="24"/>
                <w:highlight w:val="none"/>
                <w:lang w:val="zh-CN"/>
              </w:rPr>
              <w:t>分，技术参数有一项不满足磋商文件要求的</w:t>
            </w:r>
            <w:r>
              <w:rPr>
                <w:rFonts w:hint="eastAsia" w:ascii="宋体" w:hAnsi="宋体" w:eastAsia="宋体" w:cs="宋体"/>
                <w:sz w:val="24"/>
                <w:szCs w:val="24"/>
                <w:highlight w:val="none"/>
              </w:rPr>
              <w:t>扣1分</w:t>
            </w:r>
            <w:r>
              <w:rPr>
                <w:rFonts w:hint="eastAsia" w:ascii="宋体" w:hAnsi="宋体" w:eastAsia="宋体" w:cs="宋体"/>
                <w:sz w:val="24"/>
                <w:szCs w:val="24"/>
                <w:highlight w:val="none"/>
                <w:lang w:val="zh-CN"/>
              </w:rPr>
              <w:t>。</w:t>
            </w:r>
          </w:p>
        </w:tc>
      </w:tr>
      <w:tr w14:paraId="7FB4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300" w:type="dxa"/>
            <w:vMerge w:val="continue"/>
            <w:tcBorders>
              <w:left w:val="single" w:color="auto" w:sz="4" w:space="0"/>
              <w:right w:val="single" w:color="auto" w:sz="4" w:space="0"/>
            </w:tcBorders>
            <w:vAlign w:val="center"/>
          </w:tcPr>
          <w:p w14:paraId="19C1C74B">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3A0750ED">
            <w:pPr>
              <w:spacing w:line="360" w:lineRule="auto"/>
              <w:rPr>
                <w:rFonts w:hint="eastAsia" w:ascii="宋体" w:hAnsi="宋体" w:eastAsia="宋体" w:cs="宋体"/>
                <w:kern w:val="0"/>
                <w:sz w:val="24"/>
                <w:szCs w:val="24"/>
                <w:highlight w:val="none"/>
              </w:rPr>
            </w:pPr>
            <w:r>
              <w:rPr>
                <w:rFonts w:hint="eastAsia" w:ascii="宋体" w:hAnsi="宋体" w:eastAsia="宋体" w:cs="宋体"/>
                <w:sz w:val="24"/>
                <w:szCs w:val="24"/>
                <w:highlight w:val="none"/>
              </w:rPr>
              <w:t>实施方案（0-5分）</w:t>
            </w:r>
          </w:p>
        </w:tc>
        <w:tc>
          <w:tcPr>
            <w:tcW w:w="6426" w:type="dxa"/>
            <w:tcBorders>
              <w:top w:val="single" w:color="auto" w:sz="4" w:space="0"/>
              <w:left w:val="nil"/>
              <w:bottom w:val="single" w:color="auto" w:sz="4" w:space="0"/>
              <w:right w:val="single" w:color="auto" w:sz="4" w:space="0"/>
            </w:tcBorders>
            <w:vAlign w:val="center"/>
          </w:tcPr>
          <w:p w14:paraId="45B87548">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项目实施方案要素针对性强、完整无缺项、详实、阐述 清晰、重点突出、可操作性强，能完全满足各项内容需求的，得5分； </w:t>
            </w:r>
          </w:p>
          <w:p w14:paraId="5078152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项目实施方案较完整且无缺项，虽存在部分内容表述不 足但其内容重点突出、具有可操作性、满足各项内容需求的，得3分；</w:t>
            </w:r>
          </w:p>
          <w:p w14:paraId="29D19799">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项目实施方案中有缺项的该项不得分；其它小项其内容 重点不太明显、操作的可行性复杂，可能影响到技术偏差的，得1分；</w:t>
            </w:r>
          </w:p>
          <w:p w14:paraId="68B19528">
            <w:pPr>
              <w:spacing w:line="360" w:lineRule="auto"/>
              <w:rPr>
                <w:rFonts w:hint="eastAsia" w:ascii="宋体" w:hAnsi="宋体" w:eastAsia="宋体" w:cs="宋体"/>
                <w:kern w:val="0"/>
                <w:sz w:val="24"/>
                <w:szCs w:val="24"/>
                <w:highlight w:val="none"/>
              </w:rPr>
            </w:pPr>
            <w:r>
              <w:rPr>
                <w:rFonts w:hint="eastAsia" w:ascii="宋体" w:hAnsi="宋体" w:eastAsia="宋体" w:cs="宋体"/>
                <w:sz w:val="24"/>
                <w:szCs w:val="24"/>
                <w:highlight w:val="none"/>
              </w:rPr>
              <w:t>未提供方案或者提供的方案与本项目无关的不得分。</w:t>
            </w:r>
          </w:p>
        </w:tc>
      </w:tr>
      <w:tr w14:paraId="51F6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300" w:type="dxa"/>
            <w:vMerge w:val="continue"/>
            <w:tcBorders>
              <w:left w:val="single" w:color="auto" w:sz="4" w:space="0"/>
              <w:right w:val="single" w:color="auto" w:sz="4" w:space="0"/>
            </w:tcBorders>
            <w:vAlign w:val="center"/>
          </w:tcPr>
          <w:p w14:paraId="3A1B9906">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4FCA53D2">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运输保障方案</w:t>
            </w:r>
          </w:p>
          <w:p w14:paraId="1FFE748F">
            <w:pPr>
              <w:pStyle w:val="9"/>
              <w:spacing w:line="360" w:lineRule="auto"/>
              <w:jc w:val="center"/>
              <w:rPr>
                <w:rFonts w:hint="eastAsia" w:ascii="宋体" w:hAnsi="宋体" w:eastAsia="宋体" w:cs="宋体"/>
                <w:sz w:val="24"/>
                <w:szCs w:val="24"/>
                <w:highlight w:val="none"/>
              </w:rPr>
            </w:pPr>
            <w:r>
              <w:rPr>
                <w:rFonts w:hint="eastAsia" w:ascii="宋体" w:hAnsi="宋体" w:eastAsia="宋体" w:cs="宋体"/>
                <w:snapToGrid w:val="0"/>
                <w:spacing w:val="-6"/>
                <w:kern w:val="16"/>
                <w:sz w:val="24"/>
                <w:szCs w:val="24"/>
                <w:highlight w:val="none"/>
              </w:rPr>
              <w:t>（0-5分）</w:t>
            </w:r>
          </w:p>
        </w:tc>
        <w:tc>
          <w:tcPr>
            <w:tcW w:w="6426" w:type="dxa"/>
            <w:tcBorders>
              <w:top w:val="single" w:color="auto" w:sz="4" w:space="0"/>
              <w:left w:val="nil"/>
              <w:bottom w:val="single" w:color="auto" w:sz="4" w:space="0"/>
              <w:right w:val="single" w:color="auto" w:sz="4" w:space="0"/>
            </w:tcBorders>
            <w:vAlign w:val="center"/>
          </w:tcPr>
          <w:p w14:paraId="7FCA608C">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有详细的运输保障方案，且具有明确的工作流程，措施科学、完整的，得5分； </w:t>
            </w:r>
          </w:p>
          <w:p w14:paraId="11E6C975">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有较详细的运输方案，但工作流程一般，措施较为科学的，得3分；</w:t>
            </w:r>
          </w:p>
          <w:p w14:paraId="5DCB44E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内容差或者不完整得1分；</w:t>
            </w:r>
          </w:p>
          <w:p w14:paraId="5A1E2821">
            <w:pPr>
              <w:spacing w:line="360" w:lineRule="auto"/>
              <w:rPr>
                <w:rFonts w:hint="eastAsia" w:ascii="宋体" w:hAnsi="宋体" w:eastAsia="宋体" w:cs="宋体"/>
                <w:kern w:val="0"/>
                <w:sz w:val="24"/>
                <w:szCs w:val="24"/>
                <w:highlight w:val="none"/>
              </w:rPr>
            </w:pPr>
            <w:r>
              <w:rPr>
                <w:rFonts w:hint="eastAsia" w:ascii="宋体" w:hAnsi="宋体" w:eastAsia="宋体" w:cs="宋体"/>
                <w:sz w:val="24"/>
                <w:szCs w:val="24"/>
                <w:highlight w:val="none"/>
                <w:lang w:bidi="zh-CN"/>
              </w:rPr>
              <w:t>缺项或不符合要求不得分；</w:t>
            </w:r>
          </w:p>
        </w:tc>
      </w:tr>
      <w:tr w14:paraId="0B2C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300" w:type="dxa"/>
            <w:vMerge w:val="continue"/>
            <w:tcBorders>
              <w:left w:val="single" w:color="auto" w:sz="4" w:space="0"/>
              <w:right w:val="single" w:color="auto" w:sz="4" w:space="0"/>
            </w:tcBorders>
            <w:vAlign w:val="center"/>
          </w:tcPr>
          <w:p w14:paraId="744AE30B">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77F517CD">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质量保证措施</w:t>
            </w:r>
          </w:p>
          <w:p w14:paraId="109F0897">
            <w:pPr>
              <w:spacing w:line="360" w:lineRule="auto"/>
              <w:jc w:val="center"/>
              <w:rPr>
                <w:rFonts w:hint="eastAsia" w:ascii="宋体" w:hAnsi="宋体" w:eastAsia="宋体" w:cs="宋体"/>
                <w:kern w:val="0"/>
                <w:sz w:val="24"/>
                <w:szCs w:val="24"/>
                <w:highlight w:val="none"/>
              </w:rPr>
            </w:pPr>
            <w:r>
              <w:rPr>
                <w:rFonts w:hint="eastAsia" w:ascii="宋体" w:hAnsi="宋体" w:eastAsia="宋体" w:cs="宋体"/>
                <w:sz w:val="24"/>
                <w:szCs w:val="24"/>
                <w:highlight w:val="none"/>
              </w:rPr>
              <w:t>（0-5分）</w:t>
            </w:r>
          </w:p>
        </w:tc>
        <w:tc>
          <w:tcPr>
            <w:tcW w:w="6426" w:type="dxa"/>
            <w:tcBorders>
              <w:top w:val="single" w:color="auto" w:sz="4" w:space="0"/>
              <w:left w:val="nil"/>
              <w:bottom w:val="single" w:color="auto" w:sz="4" w:space="0"/>
              <w:right w:val="single" w:color="auto" w:sz="4" w:space="0"/>
            </w:tcBorders>
            <w:vAlign w:val="center"/>
          </w:tcPr>
          <w:p w14:paraId="401938BC">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质量保证措施方案全面、合理、可行、措施有保障的，得5分；</w:t>
            </w:r>
          </w:p>
          <w:p w14:paraId="22A260C3">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质量保证措施方案较为全面、合理、措施有保障的，得3分； </w:t>
            </w:r>
          </w:p>
          <w:p w14:paraId="4A66D1DC">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质量保证措施方案基本合理、措施有保障的，得1分；</w:t>
            </w:r>
          </w:p>
          <w:p w14:paraId="658DC787">
            <w:pPr>
              <w:autoSpaceDE w:val="0"/>
              <w:autoSpaceDN w:val="0"/>
              <w:spacing w:before="50" w:line="360" w:lineRule="auto"/>
              <w:ind w:right="97"/>
              <w:rPr>
                <w:rFonts w:hint="eastAsia" w:ascii="宋体" w:hAnsi="宋体" w:eastAsia="宋体" w:cs="宋体"/>
                <w:kern w:val="0"/>
                <w:sz w:val="24"/>
                <w:szCs w:val="24"/>
                <w:highlight w:val="none"/>
              </w:rPr>
            </w:pPr>
            <w:r>
              <w:rPr>
                <w:rFonts w:hint="eastAsia" w:ascii="宋体" w:hAnsi="宋体" w:eastAsia="宋体" w:cs="宋体"/>
                <w:sz w:val="24"/>
                <w:szCs w:val="24"/>
                <w:highlight w:val="none"/>
              </w:rPr>
              <w:t>缺项或不符合要求不得分；</w:t>
            </w:r>
          </w:p>
        </w:tc>
      </w:tr>
      <w:tr w14:paraId="7664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300" w:type="dxa"/>
            <w:vMerge w:val="continue"/>
            <w:tcBorders>
              <w:left w:val="single" w:color="auto" w:sz="4" w:space="0"/>
              <w:right w:val="single" w:color="auto" w:sz="4" w:space="0"/>
            </w:tcBorders>
            <w:vAlign w:val="center"/>
          </w:tcPr>
          <w:p w14:paraId="40A0B030">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6F93F521">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供货进度保证措施（0-5分）</w:t>
            </w:r>
          </w:p>
        </w:tc>
        <w:tc>
          <w:tcPr>
            <w:tcW w:w="6426" w:type="dxa"/>
            <w:tcBorders>
              <w:top w:val="single" w:color="auto" w:sz="4" w:space="0"/>
              <w:left w:val="nil"/>
              <w:bottom w:val="single" w:color="auto" w:sz="4" w:space="0"/>
              <w:right w:val="single" w:color="auto" w:sz="4" w:space="0"/>
            </w:tcBorders>
            <w:vAlign w:val="center"/>
          </w:tcPr>
          <w:p w14:paraId="1A2FEF12">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供货进度保证措施内容详实，科学、合理、安全，考虑周全措施到位，针对性强，得5分；</w:t>
            </w:r>
          </w:p>
          <w:p w14:paraId="3BF35796">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供货进度保证措施内容完整，基本科学、合理、安全，基本考虑周全措施到位，针对性较强得3分；</w:t>
            </w:r>
          </w:p>
          <w:p w14:paraId="0173EB5D">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供货进度保证措施内容完整，考虑不周，措施不够到位，针对性不强，得1分；</w:t>
            </w:r>
          </w:p>
          <w:p w14:paraId="57190867">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缺项或不符合要求不得分；</w:t>
            </w:r>
          </w:p>
        </w:tc>
      </w:tr>
      <w:tr w14:paraId="1708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300" w:type="dxa"/>
            <w:vMerge w:val="continue"/>
            <w:tcBorders>
              <w:left w:val="single" w:color="auto" w:sz="4" w:space="0"/>
              <w:right w:val="single" w:color="auto" w:sz="4" w:space="0"/>
            </w:tcBorders>
            <w:vAlign w:val="center"/>
          </w:tcPr>
          <w:p w14:paraId="00ADC0FB">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24D11BC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培训方案（0-5分）</w:t>
            </w:r>
          </w:p>
        </w:tc>
        <w:tc>
          <w:tcPr>
            <w:tcW w:w="6426" w:type="dxa"/>
            <w:tcBorders>
              <w:top w:val="single" w:color="auto" w:sz="4" w:space="0"/>
              <w:left w:val="nil"/>
              <w:bottom w:val="single" w:color="auto" w:sz="4" w:space="0"/>
              <w:right w:val="single" w:color="auto" w:sz="4" w:space="0"/>
            </w:tcBorders>
            <w:vAlign w:val="center"/>
          </w:tcPr>
          <w:p w14:paraId="052261EE">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培训内容全面详实情况、培训时间长短、培训人员数量多少。分三个档次打分。</w:t>
            </w:r>
          </w:p>
          <w:p w14:paraId="1313A9E3">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内容详实，培训时长、人数满足项目需求的得5分；</w:t>
            </w:r>
          </w:p>
          <w:p w14:paraId="7469310E">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内容较详实，培训时长、人数较好的得3分；</w:t>
            </w:r>
          </w:p>
          <w:p w14:paraId="028BE881">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内容一般，基本满足需求的为第三档得1分；</w:t>
            </w:r>
          </w:p>
          <w:p w14:paraId="4C6342DA">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缺项或不符合要求不得分；</w:t>
            </w:r>
          </w:p>
        </w:tc>
      </w:tr>
      <w:tr w14:paraId="538DD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300" w:type="dxa"/>
            <w:vMerge w:val="continue"/>
            <w:tcBorders>
              <w:left w:val="single" w:color="auto" w:sz="4" w:space="0"/>
              <w:bottom w:val="single" w:color="auto" w:sz="4" w:space="0"/>
              <w:right w:val="single" w:color="auto" w:sz="4" w:space="0"/>
            </w:tcBorders>
            <w:vAlign w:val="center"/>
          </w:tcPr>
          <w:p w14:paraId="3C857EDE">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6860D919">
            <w:pPr>
              <w:pStyle w:val="9"/>
              <w:spacing w:line="360" w:lineRule="auto"/>
              <w:jc w:val="center"/>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应急预案（包含应急维修措施）</w:t>
            </w:r>
          </w:p>
          <w:p w14:paraId="667574BD">
            <w:pPr>
              <w:pStyle w:val="9"/>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bidi="zh-CN"/>
              </w:rPr>
              <w:t>（0-5分）</w:t>
            </w:r>
          </w:p>
        </w:tc>
        <w:tc>
          <w:tcPr>
            <w:tcW w:w="6426" w:type="dxa"/>
            <w:tcBorders>
              <w:top w:val="single" w:color="auto" w:sz="4" w:space="0"/>
              <w:left w:val="nil"/>
              <w:bottom w:val="single" w:color="auto" w:sz="4" w:space="0"/>
              <w:right w:val="single" w:color="auto" w:sz="4" w:space="0"/>
            </w:tcBorders>
            <w:vAlign w:val="center"/>
          </w:tcPr>
          <w:p w14:paraId="430C5CA3">
            <w:pPr>
              <w:spacing w:line="360" w:lineRule="auto"/>
              <w:rPr>
                <w:rFonts w:hint="eastAsia" w:ascii="宋体" w:hAnsi="宋体" w:eastAsia="宋体" w:cs="宋体"/>
                <w:sz w:val="24"/>
                <w:szCs w:val="24"/>
                <w:highlight w:val="none"/>
                <w:lang w:val="zh-CN" w:bidi="zh-CN"/>
              </w:rPr>
            </w:pPr>
            <w:r>
              <w:rPr>
                <w:rFonts w:hint="eastAsia" w:ascii="宋体" w:hAnsi="宋体" w:eastAsia="宋体" w:cs="宋体"/>
                <w:sz w:val="24"/>
                <w:szCs w:val="24"/>
                <w:highlight w:val="none"/>
                <w:lang w:val="zh-CN" w:bidi="zh-CN"/>
              </w:rPr>
              <w:t>应急预案（包含应急维修措施）全面、详尽、合理、技术质量有保障的，得5分；</w:t>
            </w:r>
          </w:p>
          <w:p w14:paraId="4C4ABB38">
            <w:pPr>
              <w:spacing w:line="360" w:lineRule="auto"/>
              <w:rPr>
                <w:rFonts w:hint="eastAsia" w:ascii="宋体" w:hAnsi="宋体" w:eastAsia="宋体" w:cs="宋体"/>
                <w:sz w:val="24"/>
                <w:szCs w:val="24"/>
                <w:highlight w:val="none"/>
                <w:lang w:val="zh-CN" w:bidi="zh-CN"/>
              </w:rPr>
            </w:pPr>
            <w:r>
              <w:rPr>
                <w:rFonts w:hint="eastAsia" w:ascii="宋体" w:hAnsi="宋体" w:eastAsia="宋体" w:cs="宋体"/>
                <w:sz w:val="24"/>
                <w:szCs w:val="24"/>
                <w:highlight w:val="none"/>
                <w:lang w:val="zh-CN" w:bidi="zh-CN"/>
              </w:rPr>
              <w:t>应急预案（包含应急维修措施）较全面，合理，得</w:t>
            </w:r>
            <w:r>
              <w:rPr>
                <w:rFonts w:hint="eastAsia" w:ascii="宋体" w:hAnsi="宋体" w:eastAsia="宋体" w:cs="宋体"/>
                <w:sz w:val="24"/>
                <w:szCs w:val="24"/>
                <w:highlight w:val="none"/>
                <w:lang w:bidi="zh-CN"/>
              </w:rPr>
              <w:t>3</w:t>
            </w:r>
            <w:r>
              <w:rPr>
                <w:rFonts w:hint="eastAsia" w:ascii="宋体" w:hAnsi="宋体" w:eastAsia="宋体" w:cs="宋体"/>
                <w:sz w:val="24"/>
                <w:szCs w:val="24"/>
                <w:highlight w:val="none"/>
                <w:lang w:val="zh-CN" w:bidi="zh-CN"/>
              </w:rPr>
              <w:t>分；</w:t>
            </w:r>
          </w:p>
          <w:p w14:paraId="69FD43A9">
            <w:pPr>
              <w:spacing w:line="360" w:lineRule="auto"/>
              <w:rPr>
                <w:rFonts w:hint="eastAsia" w:ascii="宋体" w:hAnsi="宋体" w:eastAsia="宋体" w:cs="宋体"/>
                <w:sz w:val="24"/>
                <w:szCs w:val="24"/>
                <w:highlight w:val="none"/>
                <w:lang w:val="zh-CN" w:bidi="zh-CN"/>
              </w:rPr>
            </w:pPr>
            <w:r>
              <w:rPr>
                <w:rFonts w:hint="eastAsia" w:ascii="宋体" w:hAnsi="宋体" w:eastAsia="宋体" w:cs="宋体"/>
                <w:sz w:val="24"/>
                <w:szCs w:val="24"/>
                <w:highlight w:val="none"/>
                <w:lang w:val="zh-CN" w:bidi="zh-CN"/>
              </w:rPr>
              <w:t>应急预案（包含应急维修措施）不全面、或者不详尽的的，得</w:t>
            </w:r>
            <w:r>
              <w:rPr>
                <w:rFonts w:hint="eastAsia" w:ascii="宋体" w:hAnsi="宋体" w:eastAsia="宋体" w:cs="宋体"/>
                <w:sz w:val="24"/>
                <w:szCs w:val="24"/>
                <w:highlight w:val="none"/>
                <w:lang w:bidi="zh-CN"/>
              </w:rPr>
              <w:t>1</w:t>
            </w:r>
            <w:r>
              <w:rPr>
                <w:rFonts w:hint="eastAsia" w:ascii="宋体" w:hAnsi="宋体" w:eastAsia="宋体" w:cs="宋体"/>
                <w:sz w:val="24"/>
                <w:szCs w:val="24"/>
                <w:highlight w:val="none"/>
                <w:lang w:val="zh-CN" w:bidi="zh-CN"/>
              </w:rPr>
              <w:t>分；</w:t>
            </w:r>
          </w:p>
          <w:p w14:paraId="34198EF3">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zh-CN" w:bidi="zh-CN"/>
              </w:rPr>
              <w:t>缺项或不符合要求不得分；</w:t>
            </w:r>
          </w:p>
        </w:tc>
      </w:tr>
      <w:tr w14:paraId="544F8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jc w:val="center"/>
        </w:trPr>
        <w:tc>
          <w:tcPr>
            <w:tcW w:w="1300" w:type="dxa"/>
            <w:vMerge w:val="restart"/>
            <w:tcBorders>
              <w:top w:val="nil"/>
              <w:left w:val="single" w:color="auto" w:sz="4" w:space="0"/>
              <w:bottom w:val="single" w:color="auto" w:sz="4" w:space="0"/>
              <w:right w:val="single" w:color="auto" w:sz="4" w:space="0"/>
            </w:tcBorders>
            <w:vAlign w:val="center"/>
          </w:tcPr>
          <w:p w14:paraId="0296D25A">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商务标</w:t>
            </w:r>
          </w:p>
          <w:p w14:paraId="6F107DC4">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（20分）</w:t>
            </w:r>
          </w:p>
        </w:tc>
        <w:tc>
          <w:tcPr>
            <w:tcW w:w="1981" w:type="dxa"/>
            <w:gridSpan w:val="2"/>
            <w:tcBorders>
              <w:top w:val="single" w:color="auto" w:sz="4" w:space="0"/>
              <w:left w:val="nil"/>
              <w:bottom w:val="single" w:color="auto" w:sz="4" w:space="0"/>
              <w:right w:val="single" w:color="auto" w:sz="4" w:space="0"/>
            </w:tcBorders>
            <w:vAlign w:val="center"/>
          </w:tcPr>
          <w:p w14:paraId="66B5B573">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业绩</w:t>
            </w:r>
          </w:p>
          <w:p w14:paraId="63FEE740">
            <w:pPr>
              <w:spacing w:line="360" w:lineRule="auto"/>
              <w:rPr>
                <w:rFonts w:hint="eastAsia" w:ascii="宋体" w:hAnsi="宋体" w:eastAsia="宋体" w:cs="宋体"/>
                <w:sz w:val="24"/>
                <w:szCs w:val="24"/>
                <w:highlight w:val="none"/>
                <w:lang w:val="zh-CN" w:bidi="zh-CN"/>
              </w:rPr>
            </w:pPr>
            <w:r>
              <w:rPr>
                <w:rFonts w:hint="eastAsia" w:ascii="宋体" w:hAnsi="宋体" w:eastAsia="宋体" w:cs="宋体"/>
                <w:sz w:val="24"/>
                <w:szCs w:val="24"/>
                <w:highlight w:val="none"/>
                <w:lang w:bidi="zh-CN"/>
              </w:rPr>
              <w:t>（0-</w:t>
            </w:r>
            <w:r>
              <w:rPr>
                <w:rFonts w:hint="eastAsia" w:ascii="宋体" w:hAnsi="宋体" w:eastAsia="宋体" w:cs="宋体"/>
                <w:sz w:val="24"/>
                <w:szCs w:val="24"/>
                <w:highlight w:val="none"/>
                <w:lang w:val="en-US" w:bidi="zh-CN"/>
              </w:rPr>
              <w:t>6</w:t>
            </w:r>
            <w:r>
              <w:rPr>
                <w:rFonts w:hint="eastAsia" w:ascii="宋体" w:hAnsi="宋体" w:eastAsia="宋体" w:cs="宋体"/>
                <w:sz w:val="24"/>
                <w:szCs w:val="24"/>
                <w:highlight w:val="none"/>
                <w:lang w:bidi="zh-CN"/>
              </w:rPr>
              <w:t>分）</w:t>
            </w:r>
          </w:p>
        </w:tc>
        <w:tc>
          <w:tcPr>
            <w:tcW w:w="6426" w:type="dxa"/>
            <w:tcBorders>
              <w:top w:val="single" w:color="auto" w:sz="4" w:space="0"/>
              <w:left w:val="nil"/>
              <w:bottom w:val="single" w:color="auto" w:sz="4" w:space="0"/>
              <w:right w:val="single" w:color="auto" w:sz="4" w:space="0"/>
            </w:tcBorders>
            <w:vAlign w:val="center"/>
          </w:tcPr>
          <w:p w14:paraId="44FA605C">
            <w:pPr>
              <w:spacing w:line="360" w:lineRule="auto"/>
              <w:rPr>
                <w:rFonts w:hint="eastAsia" w:ascii="宋体" w:hAnsi="宋体" w:eastAsia="宋体" w:cs="宋体"/>
                <w:sz w:val="24"/>
                <w:szCs w:val="24"/>
                <w:highlight w:val="none"/>
                <w:lang w:val="zh-CN" w:bidi="zh-CN"/>
              </w:rPr>
            </w:pPr>
            <w:r>
              <w:rPr>
                <w:rFonts w:hint="eastAsia" w:ascii="宋体" w:hAnsi="宋体" w:eastAsia="宋体" w:cs="宋体"/>
                <w:sz w:val="24"/>
                <w:szCs w:val="24"/>
                <w:highlight w:val="none"/>
                <w:lang w:bidi="zh-CN"/>
              </w:rPr>
              <w:t>提供202</w:t>
            </w:r>
            <w:r>
              <w:rPr>
                <w:rFonts w:hint="eastAsia" w:ascii="宋体" w:hAnsi="宋体" w:eastAsia="宋体" w:cs="宋体"/>
                <w:sz w:val="24"/>
                <w:szCs w:val="24"/>
                <w:highlight w:val="none"/>
                <w:lang w:val="en-US" w:bidi="zh-CN"/>
              </w:rPr>
              <w:t>3</w:t>
            </w:r>
            <w:r>
              <w:rPr>
                <w:rFonts w:hint="eastAsia" w:ascii="宋体" w:hAnsi="宋体" w:eastAsia="宋体" w:cs="宋体"/>
                <w:sz w:val="24"/>
                <w:szCs w:val="24"/>
                <w:highlight w:val="none"/>
                <w:lang w:bidi="zh-CN"/>
              </w:rPr>
              <w:t>年1月以来已完成的类似项目业绩，每提供一份得2</w:t>
            </w:r>
            <w:r>
              <w:rPr>
                <w:rFonts w:hint="eastAsia" w:ascii="宋体" w:hAnsi="宋体" w:eastAsia="宋体" w:cs="宋体"/>
                <w:sz w:val="24"/>
                <w:szCs w:val="24"/>
                <w:highlight w:val="none"/>
                <w:lang w:val="en-US" w:bidi="zh-CN"/>
              </w:rPr>
              <w:t>分</w:t>
            </w:r>
            <w:r>
              <w:rPr>
                <w:rFonts w:hint="eastAsia" w:ascii="宋体" w:hAnsi="宋体" w:eastAsia="宋体" w:cs="宋体"/>
                <w:sz w:val="24"/>
                <w:szCs w:val="24"/>
                <w:highlight w:val="none"/>
                <w:lang w:bidi="zh-CN"/>
              </w:rPr>
              <w:t>，该项最高得</w:t>
            </w:r>
            <w:r>
              <w:rPr>
                <w:rFonts w:hint="eastAsia" w:ascii="宋体" w:hAnsi="宋体" w:eastAsia="宋体" w:cs="宋体"/>
                <w:sz w:val="24"/>
                <w:szCs w:val="24"/>
                <w:highlight w:val="none"/>
                <w:lang w:val="en-US" w:bidi="zh-CN"/>
              </w:rPr>
              <w:t>6</w:t>
            </w:r>
            <w:r>
              <w:rPr>
                <w:rFonts w:hint="eastAsia" w:ascii="宋体" w:hAnsi="宋体" w:eastAsia="宋体" w:cs="宋体"/>
                <w:sz w:val="24"/>
                <w:szCs w:val="24"/>
                <w:highlight w:val="none"/>
                <w:lang w:bidi="zh-CN"/>
              </w:rPr>
              <w:t>分，没有不得分；须提供合同和中标通知书。注：需在响应文件中提供相应证明资料，没有不得分。</w:t>
            </w:r>
          </w:p>
        </w:tc>
      </w:tr>
      <w:tr w14:paraId="14FD4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jc w:val="center"/>
        </w:trPr>
        <w:tc>
          <w:tcPr>
            <w:tcW w:w="1300" w:type="dxa"/>
            <w:vMerge w:val="continue"/>
            <w:tcBorders>
              <w:left w:val="single" w:color="auto" w:sz="4" w:space="0"/>
              <w:right w:val="single" w:color="auto" w:sz="4" w:space="0"/>
            </w:tcBorders>
            <w:vAlign w:val="center"/>
          </w:tcPr>
          <w:p w14:paraId="0CF1A2A2">
            <w:pPr>
              <w:widowControl/>
              <w:spacing w:line="360" w:lineRule="auto"/>
              <w:jc w:val="center"/>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1F1EC945">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节能产品</w:t>
            </w:r>
          </w:p>
          <w:p w14:paraId="3E07EE35">
            <w:pPr>
              <w:spacing w:line="360" w:lineRule="auto"/>
              <w:rPr>
                <w:rFonts w:hint="default" w:ascii="宋体" w:hAnsi="宋体" w:eastAsia="宋体" w:cs="宋体"/>
                <w:sz w:val="24"/>
                <w:szCs w:val="24"/>
                <w:highlight w:val="none"/>
                <w:lang w:val="en-US" w:bidi="zh-CN"/>
              </w:rPr>
            </w:pPr>
            <w:r>
              <w:rPr>
                <w:rFonts w:hint="eastAsia" w:ascii="宋体" w:hAnsi="宋体" w:eastAsia="宋体" w:cs="宋体"/>
                <w:sz w:val="24"/>
                <w:szCs w:val="24"/>
                <w:highlight w:val="none"/>
                <w:lang w:bidi="zh-CN"/>
              </w:rPr>
              <w:t>（</w:t>
            </w:r>
            <w:r>
              <w:rPr>
                <w:rFonts w:hint="eastAsia" w:ascii="宋体" w:hAnsi="宋体" w:eastAsia="宋体" w:cs="宋体"/>
                <w:sz w:val="24"/>
                <w:szCs w:val="24"/>
                <w:highlight w:val="none"/>
                <w:lang w:val="en-US" w:bidi="zh-CN"/>
              </w:rPr>
              <w:t>0-1分</w:t>
            </w:r>
            <w:r>
              <w:rPr>
                <w:rFonts w:hint="eastAsia" w:ascii="宋体" w:hAnsi="宋体" w:eastAsia="宋体" w:cs="宋体"/>
                <w:sz w:val="24"/>
                <w:szCs w:val="24"/>
                <w:highlight w:val="none"/>
                <w:lang w:bidi="zh-CN"/>
              </w:rPr>
              <w:t>）</w:t>
            </w:r>
          </w:p>
        </w:tc>
        <w:tc>
          <w:tcPr>
            <w:tcW w:w="6426" w:type="dxa"/>
            <w:tcBorders>
              <w:top w:val="single" w:color="auto" w:sz="4" w:space="0"/>
              <w:left w:val="nil"/>
              <w:bottom w:val="single" w:color="auto" w:sz="4" w:space="0"/>
              <w:right w:val="single" w:color="auto" w:sz="4" w:space="0"/>
            </w:tcBorders>
            <w:vAlign w:val="center"/>
          </w:tcPr>
          <w:p w14:paraId="3142365B">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除采购文件要求的强制采购节能产品：计算机外，所投货物有《中国节能产品认证证书》（有效期内）的加1分（应以所投货物的《中国节能产品认证证书》扫描件为依据；证书不显示规格型号的，还须同时提供证书配套附件；证书应是由《市场监管总局关于发布参与实施政府采购节能产品、环境标志产品认证机构名录的公告》的认证机构出具的、处于有效期之内的）。</w:t>
            </w:r>
          </w:p>
        </w:tc>
      </w:tr>
      <w:tr w14:paraId="6501D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jc w:val="center"/>
        </w:trPr>
        <w:tc>
          <w:tcPr>
            <w:tcW w:w="1300" w:type="dxa"/>
            <w:vMerge w:val="continue"/>
            <w:tcBorders>
              <w:left w:val="single" w:color="auto" w:sz="4" w:space="0"/>
              <w:right w:val="single" w:color="auto" w:sz="4" w:space="0"/>
            </w:tcBorders>
            <w:vAlign w:val="center"/>
          </w:tcPr>
          <w:p w14:paraId="4A162310">
            <w:pPr>
              <w:widowControl/>
              <w:spacing w:line="360" w:lineRule="auto"/>
              <w:jc w:val="center"/>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2EBC8202">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环境标志产品</w:t>
            </w:r>
          </w:p>
          <w:p w14:paraId="06AFDECB">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w:t>
            </w:r>
            <w:r>
              <w:rPr>
                <w:rFonts w:hint="eastAsia" w:ascii="宋体" w:hAnsi="宋体" w:eastAsia="宋体" w:cs="宋体"/>
                <w:sz w:val="24"/>
                <w:szCs w:val="24"/>
                <w:highlight w:val="none"/>
                <w:lang w:val="en-US" w:bidi="zh-CN"/>
              </w:rPr>
              <w:t>0-1分</w:t>
            </w:r>
            <w:r>
              <w:rPr>
                <w:rFonts w:hint="eastAsia" w:ascii="宋体" w:hAnsi="宋体" w:eastAsia="宋体" w:cs="宋体"/>
                <w:sz w:val="24"/>
                <w:szCs w:val="24"/>
                <w:highlight w:val="none"/>
                <w:lang w:bidi="zh-CN"/>
              </w:rPr>
              <w:t>）</w:t>
            </w:r>
          </w:p>
        </w:tc>
        <w:tc>
          <w:tcPr>
            <w:tcW w:w="6426" w:type="dxa"/>
            <w:tcBorders>
              <w:top w:val="single" w:color="auto" w:sz="4" w:space="0"/>
              <w:left w:val="nil"/>
              <w:bottom w:val="single" w:color="auto" w:sz="4" w:space="0"/>
              <w:right w:val="single" w:color="auto" w:sz="4" w:space="0"/>
            </w:tcBorders>
            <w:vAlign w:val="center"/>
          </w:tcPr>
          <w:p w14:paraId="7C4C7908">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val="en-US" w:bidi="zh-CN"/>
              </w:rPr>
              <w:t>所</w:t>
            </w:r>
            <w:r>
              <w:rPr>
                <w:rFonts w:hint="eastAsia" w:ascii="宋体" w:hAnsi="宋体" w:eastAsia="宋体" w:cs="宋体"/>
                <w:sz w:val="24"/>
                <w:szCs w:val="24"/>
                <w:highlight w:val="none"/>
                <w:lang w:bidi="zh-CN"/>
              </w:rPr>
              <w:t>投货物有《中国环境标志产品认证证书》（有效期内）的加1分（应以 所投货物的《中国环境标志产品认证证书》扫描件为依据；证书不显示规 格型号的，还须同时提供证书配套附件；证书应是由《市场监管总局关于 发布参与实施政府采购节能产品、环境标志产品认证机构名录的公告》的认证机构出具的、处于有效期之内的）。</w:t>
            </w:r>
          </w:p>
        </w:tc>
      </w:tr>
      <w:tr w14:paraId="25D3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00" w:type="dxa"/>
            <w:vMerge w:val="continue"/>
            <w:tcBorders>
              <w:top w:val="nil"/>
              <w:left w:val="single" w:color="auto" w:sz="4" w:space="0"/>
              <w:bottom w:val="single" w:color="auto" w:sz="4" w:space="0"/>
              <w:right w:val="single" w:color="auto" w:sz="4" w:space="0"/>
            </w:tcBorders>
            <w:vAlign w:val="center"/>
          </w:tcPr>
          <w:p w14:paraId="2FC382EC">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7DF5DB9B">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售后服务</w:t>
            </w:r>
          </w:p>
          <w:p w14:paraId="5BF6B282">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（0-</w:t>
            </w:r>
            <w:r>
              <w:rPr>
                <w:rFonts w:hint="eastAsia" w:ascii="宋体" w:hAnsi="宋体" w:eastAsia="宋体" w:cs="宋体"/>
                <w:sz w:val="24"/>
                <w:szCs w:val="24"/>
                <w:highlight w:val="none"/>
                <w:lang w:val="en-US" w:bidi="zh-CN"/>
              </w:rPr>
              <w:t>8</w:t>
            </w:r>
            <w:r>
              <w:rPr>
                <w:rFonts w:hint="eastAsia" w:ascii="宋体" w:hAnsi="宋体" w:eastAsia="宋体" w:cs="宋体"/>
                <w:sz w:val="24"/>
                <w:szCs w:val="24"/>
                <w:highlight w:val="none"/>
                <w:lang w:bidi="zh-CN"/>
              </w:rPr>
              <w:t>分）</w:t>
            </w:r>
          </w:p>
        </w:tc>
        <w:tc>
          <w:tcPr>
            <w:tcW w:w="6426" w:type="dxa"/>
            <w:tcBorders>
              <w:top w:val="single" w:color="auto" w:sz="4" w:space="0"/>
              <w:left w:val="nil"/>
              <w:bottom w:val="single" w:color="auto" w:sz="4" w:space="0"/>
              <w:right w:val="single" w:color="auto" w:sz="4" w:space="0"/>
            </w:tcBorders>
            <w:vAlign w:val="center"/>
          </w:tcPr>
          <w:p w14:paraId="222AFFF8">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1、详细说明售后服务(售后服务的内容、形式、免费维修时间、解决质量或操作问题的响应时间、解决问题时间、地点)全面、详细、可行的得</w:t>
            </w:r>
            <w:r>
              <w:rPr>
                <w:rFonts w:hint="eastAsia" w:ascii="宋体" w:hAnsi="宋体" w:eastAsia="宋体" w:cs="宋体"/>
                <w:sz w:val="24"/>
                <w:szCs w:val="24"/>
                <w:highlight w:val="none"/>
                <w:lang w:val="en-US" w:bidi="zh-CN"/>
              </w:rPr>
              <w:t>2</w:t>
            </w:r>
            <w:r>
              <w:rPr>
                <w:rFonts w:hint="eastAsia" w:ascii="宋体" w:hAnsi="宋体" w:eastAsia="宋体" w:cs="宋体"/>
                <w:sz w:val="24"/>
                <w:szCs w:val="24"/>
                <w:highlight w:val="none"/>
                <w:lang w:bidi="zh-CN"/>
              </w:rPr>
              <w:t>分，基本全面、详细、可行的得</w:t>
            </w:r>
            <w:r>
              <w:rPr>
                <w:rFonts w:hint="eastAsia" w:ascii="宋体" w:hAnsi="宋体" w:eastAsia="宋体" w:cs="宋体"/>
                <w:sz w:val="24"/>
                <w:szCs w:val="24"/>
                <w:highlight w:val="none"/>
                <w:lang w:val="en-US" w:bidi="zh-CN"/>
              </w:rPr>
              <w:t>1</w:t>
            </w:r>
            <w:r>
              <w:rPr>
                <w:rFonts w:hint="eastAsia" w:ascii="宋体" w:hAnsi="宋体" w:eastAsia="宋体" w:cs="宋体"/>
                <w:sz w:val="24"/>
                <w:szCs w:val="24"/>
                <w:highlight w:val="none"/>
                <w:lang w:bidi="zh-CN"/>
              </w:rPr>
              <w:t>分；没有不得分。</w:t>
            </w:r>
          </w:p>
          <w:p w14:paraId="66AA7F4B">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2、对保修期限内的承诺（质保期、服务内容等），全面、详细、可行的得2分；基本全面、详细、可行的得1分；没有不得分。</w:t>
            </w:r>
          </w:p>
          <w:p w14:paraId="35E254E9">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3、对保修期限外的承诺（质保期、服务内容等），全面、详细、可行的得2分；基本全面、详细、可行的得1分；没有不得分。</w:t>
            </w:r>
          </w:p>
          <w:p w14:paraId="46E0415E">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4、供应商详细说明机构设置、人员配备情况、备品备件供应情况，全面、详细、可行的得</w:t>
            </w:r>
            <w:r>
              <w:rPr>
                <w:rFonts w:hint="eastAsia" w:ascii="宋体" w:hAnsi="宋体" w:eastAsia="宋体" w:cs="宋体"/>
                <w:sz w:val="24"/>
                <w:szCs w:val="24"/>
                <w:highlight w:val="none"/>
                <w:lang w:val="en-US" w:bidi="zh-CN"/>
              </w:rPr>
              <w:t>2</w:t>
            </w:r>
            <w:r>
              <w:rPr>
                <w:rFonts w:hint="eastAsia" w:ascii="宋体" w:hAnsi="宋体" w:eastAsia="宋体" w:cs="宋体"/>
                <w:sz w:val="24"/>
                <w:szCs w:val="24"/>
                <w:highlight w:val="none"/>
                <w:lang w:bidi="zh-CN"/>
              </w:rPr>
              <w:t>分；一般全面、详细、可行的得1分；</w:t>
            </w:r>
          </w:p>
          <w:p w14:paraId="24387B02">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缺项或不符合要求不得分；</w:t>
            </w:r>
          </w:p>
        </w:tc>
      </w:tr>
      <w:tr w14:paraId="7500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00" w:type="dxa"/>
            <w:vMerge w:val="continue"/>
            <w:tcBorders>
              <w:top w:val="nil"/>
              <w:left w:val="single" w:color="auto" w:sz="4" w:space="0"/>
              <w:bottom w:val="single" w:color="auto" w:sz="4" w:space="0"/>
              <w:right w:val="single" w:color="auto" w:sz="4" w:space="0"/>
            </w:tcBorders>
            <w:vAlign w:val="center"/>
          </w:tcPr>
          <w:p w14:paraId="4611C2C2">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326973E1">
            <w:pPr>
              <w:spacing w:line="360" w:lineRule="auto"/>
              <w:rPr>
                <w:rFonts w:hint="eastAsia" w:ascii="宋体" w:hAnsi="宋体" w:eastAsia="宋体" w:cs="宋体"/>
                <w:sz w:val="24"/>
                <w:szCs w:val="24"/>
                <w:highlight w:val="none"/>
                <w:lang w:val="zh-CN" w:bidi="zh-CN"/>
              </w:rPr>
            </w:pPr>
            <w:r>
              <w:rPr>
                <w:rFonts w:hint="eastAsia" w:ascii="宋体" w:hAnsi="宋体" w:eastAsia="宋体" w:cs="宋体"/>
                <w:sz w:val="24"/>
                <w:szCs w:val="24"/>
                <w:highlight w:val="none"/>
                <w:lang w:bidi="zh-CN"/>
              </w:rPr>
              <w:t>服务能力和优惠承诺(0-</w:t>
            </w:r>
            <w:r>
              <w:rPr>
                <w:rFonts w:hint="eastAsia" w:ascii="宋体" w:hAnsi="宋体" w:eastAsia="宋体" w:cs="宋体"/>
                <w:sz w:val="24"/>
                <w:szCs w:val="24"/>
                <w:highlight w:val="none"/>
                <w:lang w:val="en-US" w:bidi="zh-CN"/>
              </w:rPr>
              <w:t>4</w:t>
            </w:r>
            <w:r>
              <w:rPr>
                <w:rFonts w:hint="eastAsia" w:ascii="宋体" w:hAnsi="宋体" w:eastAsia="宋体" w:cs="宋体"/>
                <w:sz w:val="24"/>
                <w:szCs w:val="24"/>
                <w:highlight w:val="none"/>
                <w:lang w:bidi="zh-CN"/>
              </w:rPr>
              <w:t>分)</w:t>
            </w:r>
          </w:p>
        </w:tc>
        <w:tc>
          <w:tcPr>
            <w:tcW w:w="6426" w:type="dxa"/>
            <w:tcBorders>
              <w:top w:val="single" w:color="auto" w:sz="4" w:space="0"/>
              <w:left w:val="nil"/>
              <w:bottom w:val="single" w:color="auto" w:sz="4" w:space="0"/>
              <w:right w:val="single" w:color="auto" w:sz="4" w:space="0"/>
            </w:tcBorders>
            <w:vAlign w:val="center"/>
          </w:tcPr>
          <w:p w14:paraId="128F4BB1">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磋商小组根据投标人提供的服务能力和优惠承诺，服务程序、人员配备技术力量和问题响应及解决时间等打分。</w:t>
            </w:r>
          </w:p>
          <w:p w14:paraId="1E578DAF">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内容详实，科学、合理，考虑周全，措施到位，针对性强，完全能够满足项目的需要，得</w:t>
            </w:r>
            <w:r>
              <w:rPr>
                <w:rFonts w:hint="eastAsia" w:ascii="宋体" w:hAnsi="宋体" w:eastAsia="宋体" w:cs="宋体"/>
                <w:sz w:val="24"/>
                <w:szCs w:val="24"/>
                <w:highlight w:val="none"/>
                <w:lang w:val="en-US" w:bidi="zh-CN"/>
              </w:rPr>
              <w:t>4</w:t>
            </w:r>
            <w:r>
              <w:rPr>
                <w:rFonts w:hint="eastAsia" w:ascii="宋体" w:hAnsi="宋体" w:eastAsia="宋体" w:cs="宋体"/>
                <w:sz w:val="24"/>
                <w:szCs w:val="24"/>
                <w:highlight w:val="none"/>
                <w:lang w:bidi="zh-CN"/>
              </w:rPr>
              <w:t>分。</w:t>
            </w:r>
          </w:p>
          <w:p w14:paraId="1FE337E3">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内容完整，基本科学、合理，考虑基本周全，措施基本到位，针对性较强，可以满足项目的需要，但有个别细节需要进一步完善或提高，得</w:t>
            </w:r>
            <w:r>
              <w:rPr>
                <w:rFonts w:hint="eastAsia" w:ascii="宋体" w:hAnsi="宋体" w:eastAsia="宋体" w:cs="宋体"/>
                <w:sz w:val="24"/>
                <w:szCs w:val="24"/>
                <w:highlight w:val="none"/>
                <w:lang w:val="en-US" w:bidi="zh-CN"/>
              </w:rPr>
              <w:t>2</w:t>
            </w:r>
            <w:r>
              <w:rPr>
                <w:rFonts w:hint="eastAsia" w:ascii="宋体" w:hAnsi="宋体" w:eastAsia="宋体" w:cs="宋体"/>
                <w:sz w:val="24"/>
                <w:szCs w:val="24"/>
                <w:highlight w:val="none"/>
                <w:lang w:bidi="zh-CN"/>
              </w:rPr>
              <w:t>分。</w:t>
            </w:r>
          </w:p>
          <w:p w14:paraId="6AE3B39D">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内容基本完整，科学、合理方面一般，考虑不够全面，措施不够到位，针对性不强，虽然能够基本满足项目的需要，但有很多方面需要进一步完善甚至重新考虑，得1分。</w:t>
            </w:r>
          </w:p>
          <w:p w14:paraId="3C6E780F">
            <w:pPr>
              <w:spacing w:line="360" w:lineRule="auto"/>
              <w:rPr>
                <w:rFonts w:hint="eastAsia" w:ascii="宋体" w:hAnsi="宋体" w:eastAsia="宋体" w:cs="宋体"/>
                <w:sz w:val="24"/>
                <w:szCs w:val="24"/>
                <w:highlight w:val="none"/>
                <w:lang w:val="zh-CN" w:bidi="zh-CN"/>
              </w:rPr>
            </w:pPr>
            <w:r>
              <w:rPr>
                <w:rFonts w:hint="eastAsia" w:ascii="宋体" w:hAnsi="宋体" w:eastAsia="宋体" w:cs="宋体"/>
                <w:sz w:val="24"/>
                <w:szCs w:val="24"/>
                <w:highlight w:val="none"/>
                <w:lang w:bidi="zh-CN"/>
              </w:rPr>
              <w:t>缺项或不符合要求不得分；</w:t>
            </w:r>
          </w:p>
        </w:tc>
      </w:tr>
      <w:tr w14:paraId="0E82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707" w:type="dxa"/>
            <w:gridSpan w:val="4"/>
            <w:tcBorders>
              <w:top w:val="single" w:color="auto" w:sz="4" w:space="0"/>
              <w:left w:val="single" w:color="auto" w:sz="4" w:space="0"/>
              <w:bottom w:val="single" w:color="auto" w:sz="4" w:space="0"/>
              <w:right w:val="single" w:color="auto" w:sz="4" w:space="0"/>
            </w:tcBorders>
            <w:vAlign w:val="center"/>
          </w:tcPr>
          <w:p w14:paraId="25860DE9">
            <w:pPr>
              <w:widowControl w:val="0"/>
              <w:adjustRightInd w:val="0"/>
              <w:snapToGrid w:val="0"/>
              <w:spacing w:line="360" w:lineRule="auto"/>
              <w:jc w:val="both"/>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注：评审中资格审查、评审打分以响应文件中原件扫描件为准且必须内容齐全、真实有效、清晰可辨。响应性文件的内容真实性由供应商自行承担。</w:t>
            </w:r>
          </w:p>
          <w:p w14:paraId="29AB3E27">
            <w:pPr>
              <w:widowControl w:val="0"/>
              <w:adjustRightInd w:val="0"/>
              <w:snapToGrid w:val="0"/>
              <w:spacing w:line="360" w:lineRule="auto"/>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sz w:val="24"/>
                <w:szCs w:val="24"/>
                <w:highlight w:val="none"/>
              </w:rPr>
              <w:t>1</w:t>
            </w:r>
            <w:r>
              <w:rPr>
                <w:rFonts w:hint="eastAsia" w:ascii="宋体" w:hAnsi="宋体" w:cs="宋体"/>
                <w:bCs/>
                <w:color w:val="auto"/>
                <w:kern w:val="2"/>
                <w:sz w:val="24"/>
                <w:szCs w:val="24"/>
                <w:highlight w:val="none"/>
                <w:lang w:eastAsia="zh-CN"/>
              </w:rPr>
              <w:t>、</w:t>
            </w:r>
            <w:r>
              <w:rPr>
                <w:rFonts w:hint="eastAsia" w:ascii="宋体" w:hAnsi="宋体" w:cs="宋体"/>
                <w:bCs/>
                <w:color w:val="auto"/>
                <w:kern w:val="2"/>
                <w:sz w:val="24"/>
                <w:szCs w:val="24"/>
                <w:highlight w:val="none"/>
                <w:lang w:val="en-US" w:eastAsia="zh-CN"/>
              </w:rPr>
              <w:t>评审中出现下列情形之一的，评标委员会可以启动异常低价投标（响应）审查程序：</w:t>
            </w:r>
          </w:p>
          <w:p w14:paraId="7819D280">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1.投标（响应）报价低于全部通过符合性审查供应商投标（响应）报价平均值50%的，即投标（响应）报价＜全部通过符合性审查供应商投标（响应）报价平均值×50%；</w:t>
            </w:r>
          </w:p>
          <w:p w14:paraId="4E883E84">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2.投标（响应）报价低于通过符合性审查且报价次低供应商投标（响应）报价 50%的，即投标（响应）报价＜通过符合性审查且报价次低供应商投标（响应）报价×50%；</w:t>
            </w:r>
          </w:p>
          <w:p w14:paraId="44C0CB6C">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3.投标（响应）报价低于采购项目最高限价45%的，即投标（响应）报价＜采购项目最高限价×45%；</w:t>
            </w:r>
          </w:p>
          <w:p w14:paraId="4AD5D19F">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4.评审委员会基于专业判断，认为供应商报价过低，有可能影响产品质量或者不能诚信履约的其他情形。</w:t>
            </w:r>
          </w:p>
          <w:p w14:paraId="61D9F116">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r>
              <w:rPr>
                <w:rFonts w:hint="eastAsia" w:ascii="宋体" w:hAnsi="宋体" w:cs="宋体"/>
                <w:bCs/>
                <w:color w:val="auto"/>
                <w:kern w:val="2"/>
                <w:sz w:val="24"/>
                <w:szCs w:val="24"/>
                <w:highlight w:val="none"/>
                <w:lang w:val="en-US" w:eastAsia="zh-CN"/>
              </w:rPr>
              <w:t>。</w:t>
            </w:r>
          </w:p>
          <w:p w14:paraId="76589B42">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lang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DF06CA1">
            <w:pPr>
              <w:spacing w:line="360" w:lineRule="auto"/>
              <w:rPr>
                <w:rFonts w:hint="eastAsia" w:ascii="宋体" w:hAnsi="宋体" w:eastAsia="宋体" w:cs="宋体"/>
                <w:sz w:val="24"/>
                <w:szCs w:val="24"/>
                <w:highlight w:val="none"/>
                <w:lang w:bidi="zh-CN"/>
              </w:rPr>
            </w:pPr>
            <w:r>
              <w:rPr>
                <w:rFonts w:hint="eastAsia" w:ascii="宋体" w:hAnsi="宋体" w:cs="宋体"/>
                <w:bCs/>
                <w:color w:val="auto"/>
                <w:kern w:val="2"/>
                <w:sz w:val="24"/>
                <w:szCs w:val="24"/>
                <w:highlight w:val="none"/>
              </w:rPr>
              <w:t>2、评标开始后，不再接受任何补充材料。</w:t>
            </w:r>
          </w:p>
        </w:tc>
      </w:tr>
    </w:tbl>
    <w:p w14:paraId="36C0B401">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供应商综合得分按下列公式计算（计算分值均保留两位小数）；</w:t>
      </w:r>
    </w:p>
    <w:p w14:paraId="19C658D1">
      <w:pPr>
        <w:widowControl/>
        <w:spacing w:line="360" w:lineRule="auto"/>
        <w:rPr>
          <w:rFonts w:hint="eastAsia" w:ascii="宋体" w:hAnsi="宋体" w:cs="Calibri"/>
          <w:szCs w:val="21"/>
          <w:highlight w:val="none"/>
        </w:rPr>
      </w:pPr>
      <w:r>
        <w:rPr>
          <w:rFonts w:hint="eastAsia" w:ascii="宋体" w:hAnsi="宋体" w:cs="Calibri"/>
          <w:b/>
          <w:bCs/>
          <w:kern w:val="0"/>
          <w:sz w:val="24"/>
          <w:highlight w:val="none"/>
        </w:rPr>
        <w:t>注：评分办法中要求材料均以原件扫描件为准，保证清晰可见。</w:t>
      </w:r>
    </w:p>
    <w:p w14:paraId="694A0438">
      <w:pPr>
        <w:spacing w:line="480" w:lineRule="exact"/>
        <w:jc w:val="left"/>
        <w:outlineLvl w:val="1"/>
        <w:rPr>
          <w:rFonts w:hint="eastAsia" w:ascii="宋体" w:hAnsi="宋体" w:eastAsia="宋体" w:cs="宋体"/>
          <w:b/>
          <w:bCs/>
          <w:sz w:val="24"/>
          <w:szCs w:val="24"/>
          <w:highlight w:val="none"/>
        </w:rPr>
      </w:pPr>
      <w:bookmarkStart w:id="203" w:name="_Toc19222"/>
      <w:r>
        <w:rPr>
          <w:rFonts w:hint="eastAsia" w:ascii="宋体" w:hAnsi="宋体" w:eastAsia="宋体" w:cs="宋体"/>
          <w:b/>
          <w:bCs/>
          <w:sz w:val="24"/>
          <w:szCs w:val="24"/>
          <w:highlight w:val="none"/>
        </w:rPr>
        <w:t>三、综合评估法</w:t>
      </w:r>
      <w:bookmarkEnd w:id="203"/>
    </w:p>
    <w:p w14:paraId="5790BE52">
      <w:pPr>
        <w:spacing w:line="460" w:lineRule="exact"/>
        <w:ind w:firstLine="480" w:firstLineChars="200"/>
        <w:jc w:val="left"/>
        <w:outlineLvl w:val="2"/>
        <w:rPr>
          <w:rFonts w:hint="eastAsia" w:ascii="宋体" w:hAnsi="宋体" w:eastAsia="宋体" w:cs="宋体"/>
          <w:sz w:val="24"/>
          <w:szCs w:val="24"/>
          <w:highlight w:val="none"/>
        </w:rPr>
      </w:pPr>
      <w:bookmarkStart w:id="204" w:name="_Toc22573"/>
      <w:r>
        <w:rPr>
          <w:rFonts w:hint="eastAsia" w:ascii="宋体" w:hAnsi="宋体" w:eastAsia="宋体" w:cs="宋体"/>
          <w:sz w:val="24"/>
          <w:szCs w:val="24"/>
          <w:highlight w:val="none"/>
        </w:rPr>
        <w:t>3.1、本次采用综合评估法。</w:t>
      </w:r>
      <w:bookmarkEnd w:id="204"/>
    </w:p>
    <w:p w14:paraId="66E231CB">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磋商小组按与各供应商分别单独就采购需求、质量和服务等进行磋商，并将磋商内容记录在案，磋商结束后，磋商小组将要求实质性响应竞争性磋商文件的供应商在规定时间内提交最后报价。在规定时间内没有提交最后报价的磋商供应商，将视其首次报价为最终报价。未通过实质性响应的供应商将不再进行最后报价。经磋商确定最终采购需求和提交最后报价的供应商后，由磋商小组采用综合评分法对提交最后报价的供应商的响应文件和最后报价进行综合评分。</w:t>
      </w:r>
    </w:p>
    <w:p w14:paraId="0E9D2911">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磋商小组对满足采购文件实质性要求的响应文件，按照本章规定的评分标准进行打分，按最终得分由高到低顺序推荐候选成交供应商。得分相同的，按照最后报价由低到高的顺序推荐。评审得分且最后报价相同的，按照技术指标优劣顺序推荐。</w:t>
      </w:r>
    </w:p>
    <w:p w14:paraId="3E3D2F5E">
      <w:pPr>
        <w:spacing w:line="460" w:lineRule="exact"/>
        <w:ind w:firstLine="520" w:firstLineChars="217"/>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3.2、评分分值计算保留小数点后两位，小数点后第三位“四舍五入”。</w:t>
      </w:r>
    </w:p>
    <w:p w14:paraId="4C4EF9D9">
      <w:pPr>
        <w:spacing w:line="460" w:lineRule="exact"/>
        <w:ind w:firstLine="520" w:firstLineChars="217"/>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3.3、在评标过程中，凡遇到磋商文件中无界定或界定不清、前后不一致使磋商小组成员意见有分歧且又难以协商一致的问题，均由磋商小组成员投票予以表决，少数服从多数原则确定。 </w:t>
      </w:r>
    </w:p>
    <w:p w14:paraId="0CD3C55D">
      <w:pPr>
        <w:spacing w:line="460" w:lineRule="exact"/>
        <w:ind w:firstLine="480" w:firstLineChars="200"/>
        <w:jc w:val="left"/>
        <w:outlineLvl w:val="2"/>
        <w:rPr>
          <w:rFonts w:hint="eastAsia" w:ascii="宋体" w:hAnsi="宋体" w:eastAsia="宋体" w:cs="宋体"/>
          <w:sz w:val="24"/>
          <w:szCs w:val="24"/>
          <w:highlight w:val="none"/>
        </w:rPr>
      </w:pPr>
      <w:bookmarkStart w:id="205" w:name="_Toc23408"/>
      <w:r>
        <w:rPr>
          <w:rFonts w:hint="eastAsia" w:ascii="宋体" w:hAnsi="宋体" w:eastAsia="宋体" w:cs="宋体"/>
          <w:sz w:val="24"/>
          <w:szCs w:val="24"/>
          <w:highlight w:val="none"/>
        </w:rPr>
        <w:t>3.4、磋商小组完成评审后，向采购人出具评审报告。</w:t>
      </w:r>
      <w:bookmarkEnd w:id="205"/>
    </w:p>
    <w:p w14:paraId="334737DC">
      <w:pPr>
        <w:spacing w:line="480" w:lineRule="exact"/>
        <w:jc w:val="left"/>
        <w:outlineLvl w:val="1"/>
        <w:rPr>
          <w:rFonts w:hint="eastAsia" w:ascii="宋体" w:hAnsi="宋体" w:eastAsia="宋体" w:cs="宋体"/>
          <w:b/>
          <w:bCs/>
          <w:sz w:val="24"/>
          <w:szCs w:val="24"/>
          <w:highlight w:val="none"/>
        </w:rPr>
      </w:pPr>
      <w:bookmarkStart w:id="206" w:name="_Toc30530"/>
      <w:r>
        <w:rPr>
          <w:rFonts w:hint="eastAsia" w:ascii="宋体" w:hAnsi="宋体" w:eastAsia="宋体" w:cs="宋体"/>
          <w:b/>
          <w:bCs/>
          <w:sz w:val="24"/>
          <w:szCs w:val="24"/>
          <w:highlight w:val="none"/>
        </w:rPr>
        <w:t>四、磋商程序</w:t>
      </w:r>
      <w:bookmarkEnd w:id="206"/>
      <w:r>
        <w:rPr>
          <w:rFonts w:hint="eastAsia" w:ascii="宋体" w:hAnsi="宋体" w:eastAsia="宋体" w:cs="宋体"/>
          <w:b/>
          <w:bCs/>
          <w:sz w:val="24"/>
          <w:szCs w:val="24"/>
          <w:highlight w:val="none"/>
        </w:rPr>
        <w:t xml:space="preserve"> </w:t>
      </w:r>
    </w:p>
    <w:p w14:paraId="4E36B9CE">
      <w:pPr>
        <w:spacing w:line="480" w:lineRule="exact"/>
        <w:ind w:firstLine="482" w:firstLineChars="200"/>
        <w:jc w:val="left"/>
        <w:outlineLvl w:val="2"/>
        <w:rPr>
          <w:rFonts w:hint="eastAsia" w:ascii="宋体" w:hAnsi="宋体" w:eastAsia="宋体" w:cs="宋体"/>
          <w:b/>
          <w:bCs/>
          <w:sz w:val="24"/>
          <w:szCs w:val="24"/>
          <w:highlight w:val="none"/>
        </w:rPr>
      </w:pPr>
      <w:bookmarkStart w:id="207" w:name="_Toc880"/>
      <w:r>
        <w:rPr>
          <w:rFonts w:hint="eastAsia" w:ascii="宋体" w:hAnsi="宋体" w:eastAsia="宋体" w:cs="宋体"/>
          <w:b/>
          <w:bCs/>
          <w:sz w:val="24"/>
          <w:szCs w:val="24"/>
          <w:highlight w:val="none"/>
        </w:rPr>
        <w:t>4.1 初步评审</w:t>
      </w:r>
      <w:bookmarkEnd w:id="207"/>
      <w:r>
        <w:rPr>
          <w:rFonts w:hint="eastAsia" w:ascii="宋体" w:hAnsi="宋体" w:eastAsia="宋体" w:cs="宋体"/>
          <w:b/>
          <w:bCs/>
          <w:sz w:val="24"/>
          <w:szCs w:val="24"/>
          <w:highlight w:val="none"/>
        </w:rPr>
        <w:t xml:space="preserve"> </w:t>
      </w:r>
    </w:p>
    <w:p w14:paraId="2482E73C">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4.1.</w:t>
      </w:r>
      <w:r>
        <w:rPr>
          <w:rFonts w:ascii="宋体" w:hAnsi="宋体" w:eastAsia="宋体" w:cs="宋体"/>
          <w:sz w:val="24"/>
          <w:szCs w:val="24"/>
          <w:highlight w:val="none"/>
        </w:rPr>
        <w:t>1</w:t>
      </w:r>
      <w:r>
        <w:rPr>
          <w:rFonts w:hint="eastAsia" w:ascii="宋体" w:hAnsi="宋体" w:eastAsia="宋体" w:cs="宋体"/>
          <w:sz w:val="24"/>
          <w:szCs w:val="24"/>
          <w:highlight w:val="none"/>
        </w:rPr>
        <w:t xml:space="preserve">磋商小组依据本章附表 1 初步评审表规定的标准对磋商响应文件进行初步评审。有一项不符合评审标准的，作无效标处理。 </w:t>
      </w:r>
    </w:p>
    <w:p w14:paraId="4CEDA2A4">
      <w:pPr>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4.1.</w:t>
      </w:r>
      <w:r>
        <w:rPr>
          <w:rFonts w:ascii="宋体" w:hAnsi="宋体" w:eastAsia="宋体" w:cs="宋体"/>
          <w:sz w:val="24"/>
          <w:szCs w:val="24"/>
          <w:highlight w:val="none"/>
        </w:rPr>
        <w:t>2</w:t>
      </w:r>
      <w:r>
        <w:rPr>
          <w:rFonts w:hint="eastAsia" w:ascii="宋体" w:hAnsi="宋体" w:eastAsia="宋体" w:cs="宋体"/>
          <w:sz w:val="24"/>
          <w:szCs w:val="24"/>
          <w:highlight w:val="none"/>
        </w:rPr>
        <w:t xml:space="preserve">供应商有以下情形之一的，其磋商作无效标处理： </w:t>
      </w:r>
    </w:p>
    <w:p w14:paraId="5385501C">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（1）串通磋商或弄虚作假或有其他违法行为的； </w:t>
      </w:r>
    </w:p>
    <w:p w14:paraId="3C5F168B">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（2）不按磋商小组要求澄清、说明或补正的。 </w:t>
      </w:r>
    </w:p>
    <w:p w14:paraId="26F09A34">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4.1.</w:t>
      </w:r>
      <w:r>
        <w:rPr>
          <w:rFonts w:ascii="宋体" w:hAnsi="宋体" w:eastAsia="宋体" w:cs="宋体"/>
          <w:sz w:val="24"/>
          <w:szCs w:val="24"/>
          <w:highlight w:val="none"/>
        </w:rPr>
        <w:t>3</w:t>
      </w:r>
      <w:r>
        <w:rPr>
          <w:rFonts w:hint="eastAsia" w:ascii="宋体" w:hAnsi="宋体" w:eastAsia="宋体" w:cs="宋体"/>
          <w:sz w:val="24"/>
          <w:szCs w:val="24"/>
          <w:highlight w:val="none"/>
        </w:rPr>
        <w:t xml:space="preserve">磋商报价有算术错误的，磋商小组按以下原则对磋商报价进行修正，修正的价格经供应商确认后具有约束力。供应商不接受修正价格的，其磋商作废标处理。 </w:t>
      </w:r>
    </w:p>
    <w:p w14:paraId="77589035">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（1）磋商文件中的大写金额与小写金额不一致的，以大写金额为准； </w:t>
      </w:r>
    </w:p>
    <w:p w14:paraId="1BA140DC">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（2）总价金额与依据单价计算出的结果不一致的，以单价金额为准修正总价，但单价金额小数点有明显错误的除外。</w:t>
      </w:r>
    </w:p>
    <w:p w14:paraId="1441F84A">
      <w:pPr>
        <w:spacing w:line="460" w:lineRule="exact"/>
        <w:ind w:firstLine="482" w:firstLineChars="200"/>
        <w:jc w:val="left"/>
        <w:outlineLvl w:val="2"/>
        <w:rPr>
          <w:rFonts w:hint="eastAsia" w:ascii="宋体" w:hAnsi="宋体" w:eastAsia="宋体" w:cs="宋体"/>
          <w:b/>
          <w:bCs/>
          <w:sz w:val="24"/>
          <w:szCs w:val="24"/>
          <w:highlight w:val="none"/>
        </w:rPr>
      </w:pPr>
      <w:bookmarkStart w:id="208" w:name="_Toc3753"/>
      <w:r>
        <w:rPr>
          <w:rFonts w:hint="eastAsia" w:ascii="宋体" w:hAnsi="宋体" w:eastAsia="宋体" w:cs="宋体"/>
          <w:b/>
          <w:bCs/>
          <w:sz w:val="24"/>
          <w:szCs w:val="24"/>
          <w:highlight w:val="none"/>
        </w:rPr>
        <w:t>4.2详细评审</w:t>
      </w:r>
      <w:bookmarkEnd w:id="208"/>
      <w:r>
        <w:rPr>
          <w:rFonts w:hint="eastAsia" w:ascii="宋体" w:hAnsi="宋体" w:eastAsia="宋体" w:cs="宋体"/>
          <w:b/>
          <w:bCs/>
          <w:sz w:val="24"/>
          <w:szCs w:val="24"/>
          <w:highlight w:val="none"/>
        </w:rPr>
        <w:t xml:space="preserve"> </w:t>
      </w:r>
    </w:p>
    <w:p w14:paraId="41DEE37C">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4.2.1磋商小组按本章评标办法前附表规定的量化因素和分值进行打分，并计算出综合评估得分。</w:t>
      </w:r>
    </w:p>
    <w:p w14:paraId="1EC9D328">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4.2.2在评审过程中，磋商小组发现供应商的磋商报价明显低于其他供应商的报价，并有可能低于其企业成本的，则磋商小组可以要求该供应商作出说明并提供相关证明材料。供应商不能合理说明或不能提供相关证明材料的，经磋商小组</w:t>
      </w:r>
      <w:r>
        <w:rPr>
          <w:rFonts w:hint="eastAsia" w:ascii="宋体" w:hAnsi="宋体" w:eastAsia="宋体" w:cs="宋体"/>
          <w:spacing w:val="6"/>
          <w:sz w:val="24"/>
          <w:szCs w:val="20"/>
          <w:highlight w:val="none"/>
        </w:rPr>
        <w:t>小组认定，属于恶性竞标的，可以按废标处理；磋商小组将不对无效响应文件或废标的供应商进行评审或打分。</w:t>
      </w:r>
      <w:r>
        <w:rPr>
          <w:rFonts w:hint="eastAsia" w:ascii="宋体" w:hAnsi="宋体" w:eastAsia="宋体" w:cs="宋体"/>
          <w:sz w:val="24"/>
          <w:szCs w:val="24"/>
          <w:highlight w:val="none"/>
        </w:rPr>
        <w:t xml:space="preserve"> </w:t>
      </w:r>
    </w:p>
    <w:p w14:paraId="3FB66778">
      <w:pPr>
        <w:spacing w:line="460" w:lineRule="exact"/>
        <w:ind w:firstLine="482" w:firstLineChars="200"/>
        <w:jc w:val="left"/>
        <w:outlineLvl w:val="2"/>
        <w:rPr>
          <w:rFonts w:hint="eastAsia" w:ascii="宋体" w:hAnsi="宋体" w:eastAsia="宋体" w:cs="宋体"/>
          <w:b/>
          <w:bCs/>
          <w:sz w:val="24"/>
          <w:szCs w:val="24"/>
          <w:highlight w:val="none"/>
        </w:rPr>
      </w:pPr>
      <w:bookmarkStart w:id="209" w:name="_Toc12705"/>
      <w:r>
        <w:rPr>
          <w:rFonts w:hint="eastAsia" w:ascii="宋体" w:hAnsi="宋体" w:eastAsia="宋体" w:cs="宋体"/>
          <w:b/>
          <w:bCs/>
          <w:sz w:val="24"/>
          <w:szCs w:val="24"/>
          <w:highlight w:val="none"/>
        </w:rPr>
        <w:t>4.3磋商文件的澄清和补正</w:t>
      </w:r>
      <w:bookmarkEnd w:id="209"/>
      <w:r>
        <w:rPr>
          <w:rFonts w:hint="eastAsia" w:ascii="宋体" w:hAnsi="宋体" w:eastAsia="宋体" w:cs="宋体"/>
          <w:b/>
          <w:bCs/>
          <w:sz w:val="24"/>
          <w:szCs w:val="24"/>
          <w:highlight w:val="none"/>
        </w:rPr>
        <w:t xml:space="preserve"> </w:t>
      </w:r>
    </w:p>
    <w:p w14:paraId="53AC3A70">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4.3.1在磋商过程中，磋商小组可以要求供应商对所提交磋商响应文件中不明确的内容进行澄清或说明，或者对细微偏差进行补正。磋商小组不接受供应商主动提出的澄清、说明或补正。 </w:t>
      </w:r>
    </w:p>
    <w:p w14:paraId="114ABE58">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4.3.2澄清、说明和补正不得改变磋商文件的实质性内容（算术性错误修正的除外）。供应商的澄清、说明和补正属于磋商响应文件的组成部分。 </w:t>
      </w:r>
    </w:p>
    <w:p w14:paraId="7B74FFC5">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4.3.3磋商小组对供应商提交的澄清、说明或补正有疑问的，可以要求供应商进一步澄清、说明或补正，直至满足磋商小组的要求。 </w:t>
      </w:r>
    </w:p>
    <w:p w14:paraId="5285258C">
      <w:pPr>
        <w:spacing w:line="460" w:lineRule="exact"/>
        <w:ind w:firstLine="482" w:firstLineChars="200"/>
        <w:jc w:val="left"/>
        <w:outlineLvl w:val="2"/>
        <w:rPr>
          <w:rFonts w:hint="eastAsia" w:ascii="宋体" w:hAnsi="宋体" w:eastAsia="宋体" w:cs="宋体"/>
          <w:b/>
          <w:bCs/>
          <w:sz w:val="24"/>
          <w:szCs w:val="24"/>
          <w:highlight w:val="none"/>
        </w:rPr>
      </w:pPr>
      <w:bookmarkStart w:id="210" w:name="_Toc16129"/>
      <w:r>
        <w:rPr>
          <w:rFonts w:hint="eastAsia" w:ascii="宋体" w:hAnsi="宋体" w:eastAsia="宋体" w:cs="宋体"/>
          <w:b/>
          <w:bCs/>
          <w:sz w:val="24"/>
          <w:szCs w:val="24"/>
          <w:highlight w:val="none"/>
        </w:rPr>
        <w:t>4.4、计分办法</w:t>
      </w:r>
      <w:bookmarkEnd w:id="210"/>
    </w:p>
    <w:p w14:paraId="58FE44CC">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根据磋商文件、响应文件，按照评分办法，得出每个评委对响应单位的评标分数。响应单位的最终得分为所有评委对其打分的算术平均值。计分过程按四舍五入取至小数点后两位，最终得分取至小数点后二位。</w:t>
      </w:r>
    </w:p>
    <w:p w14:paraId="2DA23741">
      <w:pPr>
        <w:spacing w:line="460" w:lineRule="exact"/>
        <w:ind w:firstLine="482" w:firstLineChars="200"/>
        <w:jc w:val="left"/>
        <w:outlineLvl w:val="2"/>
        <w:rPr>
          <w:rFonts w:hint="eastAsia" w:ascii="宋体" w:hAnsi="宋体" w:eastAsia="宋体" w:cs="宋体"/>
          <w:b/>
          <w:bCs/>
          <w:sz w:val="24"/>
          <w:szCs w:val="24"/>
          <w:highlight w:val="none"/>
        </w:rPr>
      </w:pPr>
      <w:bookmarkStart w:id="211" w:name="_Toc10110"/>
      <w:r>
        <w:rPr>
          <w:rFonts w:hint="eastAsia" w:ascii="宋体" w:hAnsi="宋体" w:eastAsia="宋体" w:cs="宋体"/>
          <w:b/>
          <w:bCs/>
          <w:sz w:val="24"/>
          <w:szCs w:val="24"/>
          <w:highlight w:val="none"/>
        </w:rPr>
        <w:t>4.5  磋商结果</w:t>
      </w:r>
      <w:bookmarkEnd w:id="211"/>
    </w:p>
    <w:p w14:paraId="432E76BB">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磋商小组按照得分由高到低的顺序推荐3名中标候选人。磋商小组完成磋商后，应当向采购人提交磋商报告。</w:t>
      </w:r>
    </w:p>
    <w:p w14:paraId="688DADA9">
      <w:pPr>
        <w:spacing w:line="460" w:lineRule="exact"/>
        <w:ind w:firstLine="482" w:firstLineChars="200"/>
        <w:jc w:val="left"/>
        <w:outlineLvl w:val="2"/>
        <w:rPr>
          <w:rFonts w:hint="eastAsia" w:ascii="宋体" w:hAnsi="宋体" w:eastAsia="宋体" w:cs="宋体"/>
          <w:b/>
          <w:bCs/>
          <w:sz w:val="24"/>
          <w:szCs w:val="24"/>
          <w:highlight w:val="none"/>
        </w:rPr>
      </w:pPr>
      <w:bookmarkStart w:id="212" w:name="_Toc8670"/>
      <w:r>
        <w:rPr>
          <w:rFonts w:hint="eastAsia" w:ascii="宋体" w:hAnsi="宋体" w:eastAsia="宋体" w:cs="宋体"/>
          <w:b/>
          <w:bCs/>
          <w:sz w:val="24"/>
          <w:szCs w:val="24"/>
          <w:highlight w:val="none"/>
        </w:rPr>
        <w:t>4.6 定标办法</w:t>
      </w:r>
      <w:bookmarkEnd w:id="212"/>
    </w:p>
    <w:p w14:paraId="1E4C2269">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（1）磋商小组应当根据供应商最终得分由高到低的顺序推荐3名成交候选供应商，出具磋商评审报告。</w:t>
      </w:r>
    </w:p>
    <w:p w14:paraId="69D0CCD7">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最终得分相同的，按照最后报价由低到高的顺序推荐。最终得分和最后报价均相同的，按照技术指标优劣顺序或磋商小组举手表决，少数服从多数的原则推荐。</w:t>
      </w:r>
    </w:p>
    <w:p w14:paraId="0A4F44E0">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（2）采购人按磋商小组写出磋商报告确定排序第一的响应单位为成交人。</w:t>
      </w:r>
    </w:p>
    <w:p w14:paraId="1E120704">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成交供应商拒绝签订政府采购合同的，采购人可以按照“财库【2014】214号”文第二十八条第二款规定的原则确定其他供应商作为成交供应商并签订政府采购合同，也可以重新开展采购活动。拒绝签订政府采购合同的成交供应商不得参加对该项目重新开展的采购活动。</w:t>
      </w:r>
    </w:p>
    <w:p w14:paraId="34A3DC6D">
      <w:pPr>
        <w:spacing w:line="360" w:lineRule="auto"/>
        <w:ind w:firstLine="456" w:firstLineChars="200"/>
        <w:jc w:val="left"/>
        <w:rPr>
          <w:highlight w:val="none"/>
        </w:rPr>
      </w:pPr>
      <w:r>
        <w:rPr>
          <w:rFonts w:hint="eastAsia" w:ascii="宋体" w:hAnsi="宋体" w:cs="宋体"/>
          <w:spacing w:val="-6"/>
          <w:kern w:val="0"/>
          <w:sz w:val="24"/>
          <w:highlight w:val="none"/>
        </w:rPr>
        <w:br w:type="page"/>
      </w:r>
    </w:p>
    <w:p w14:paraId="0D4C0F60">
      <w:pPr>
        <w:pStyle w:val="7"/>
        <w:jc w:val="center"/>
        <w:rPr>
          <w:highlight w:val="none"/>
        </w:rPr>
      </w:pPr>
      <w:bookmarkStart w:id="213" w:name="_Toc26959_WPSOffice_Level1"/>
      <w:bookmarkStart w:id="214" w:name="_Toc17744"/>
      <w:bookmarkStart w:id="215" w:name="_Toc8518"/>
      <w:bookmarkStart w:id="216" w:name="_Toc11512_WPSOffice_Level1"/>
      <w:bookmarkStart w:id="217" w:name="_Toc9767"/>
      <w:bookmarkStart w:id="218" w:name="_Toc2414"/>
      <w:bookmarkStart w:id="219" w:name="_Toc6551_WPSOffice_Level1"/>
      <w:bookmarkStart w:id="220" w:name="_Toc13565_WPSOffice_Level1"/>
      <w:r>
        <w:rPr>
          <w:rFonts w:hint="eastAsia"/>
          <w:highlight w:val="none"/>
        </w:rPr>
        <w:t>第四章  合同主要条款及格式</w:t>
      </w:r>
      <w:bookmarkEnd w:id="213"/>
      <w:bookmarkEnd w:id="214"/>
      <w:bookmarkEnd w:id="215"/>
      <w:bookmarkEnd w:id="216"/>
      <w:bookmarkEnd w:id="217"/>
      <w:bookmarkEnd w:id="218"/>
      <w:bookmarkEnd w:id="219"/>
      <w:bookmarkEnd w:id="220"/>
    </w:p>
    <w:p w14:paraId="39F69E2E">
      <w:pPr>
        <w:widowControl/>
        <w:jc w:val="left"/>
        <w:rPr>
          <w:rFonts w:hint="eastAsia" w:ascii="宋体" w:hAnsi="宋体" w:eastAsia="宋体" w:cs="宋体"/>
          <w:kern w:val="0"/>
          <w:sz w:val="24"/>
          <w:szCs w:val="24"/>
          <w:highlight w:val="none"/>
        </w:rPr>
      </w:pPr>
    </w:p>
    <w:p w14:paraId="451F2F6A">
      <w:pPr>
        <w:widowControl/>
        <w:jc w:val="left"/>
        <w:rPr>
          <w:rFonts w:hint="eastAsia" w:ascii="宋体" w:hAnsi="宋体" w:eastAsia="宋体" w:cs="宋体"/>
          <w:kern w:val="0"/>
          <w:sz w:val="24"/>
          <w:szCs w:val="24"/>
          <w:highlight w:val="none"/>
        </w:rPr>
      </w:pPr>
    </w:p>
    <w:p w14:paraId="586AD424">
      <w:pPr>
        <w:widowControl/>
        <w:spacing w:line="360" w:lineRule="auto"/>
        <w:ind w:firstLine="482" w:firstLineChars="200"/>
        <w:jc w:val="left"/>
        <w:rPr>
          <w:rFonts w:hint="eastAsia" w:ascii="宋体" w:hAnsi="宋体" w:cs="宋体"/>
          <w:b/>
          <w:bCs/>
          <w:sz w:val="24"/>
          <w:szCs w:val="24"/>
          <w:highlight w:val="none"/>
        </w:rPr>
      </w:pPr>
      <w:r>
        <w:rPr>
          <w:rFonts w:hint="eastAsia" w:ascii="宋体" w:hAnsi="宋体" w:cs="宋体"/>
          <w:b/>
          <w:bCs/>
          <w:sz w:val="24"/>
          <w:szCs w:val="24"/>
          <w:highlight w:val="none"/>
        </w:rPr>
        <w:t>由项目采购单位与成交单位根据本磋商文件、成交单位响应文件及成交通知书，协商签订本项目采购合同。</w:t>
      </w:r>
    </w:p>
    <w:p w14:paraId="155952BB">
      <w:pPr>
        <w:pStyle w:val="9"/>
        <w:rPr>
          <w:rFonts w:hint="eastAsia" w:ascii="宋体" w:hAnsi="宋体" w:cs="宋体"/>
          <w:b/>
          <w:bCs/>
          <w:sz w:val="24"/>
          <w:szCs w:val="24"/>
          <w:highlight w:val="none"/>
        </w:rPr>
      </w:pPr>
    </w:p>
    <w:p w14:paraId="1EC787C2">
      <w:pPr>
        <w:pStyle w:val="9"/>
        <w:jc w:val="center"/>
        <w:rPr>
          <w:rFonts w:hint="eastAsia" w:ascii="宋体" w:hAnsi="宋体" w:eastAsia="宋体" w:cs="宋体"/>
          <w:b/>
          <w:bCs/>
          <w:spacing w:val="-20"/>
          <w:kern w:val="44"/>
          <w:sz w:val="24"/>
          <w:szCs w:val="24"/>
          <w:highlight w:val="none"/>
        </w:rPr>
      </w:pPr>
    </w:p>
    <w:p w14:paraId="67AFDD50">
      <w:pPr>
        <w:pStyle w:val="9"/>
        <w:jc w:val="center"/>
        <w:rPr>
          <w:rFonts w:hint="eastAsia" w:ascii="宋体" w:hAnsi="宋体" w:eastAsia="宋体" w:cs="宋体"/>
          <w:b/>
          <w:bCs/>
          <w:spacing w:val="-20"/>
          <w:kern w:val="44"/>
          <w:sz w:val="24"/>
          <w:szCs w:val="24"/>
          <w:highlight w:val="none"/>
        </w:rPr>
      </w:pPr>
    </w:p>
    <w:p w14:paraId="60CA3CF9">
      <w:pPr>
        <w:pStyle w:val="9"/>
        <w:jc w:val="center"/>
        <w:rPr>
          <w:rFonts w:hint="eastAsia" w:ascii="宋体" w:hAnsi="宋体" w:eastAsia="宋体" w:cs="宋体"/>
          <w:b/>
          <w:bCs/>
          <w:spacing w:val="-20"/>
          <w:kern w:val="44"/>
          <w:sz w:val="24"/>
          <w:szCs w:val="24"/>
          <w:highlight w:val="none"/>
        </w:rPr>
      </w:pPr>
    </w:p>
    <w:p w14:paraId="49920069">
      <w:pPr>
        <w:pStyle w:val="9"/>
        <w:jc w:val="center"/>
        <w:rPr>
          <w:rFonts w:hint="eastAsia" w:ascii="宋体" w:hAnsi="宋体" w:eastAsia="宋体" w:cs="宋体"/>
          <w:b/>
          <w:bCs/>
          <w:spacing w:val="-20"/>
          <w:kern w:val="44"/>
          <w:sz w:val="24"/>
          <w:szCs w:val="24"/>
          <w:highlight w:val="none"/>
        </w:rPr>
      </w:pPr>
    </w:p>
    <w:p w14:paraId="0126A1D4">
      <w:pPr>
        <w:pStyle w:val="9"/>
        <w:jc w:val="center"/>
        <w:rPr>
          <w:rFonts w:hint="eastAsia" w:ascii="宋体" w:hAnsi="宋体" w:eastAsia="宋体" w:cs="宋体"/>
          <w:b/>
          <w:bCs/>
          <w:spacing w:val="-20"/>
          <w:kern w:val="44"/>
          <w:sz w:val="24"/>
          <w:szCs w:val="24"/>
          <w:highlight w:val="none"/>
        </w:rPr>
      </w:pPr>
    </w:p>
    <w:p w14:paraId="421AE1C9">
      <w:pPr>
        <w:pStyle w:val="9"/>
        <w:jc w:val="center"/>
        <w:rPr>
          <w:rFonts w:hint="eastAsia" w:ascii="宋体" w:hAnsi="宋体" w:eastAsia="宋体" w:cs="宋体"/>
          <w:b/>
          <w:bCs/>
          <w:spacing w:val="-20"/>
          <w:kern w:val="44"/>
          <w:sz w:val="24"/>
          <w:szCs w:val="24"/>
          <w:highlight w:val="none"/>
        </w:rPr>
      </w:pPr>
    </w:p>
    <w:p w14:paraId="1C54B676">
      <w:pPr>
        <w:pStyle w:val="9"/>
        <w:jc w:val="center"/>
        <w:rPr>
          <w:rFonts w:hint="eastAsia" w:ascii="宋体" w:hAnsi="宋体" w:eastAsia="宋体" w:cs="宋体"/>
          <w:b/>
          <w:bCs/>
          <w:spacing w:val="-20"/>
          <w:kern w:val="44"/>
          <w:sz w:val="24"/>
          <w:szCs w:val="24"/>
          <w:highlight w:val="none"/>
        </w:rPr>
      </w:pPr>
    </w:p>
    <w:p w14:paraId="78E89505">
      <w:pPr>
        <w:pStyle w:val="9"/>
        <w:jc w:val="center"/>
        <w:rPr>
          <w:rFonts w:hint="eastAsia" w:ascii="宋体" w:hAnsi="宋体" w:eastAsia="宋体" w:cs="宋体"/>
          <w:b/>
          <w:bCs/>
          <w:spacing w:val="-20"/>
          <w:kern w:val="44"/>
          <w:sz w:val="24"/>
          <w:szCs w:val="24"/>
          <w:highlight w:val="none"/>
        </w:rPr>
      </w:pPr>
      <w:r>
        <w:rPr>
          <w:rFonts w:hint="eastAsia" w:ascii="宋体" w:hAnsi="宋体" w:eastAsia="宋体" w:cs="宋体"/>
          <w:b/>
          <w:bCs/>
          <w:spacing w:val="-20"/>
          <w:kern w:val="44"/>
          <w:sz w:val="24"/>
          <w:szCs w:val="24"/>
          <w:highlight w:val="none"/>
        </w:rPr>
        <w:t>政府采购货物买卖合同</w:t>
      </w:r>
    </w:p>
    <w:p w14:paraId="0DA9DDF3">
      <w:pPr>
        <w:pStyle w:val="9"/>
        <w:jc w:val="center"/>
        <w:rPr>
          <w:rFonts w:hint="eastAsia" w:ascii="宋体" w:hAnsi="宋体" w:eastAsia="宋体" w:cs="宋体"/>
          <w:b/>
          <w:bCs/>
          <w:spacing w:val="-20"/>
          <w:kern w:val="44"/>
          <w:sz w:val="24"/>
          <w:szCs w:val="24"/>
          <w:highlight w:val="none"/>
        </w:rPr>
      </w:pPr>
      <w:r>
        <w:rPr>
          <w:rFonts w:hint="eastAsia" w:ascii="宋体" w:hAnsi="宋体" w:eastAsia="宋体" w:cs="宋体"/>
          <w:b/>
          <w:bCs/>
          <w:spacing w:val="-20"/>
          <w:kern w:val="44"/>
          <w:sz w:val="24"/>
          <w:szCs w:val="24"/>
          <w:highlight w:val="none"/>
        </w:rPr>
        <w:t>（试行）</w:t>
      </w:r>
    </w:p>
    <w:p w14:paraId="48B473F1">
      <w:pPr>
        <w:rPr>
          <w:rFonts w:hint="eastAsia" w:ascii="宋体" w:hAnsi="宋体" w:eastAsia="宋体" w:cs="宋体"/>
          <w:b/>
          <w:bCs/>
          <w:spacing w:val="-20"/>
          <w:kern w:val="44"/>
          <w:sz w:val="24"/>
          <w:szCs w:val="24"/>
          <w:highlight w:val="none"/>
        </w:rPr>
      </w:pPr>
    </w:p>
    <w:p w14:paraId="4DD0B506">
      <w:pPr>
        <w:rPr>
          <w:rFonts w:hint="eastAsia" w:ascii="宋体" w:hAnsi="宋体" w:eastAsia="宋体" w:cs="宋体"/>
          <w:b/>
          <w:bCs/>
          <w:spacing w:val="-20"/>
          <w:kern w:val="44"/>
          <w:sz w:val="24"/>
          <w:szCs w:val="24"/>
          <w:highlight w:val="none"/>
        </w:rPr>
      </w:pPr>
    </w:p>
    <w:p w14:paraId="5ABD842A">
      <w:pPr>
        <w:rPr>
          <w:rFonts w:hint="eastAsia" w:ascii="宋体" w:hAnsi="宋体" w:eastAsia="宋体" w:cs="宋体"/>
          <w:b/>
          <w:bCs/>
          <w:spacing w:val="-20"/>
          <w:kern w:val="44"/>
          <w:sz w:val="24"/>
          <w:szCs w:val="24"/>
          <w:highlight w:val="none"/>
        </w:rPr>
      </w:pPr>
    </w:p>
    <w:p w14:paraId="3384290F">
      <w:pPr>
        <w:spacing w:line="360" w:lineRule="auto"/>
        <w:ind w:left="420" w:leftChars="200"/>
        <w:rPr>
          <w:rFonts w:hint="eastAsia" w:ascii="宋体" w:hAnsi="宋体" w:eastAsia="宋体" w:cs="宋体"/>
          <w:sz w:val="24"/>
          <w:szCs w:val="24"/>
          <w:highlight w:val="none"/>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p>
    <w:p w14:paraId="7027EA34">
      <w:pPr>
        <w:spacing w:line="360" w:lineRule="auto"/>
        <w:ind w:left="420" w:left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合同编号：</w:t>
      </w:r>
      <w:r>
        <w:rPr>
          <w:rFonts w:hint="eastAsia" w:ascii="宋体" w:hAnsi="宋体" w:eastAsia="宋体" w:cs="宋体"/>
          <w:sz w:val="24"/>
          <w:szCs w:val="24"/>
          <w:highlight w:val="none"/>
          <w:u w:val="single"/>
        </w:rPr>
        <w:t xml:space="preserve">                             </w:t>
      </w:r>
    </w:p>
    <w:p w14:paraId="4650D137">
      <w:pPr>
        <w:spacing w:line="360" w:lineRule="auto"/>
        <w:ind w:left="420" w:leftChars="200"/>
        <w:rPr>
          <w:rFonts w:hint="eastAsia" w:ascii="宋体" w:hAnsi="宋体" w:eastAsia="宋体" w:cs="宋体"/>
          <w:sz w:val="24"/>
          <w:szCs w:val="24"/>
          <w:highlight w:val="none"/>
        </w:rPr>
      </w:pPr>
      <w:r>
        <w:rPr>
          <w:rFonts w:hint="eastAsia" w:ascii="宋体" w:hAnsi="宋体" w:eastAsia="宋体" w:cs="宋体"/>
          <w:sz w:val="24"/>
          <w:szCs w:val="24"/>
          <w:highlight w:val="none"/>
        </w:rPr>
        <w:t>甲    方：</w:t>
      </w:r>
      <w:r>
        <w:rPr>
          <w:rFonts w:hint="eastAsia" w:ascii="宋体" w:hAnsi="宋体" w:eastAsia="宋体" w:cs="宋体"/>
          <w:sz w:val="24"/>
          <w:szCs w:val="24"/>
          <w:highlight w:val="none"/>
          <w:u w:val="single"/>
        </w:rPr>
        <w:t xml:space="preserve">                             </w:t>
      </w:r>
    </w:p>
    <w:p w14:paraId="2576FC6E">
      <w:pPr>
        <w:spacing w:line="360" w:lineRule="auto"/>
        <w:ind w:left="420" w:left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乙    方：</w:t>
      </w:r>
      <w:r>
        <w:rPr>
          <w:rFonts w:hint="eastAsia" w:ascii="宋体" w:hAnsi="宋体" w:eastAsia="宋体" w:cs="宋体"/>
          <w:sz w:val="24"/>
          <w:szCs w:val="24"/>
          <w:highlight w:val="none"/>
          <w:u w:val="single"/>
        </w:rPr>
        <w:t xml:space="preserve">                             </w:t>
      </w:r>
    </w:p>
    <w:p w14:paraId="60BECC72">
      <w:pPr>
        <w:spacing w:line="360" w:lineRule="auto"/>
        <w:ind w:left="420" w:leftChars="200"/>
        <w:rPr>
          <w:rFonts w:hint="eastAsia" w:ascii="宋体" w:hAnsi="宋体" w:eastAsia="宋体" w:cs="宋体"/>
          <w:sz w:val="24"/>
          <w:szCs w:val="24"/>
          <w:highlight w:val="none"/>
        </w:rPr>
      </w:pPr>
      <w:r>
        <w:rPr>
          <w:rFonts w:hint="eastAsia" w:ascii="宋体" w:hAnsi="宋体" w:eastAsia="宋体" w:cs="宋体"/>
          <w:sz w:val="24"/>
          <w:szCs w:val="24"/>
          <w:highlight w:val="none"/>
        </w:rPr>
        <w:t>签订时间：</w:t>
      </w:r>
      <w:r>
        <w:rPr>
          <w:rFonts w:hint="eastAsia" w:ascii="宋体" w:hAnsi="宋体" w:eastAsia="宋体" w:cs="宋体"/>
          <w:sz w:val="24"/>
          <w:szCs w:val="24"/>
          <w:highlight w:val="none"/>
          <w:u w:val="single"/>
        </w:rPr>
        <w:t xml:space="preserve">                             </w:t>
      </w:r>
    </w:p>
    <w:p w14:paraId="12B60C01">
      <w:pPr>
        <w:rPr>
          <w:rFonts w:hint="eastAsia" w:ascii="宋体" w:hAnsi="宋体" w:eastAsia="宋体" w:cs="宋体"/>
          <w:sz w:val="24"/>
          <w:szCs w:val="24"/>
          <w:highlight w:val="none"/>
        </w:rPr>
      </w:pPr>
    </w:p>
    <w:p w14:paraId="6CF74CFD">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665182D0">
      <w:pPr>
        <w:rPr>
          <w:rFonts w:hint="eastAsia" w:ascii="宋体" w:hAnsi="宋体" w:eastAsia="宋体" w:cs="宋体"/>
          <w:sz w:val="24"/>
          <w:szCs w:val="24"/>
          <w:highlight w:val="none"/>
        </w:rPr>
      </w:pPr>
    </w:p>
    <w:p w14:paraId="60145DF8">
      <w:pPr>
        <w:rPr>
          <w:rFonts w:hint="eastAsia" w:ascii="宋体" w:hAnsi="宋体" w:eastAsia="宋体" w:cs="宋体"/>
          <w:sz w:val="24"/>
          <w:szCs w:val="24"/>
          <w:highlight w:val="none"/>
        </w:rPr>
      </w:pPr>
    </w:p>
    <w:p w14:paraId="0865EF5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使 用 说 明</w:t>
      </w:r>
    </w:p>
    <w:p w14:paraId="499B2323">
      <w:pPr>
        <w:ind w:firstLine="480" w:firstLineChars="200"/>
        <w:rPr>
          <w:rFonts w:hint="eastAsia" w:ascii="宋体" w:hAnsi="宋体" w:eastAsia="宋体" w:cs="宋体"/>
          <w:sz w:val="24"/>
          <w:szCs w:val="24"/>
          <w:highlight w:val="none"/>
        </w:rPr>
      </w:pPr>
    </w:p>
    <w:p w14:paraId="5F9FC35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1.本合同标准文本适用于购买现成货物的采购项目，不包括需要供应商定制开发、创新研发的货物采购项目。</w:t>
      </w:r>
    </w:p>
    <w:p w14:paraId="0F15C15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2.本合同标准文本为政府采购货物买卖合同编制提供参考，可以结合采购项目具体情况，对文本作必要的调整修订后使用。</w:t>
      </w:r>
    </w:p>
    <w:p w14:paraId="50A6ED30">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3.本合同标准文本各条款中，如涉及填写多家供应商、制造商，多种采购标的、分包主要内容等信息的，可根据采购项目具体情况添加信息项。</w:t>
      </w:r>
    </w:p>
    <w:p w14:paraId="2EE62853">
      <w:pPr>
        <w:ind w:firstLine="480" w:firstLineChars="200"/>
        <w:rPr>
          <w:rFonts w:hint="eastAsia" w:ascii="宋体" w:hAnsi="宋体" w:eastAsia="宋体" w:cs="宋体"/>
          <w:sz w:val="24"/>
          <w:szCs w:val="24"/>
          <w:highlight w:val="none"/>
        </w:rPr>
        <w:sectPr>
          <w:headerReference r:id="rId8" w:type="default"/>
          <w:footerReference r:id="rId9" w:type="default"/>
          <w:pgSz w:w="11906" w:h="16838"/>
          <w:pgMar w:top="1440" w:right="1800" w:bottom="1440" w:left="1800" w:header="851" w:footer="992" w:gutter="0"/>
          <w:pgNumType w:start="1"/>
          <w:cols w:space="425" w:num="1"/>
          <w:docGrid w:type="lines" w:linePitch="312" w:charSpace="0"/>
        </w:sectPr>
      </w:pPr>
    </w:p>
    <w:p w14:paraId="4EA5C27B">
      <w:pPr>
        <w:pStyle w:val="6"/>
        <w:adjustRightInd w:val="0"/>
        <w:snapToGrid w:val="0"/>
        <w:spacing w:line="400" w:lineRule="exact"/>
        <w:jc w:val="center"/>
        <w:rPr>
          <w:rFonts w:hint="eastAsia" w:ascii="宋体" w:hAnsi="宋体" w:eastAsia="宋体" w:cs="宋体"/>
          <w:b w:val="0"/>
          <w:bCs w:val="0"/>
          <w:sz w:val="24"/>
          <w:szCs w:val="24"/>
          <w:highlight w:val="none"/>
        </w:rPr>
      </w:pPr>
      <w:bookmarkStart w:id="221" w:name="_Toc21053"/>
      <w:bookmarkStart w:id="222" w:name="_Toc22209"/>
      <w:r>
        <w:rPr>
          <w:rFonts w:hint="eastAsia" w:ascii="宋体" w:hAnsi="宋体" w:eastAsia="宋体" w:cs="宋体"/>
          <w:b w:val="0"/>
          <w:bCs w:val="0"/>
          <w:sz w:val="24"/>
          <w:szCs w:val="24"/>
          <w:highlight w:val="none"/>
        </w:rPr>
        <w:t>第一节 政府采购合同协议书</w:t>
      </w:r>
      <w:bookmarkEnd w:id="221"/>
      <w:bookmarkEnd w:id="222"/>
    </w:p>
    <w:p w14:paraId="4822C9B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甲方（全称）：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（采购人、受采购人委托签订合同的单位或采购</w:t>
      </w:r>
      <w:r>
        <w:rPr>
          <w:rFonts w:hint="eastAsia" w:ascii="宋体" w:hAnsi="宋体" w:eastAsia="宋体" w:cs="宋体"/>
          <w:sz w:val="24"/>
          <w:szCs w:val="24"/>
          <w:highlight w:val="none"/>
        </w:rPr>
        <w:tab/>
      </w:r>
      <w:r>
        <w:rPr>
          <w:rFonts w:hint="eastAsia" w:ascii="宋体" w:hAnsi="宋体" w:eastAsia="宋体" w:cs="宋体"/>
          <w:sz w:val="24"/>
          <w:szCs w:val="24"/>
          <w:highlight w:val="none"/>
        </w:rPr>
        <w:t xml:space="preserve">                                   文件约定的合同甲方）</w:t>
      </w:r>
    </w:p>
    <w:p w14:paraId="79A153EF">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乙方1（全称）：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（供应商）</w:t>
      </w:r>
    </w:p>
    <w:p w14:paraId="3D1DEB9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乙方2（全称）：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（联合体成员供应商或其他合同主体）（如有）</w:t>
      </w:r>
    </w:p>
    <w:p w14:paraId="3FE3CBC2">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乙方3（全称）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（联合体成员供应商或其他合同主体）（如有）</w:t>
      </w:r>
    </w:p>
    <w:p w14:paraId="210CAB65">
      <w:pPr>
        <w:pStyle w:val="10"/>
        <w:snapToGrid w:val="0"/>
        <w:spacing w:after="0" w:line="360" w:lineRule="auto"/>
        <w:ind w:left="0" w:firstLine="480" w:firstLineChars="200"/>
        <w:rPr>
          <w:rFonts w:hint="eastAsia" w:ascii="宋体" w:hAnsi="宋体" w:cs="宋体"/>
          <w:szCs w:val="24"/>
          <w:highlight w:val="none"/>
        </w:rPr>
      </w:pPr>
      <w:r>
        <w:rPr>
          <w:rFonts w:hint="eastAsia" w:ascii="宋体" w:hAnsi="宋体" w:cs="宋体"/>
          <w:szCs w:val="24"/>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7E17F3F7">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项目信息</w:t>
      </w:r>
    </w:p>
    <w:p w14:paraId="77F7465C">
      <w:pPr>
        <w:pStyle w:val="10"/>
        <w:numPr>
          <w:ilvl w:val="0"/>
          <w:numId w:val="2"/>
        </w:numPr>
        <w:snapToGrid w:val="0"/>
        <w:spacing w:after="0" w:line="360" w:lineRule="auto"/>
        <w:ind w:left="0" w:firstLine="480" w:firstLineChars="200"/>
        <w:rPr>
          <w:rFonts w:hint="eastAsia" w:ascii="宋体" w:hAnsi="宋体" w:cs="宋体"/>
          <w:szCs w:val="24"/>
          <w:highlight w:val="none"/>
          <w:u w:val="single"/>
        </w:rPr>
      </w:pPr>
      <w:r>
        <w:rPr>
          <w:rFonts w:hint="eastAsia" w:ascii="宋体" w:hAnsi="宋体" w:cs="宋体"/>
          <w:szCs w:val="24"/>
          <w:highlight w:val="none"/>
        </w:rPr>
        <w:t>采购项目名称：</w:t>
      </w:r>
      <w:r>
        <w:rPr>
          <w:rFonts w:hint="eastAsia" w:ascii="宋体" w:hAnsi="宋体" w:cs="宋体"/>
          <w:szCs w:val="24"/>
          <w:highlight w:val="none"/>
          <w:u w:val="single"/>
        </w:rPr>
        <w:t xml:space="preserve">                                          </w:t>
      </w:r>
    </w:p>
    <w:p w14:paraId="64532C88">
      <w:pPr>
        <w:pStyle w:val="10"/>
        <w:numPr>
          <w:ilvl w:val="255"/>
          <w:numId w:val="0"/>
        </w:numPr>
        <w:tabs>
          <w:tab w:val="left" w:pos="999"/>
        </w:tabs>
        <w:snapToGrid w:val="0"/>
        <w:spacing w:after="0" w:line="360" w:lineRule="auto"/>
        <w:ind w:firstLine="480" w:firstLineChars="200"/>
        <w:rPr>
          <w:rFonts w:hint="eastAsia" w:ascii="宋体" w:hAnsi="宋体" w:cs="宋体"/>
          <w:szCs w:val="24"/>
          <w:highlight w:val="none"/>
        </w:rPr>
      </w:pPr>
      <w:r>
        <w:rPr>
          <w:rFonts w:hint="eastAsia" w:ascii="宋体" w:hAnsi="宋体" w:cs="宋体"/>
          <w:szCs w:val="24"/>
          <w:highlight w:val="none"/>
        </w:rPr>
        <w:t>采购项目编号：</w:t>
      </w:r>
      <w:r>
        <w:rPr>
          <w:rFonts w:hint="eastAsia" w:ascii="宋体" w:hAnsi="宋体" w:cs="宋体"/>
          <w:szCs w:val="24"/>
          <w:highlight w:val="none"/>
          <w:u w:val="single"/>
        </w:rPr>
        <w:t xml:space="preserve">                                          </w:t>
      </w:r>
    </w:p>
    <w:p w14:paraId="65E05A03">
      <w:pPr>
        <w:pStyle w:val="10"/>
        <w:snapToGrid w:val="0"/>
        <w:spacing w:after="0" w:line="360" w:lineRule="auto"/>
        <w:ind w:left="0" w:firstLine="480" w:firstLineChars="200"/>
        <w:rPr>
          <w:rFonts w:hint="eastAsia" w:ascii="宋体" w:hAnsi="宋体" w:cs="宋体"/>
          <w:szCs w:val="24"/>
          <w:highlight w:val="none"/>
        </w:rPr>
      </w:pPr>
      <w:r>
        <w:rPr>
          <w:rFonts w:hint="eastAsia" w:ascii="宋体" w:hAnsi="宋体" w:cs="宋体"/>
          <w:szCs w:val="24"/>
          <w:highlight w:val="none"/>
        </w:rPr>
        <w:t>（2）采购计划编号：</w:t>
      </w:r>
      <w:r>
        <w:rPr>
          <w:rFonts w:hint="eastAsia" w:ascii="宋体" w:hAnsi="宋体" w:cs="宋体"/>
          <w:szCs w:val="24"/>
          <w:highlight w:val="none"/>
          <w:u w:val="single"/>
        </w:rPr>
        <w:t xml:space="preserve">                                          </w:t>
      </w:r>
      <w:r>
        <w:rPr>
          <w:rFonts w:hint="eastAsia" w:ascii="宋体" w:hAnsi="宋体" w:cs="宋体"/>
          <w:szCs w:val="24"/>
          <w:highlight w:val="none"/>
        </w:rPr>
        <w:t xml:space="preserve"> </w:t>
      </w:r>
    </w:p>
    <w:p w14:paraId="6AEA018D">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（3）项目内容：</w:t>
      </w:r>
    </w:p>
    <w:p w14:paraId="2E4A5D9C">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采购标的及数量（台/套</w:t>
      </w:r>
      <w:r>
        <w:rPr>
          <w:rFonts w:hint="eastAsia" w:ascii="宋体" w:hAnsi="宋体" w:eastAsia="宋体" w:cs="宋体"/>
          <w:sz w:val="24"/>
          <w:szCs w:val="24"/>
          <w:highlight w:val="none"/>
          <w:lang w:val="en"/>
        </w:rPr>
        <w:t>/个/架/组等</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75F5E5FC">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lang w:val="en"/>
        </w:rPr>
      </w:pPr>
      <w:r>
        <w:rPr>
          <w:rFonts w:hint="eastAsia" w:ascii="宋体" w:hAnsi="宋体" w:eastAsia="宋体" w:cs="宋体"/>
          <w:sz w:val="24"/>
          <w:szCs w:val="24"/>
          <w:highlight w:val="none"/>
        </w:rPr>
        <w:t>品牌：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lang w:val="en"/>
        </w:rPr>
        <w:t xml:space="preserve">     </w:t>
      </w:r>
      <w:r>
        <w:rPr>
          <w:rFonts w:hint="eastAsia" w:ascii="宋体" w:hAnsi="宋体" w:eastAsia="宋体" w:cs="宋体"/>
          <w:sz w:val="24"/>
          <w:szCs w:val="24"/>
          <w:highlight w:val="none"/>
        </w:rPr>
        <w:t>规格型号：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
        </w:rPr>
        <w:t xml:space="preserve">   </w:t>
      </w:r>
    </w:p>
    <w:p w14:paraId="7584FD37">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采购标的的技术要求、商务要求具体见附件。</w:t>
      </w:r>
    </w:p>
    <w:p w14:paraId="09F30CD0">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①涉及信息类产品，请填写该产品关键部件的品牌、型号：</w:t>
      </w:r>
    </w:p>
    <w:p w14:paraId="4C3F3558">
      <w:pPr>
        <w:numPr>
          <w:ilvl w:val="255"/>
          <w:numId w:val="0"/>
        </w:numPr>
        <w:adjustRightInd w:val="0"/>
        <w:snapToGrid w:val="0"/>
        <w:spacing w:line="360" w:lineRule="auto"/>
        <w:ind w:firstLine="480" w:firstLineChars="200"/>
        <w:rPr>
          <w:rFonts w:hint="eastAsia" w:ascii="宋体" w:hAnsi="宋体" w:eastAsia="宋体" w:cs="宋体"/>
          <w:kern w:val="0"/>
          <w:sz w:val="24"/>
          <w:szCs w:val="24"/>
          <w:highlight w:val="none"/>
          <w:u w:val="single"/>
        </w:rPr>
      </w:pPr>
      <w:r>
        <w:rPr>
          <w:rFonts w:hint="eastAsia" w:ascii="宋体" w:hAnsi="宋体" w:eastAsia="宋体" w:cs="宋体"/>
          <w:sz w:val="24"/>
          <w:szCs w:val="24"/>
          <w:highlight w:val="none"/>
        </w:rPr>
        <w:t>标的名称：</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lang w:val="en"/>
        </w:rPr>
        <w:t xml:space="preserve">               </w:t>
      </w:r>
      <w:r>
        <w:rPr>
          <w:rFonts w:hint="eastAsia" w:ascii="宋体" w:hAnsi="宋体" w:eastAsia="宋体" w:cs="宋体"/>
          <w:kern w:val="0"/>
          <w:sz w:val="24"/>
          <w:szCs w:val="24"/>
          <w:highlight w:val="none"/>
          <w:u w:val="single"/>
        </w:rPr>
        <w:t xml:space="preserve">    </w:t>
      </w:r>
    </w:p>
    <w:p w14:paraId="2FEE4A22">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关键部件：</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 xml:space="preserve"> </w:t>
      </w:r>
      <w:r>
        <w:rPr>
          <w:rFonts w:hint="eastAsia" w:ascii="宋体" w:hAnsi="宋体" w:eastAsia="宋体" w:cs="宋体"/>
          <w:sz w:val="24"/>
          <w:szCs w:val="24"/>
          <w:highlight w:val="none"/>
        </w:rPr>
        <w:t>品牌：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型号：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639EDA08">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kern w:val="2"/>
          <w:sz w:val="24"/>
          <w:szCs w:val="24"/>
          <w:highlight w:val="none"/>
        </w:rPr>
        <w:t>关键部件</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品牌：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型号：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601F6362">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关键部件：</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品牌：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型号：</w:t>
      </w:r>
      <w:r>
        <w:rPr>
          <w:rFonts w:hint="eastAsia" w:ascii="宋体" w:hAnsi="宋体" w:eastAsia="宋体" w:cs="宋体"/>
          <w:sz w:val="24"/>
          <w:szCs w:val="24"/>
          <w:highlight w:val="none"/>
          <w:u w:val="single"/>
        </w:rPr>
        <w:t xml:space="preserve">       </w:t>
      </w:r>
    </w:p>
    <w:p w14:paraId="2F3497D2">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（注：关键部件是指财政部会同有关部门发布的政府采购需求标准规定的需要通过国家有关部门指定的测评机构开展的安全可靠测评的软硬件，如CPU芯片、操作系统、数据库等。）</w:t>
      </w:r>
    </w:p>
    <w:p w14:paraId="0FB11860">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②涉及车辆采购，请填写是否属于新能源汽车：</w:t>
      </w:r>
    </w:p>
    <w:p w14:paraId="1800E07C">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是，《政府采购品目分类目录》底级品目名称：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数量：</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金额：</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74B0C511">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否</w:t>
      </w:r>
    </w:p>
    <w:p w14:paraId="3C851D14">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
        </w:rPr>
        <w:t>4</w:t>
      </w:r>
      <w:r>
        <w:rPr>
          <w:rFonts w:hint="eastAsia" w:ascii="宋体" w:hAnsi="宋体" w:eastAsia="宋体" w:cs="宋体"/>
          <w:sz w:val="24"/>
          <w:szCs w:val="24"/>
          <w:highlight w:val="none"/>
        </w:rPr>
        <w:t>）政府采购组织形式：</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政府集中采购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部门集中采购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分散采购</w:t>
      </w:r>
    </w:p>
    <w:p w14:paraId="59B96480">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
        </w:rPr>
        <w:t>5</w:t>
      </w:r>
      <w:r>
        <w:rPr>
          <w:rFonts w:hint="eastAsia" w:ascii="宋体" w:hAnsi="宋体" w:eastAsia="宋体" w:cs="宋体"/>
          <w:sz w:val="24"/>
          <w:szCs w:val="24"/>
          <w:highlight w:val="none"/>
        </w:rPr>
        <w:t>）政府采购方式：</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公开招标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邀请招标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竞争性谈判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竞争性磋商</w:t>
      </w:r>
    </w:p>
    <w:p w14:paraId="38517358">
      <w:pPr>
        <w:pStyle w:val="63"/>
        <w:numPr>
          <w:ilvl w:val="255"/>
          <w:numId w:val="0"/>
        </w:numPr>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询价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单一来源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框架协议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其他：</w:t>
      </w:r>
      <w:r>
        <w:rPr>
          <w:rFonts w:hint="eastAsia" w:ascii="宋体" w:hAnsi="宋体" w:eastAsia="宋体" w:cs="宋体"/>
          <w:sz w:val="24"/>
          <w:szCs w:val="24"/>
          <w:highlight w:val="none"/>
          <w:u w:val="single"/>
        </w:rPr>
        <w:t xml:space="preserve">          </w:t>
      </w:r>
    </w:p>
    <w:p w14:paraId="27C2BF93">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（注：在框架协议采购的第二阶段，可选择使用该合同文本）</w:t>
      </w:r>
    </w:p>
    <w:p w14:paraId="753C449D">
      <w:pPr>
        <w:pStyle w:val="63"/>
        <w:numPr>
          <w:ilvl w:val="255"/>
          <w:numId w:val="0"/>
        </w:numPr>
        <w:snapToGrid w:val="0"/>
        <w:spacing w:line="360" w:lineRule="auto"/>
        <w:ind w:firstLine="480" w:firstLineChars="200"/>
        <w:rPr>
          <w:rFonts w:hint="eastAsia" w:ascii="宋体" w:hAnsi="宋体" w:eastAsia="宋体" w:cs="宋体"/>
          <w:kern w:val="2"/>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
        </w:rPr>
        <w:t>6</w:t>
      </w:r>
      <w:r>
        <w:rPr>
          <w:rFonts w:hint="eastAsia" w:ascii="宋体" w:hAnsi="宋体" w:eastAsia="宋体" w:cs="宋体"/>
          <w:sz w:val="24"/>
          <w:szCs w:val="24"/>
          <w:highlight w:val="none"/>
        </w:rPr>
        <w:t>）</w:t>
      </w:r>
      <w:r>
        <w:rPr>
          <w:rFonts w:hint="eastAsia" w:ascii="宋体" w:hAnsi="宋体" w:eastAsia="宋体" w:cs="宋体"/>
          <w:kern w:val="2"/>
          <w:sz w:val="24"/>
          <w:szCs w:val="24"/>
          <w:highlight w:val="none"/>
        </w:rPr>
        <w:t>中标（成交）采购标的制造商是否为中小企业：</w:t>
      </w:r>
      <w:r>
        <w:rPr>
          <w:rFonts w:hint="eastAsia" w:ascii="宋体" w:hAnsi="宋体" w:eastAsia="宋体" w:cs="宋体"/>
          <w:kern w:val="2"/>
          <w:sz w:val="24"/>
          <w:szCs w:val="24"/>
          <w:highlight w:val="none"/>
        </w:rPr>
        <w:sym w:font="Wingdings" w:char="00A8"/>
      </w:r>
      <w:r>
        <w:rPr>
          <w:rFonts w:hint="eastAsia" w:ascii="宋体" w:hAnsi="宋体" w:eastAsia="宋体" w:cs="宋体"/>
          <w:kern w:val="2"/>
          <w:sz w:val="24"/>
          <w:szCs w:val="24"/>
          <w:highlight w:val="none"/>
        </w:rPr>
        <w:t xml:space="preserve">是      </w:t>
      </w:r>
      <w:r>
        <w:rPr>
          <w:rFonts w:hint="eastAsia" w:ascii="宋体" w:hAnsi="宋体" w:eastAsia="宋体" w:cs="宋体"/>
          <w:kern w:val="2"/>
          <w:sz w:val="24"/>
          <w:szCs w:val="24"/>
          <w:highlight w:val="none"/>
        </w:rPr>
        <w:sym w:font="Wingdings" w:char="00A8"/>
      </w:r>
      <w:r>
        <w:rPr>
          <w:rFonts w:hint="eastAsia" w:ascii="宋体" w:hAnsi="宋体" w:eastAsia="宋体" w:cs="宋体"/>
          <w:kern w:val="2"/>
          <w:sz w:val="24"/>
          <w:szCs w:val="24"/>
          <w:highlight w:val="none"/>
        </w:rPr>
        <w:t>否</w:t>
      </w:r>
    </w:p>
    <w:p w14:paraId="24212F8D">
      <w:pPr>
        <w:numPr>
          <w:ilvl w:val="255"/>
          <w:numId w:val="0"/>
        </w:numPr>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sz w:val="24"/>
          <w:szCs w:val="24"/>
          <w:highlight w:val="none"/>
        </w:rPr>
        <w:t>本合同是否为专门面向中小企业的采购合同（中小企业预留合同）：</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2829F915">
      <w:pPr>
        <w:numPr>
          <w:ilvl w:val="255"/>
          <w:numId w:val="0"/>
        </w:numPr>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sz w:val="24"/>
          <w:szCs w:val="24"/>
          <w:highlight w:val="none"/>
        </w:rPr>
        <w:t xml:space="preserve">         若本项目不专门面向中小企业采购，是否给予小微企业评审优惠：</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6D4571B1">
      <w:pPr>
        <w:numPr>
          <w:ilvl w:val="255"/>
          <w:numId w:val="0"/>
        </w:numPr>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sz w:val="24"/>
          <w:szCs w:val="24"/>
          <w:highlight w:val="none"/>
        </w:rPr>
        <w:t xml:space="preserve">         中标（成交）采购标的制造商是否为残疾人福利性单位：</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1C27960E">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中标（成交）采购标的制造商是否为监狱企业：</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35B4493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
        </w:rPr>
        <w:t>7</w:t>
      </w:r>
      <w:r>
        <w:rPr>
          <w:rFonts w:hint="eastAsia" w:ascii="宋体" w:hAnsi="宋体" w:eastAsia="宋体" w:cs="宋体"/>
          <w:sz w:val="24"/>
          <w:szCs w:val="24"/>
          <w:highlight w:val="none"/>
        </w:rPr>
        <w:t>）合同是否分包：</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60698A50">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分包主要内容：</w:t>
      </w:r>
      <w:r>
        <w:rPr>
          <w:rFonts w:hint="eastAsia" w:ascii="宋体" w:hAnsi="宋体" w:eastAsia="宋体" w:cs="宋体"/>
          <w:sz w:val="24"/>
          <w:szCs w:val="24"/>
          <w:highlight w:val="none"/>
          <w:u w:val="single"/>
        </w:rPr>
        <w:t xml:space="preserve">                                            </w:t>
      </w:r>
    </w:p>
    <w:p w14:paraId="4BEBF5E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分包供应商/制造商名称（如供应商和制造商不同，请分别填写）：</w:t>
      </w:r>
    </w:p>
    <w:p w14:paraId="36458CC4">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u w:val="single"/>
        </w:rPr>
        <w:t xml:space="preserve">                                                          </w:t>
      </w:r>
    </w:p>
    <w:p w14:paraId="2535F99F">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分包供应商/制造商类型（如果供应商和制造商不同，只填写制造商类型）：</w:t>
      </w:r>
    </w:p>
    <w:p w14:paraId="22B60801">
      <w:pPr>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大型企业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中型企业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小微型企业  </w:t>
      </w:r>
    </w:p>
    <w:p w14:paraId="3C5DCD8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残疾人福利性单位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监狱企业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其他</w:t>
      </w:r>
    </w:p>
    <w:p w14:paraId="75A29299">
      <w:pPr>
        <w:numPr>
          <w:ilvl w:val="255"/>
          <w:numId w:val="0"/>
        </w:numPr>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
        </w:rPr>
        <w:t>8</w:t>
      </w:r>
      <w:r>
        <w:rPr>
          <w:rFonts w:hint="eastAsia" w:ascii="宋体" w:hAnsi="宋体" w:eastAsia="宋体" w:cs="宋体"/>
          <w:sz w:val="24"/>
          <w:szCs w:val="24"/>
          <w:highlight w:val="none"/>
        </w:rPr>
        <w:t>）中标（成交）供应商是否为外商投资企业：</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78DF009F">
      <w:pPr>
        <w:pStyle w:val="63"/>
        <w:tabs>
          <w:tab w:val="left" w:pos="1340"/>
        </w:tabs>
        <w:spacing w:line="360" w:lineRule="auto"/>
        <w:ind w:firstLine="48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外商投资企业类型：</w:t>
      </w:r>
      <w:r>
        <w:rPr>
          <w:rFonts w:hint="eastAsia" w:ascii="宋体" w:hAnsi="宋体" w:eastAsia="宋体" w:cs="宋体"/>
          <w:iCs/>
          <w:sz w:val="24"/>
          <w:szCs w:val="24"/>
          <w:highlight w:val="none"/>
        </w:rPr>
        <w:sym w:font="Wingdings" w:char="00A8"/>
      </w:r>
      <w:r>
        <w:rPr>
          <w:rFonts w:hint="eastAsia" w:ascii="宋体" w:hAnsi="宋体" w:eastAsia="宋体" w:cs="宋体"/>
          <w:sz w:val="24"/>
          <w:szCs w:val="24"/>
          <w:highlight w:val="none"/>
        </w:rPr>
        <w:t xml:space="preserve">全部由外国投资者投资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部分由外国投资者投资</w:t>
      </w:r>
    </w:p>
    <w:p w14:paraId="1E27DC82">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
        </w:rPr>
        <w:t>9</w:t>
      </w:r>
      <w:r>
        <w:rPr>
          <w:rFonts w:hint="eastAsia" w:ascii="宋体" w:hAnsi="宋体" w:eastAsia="宋体" w:cs="宋体"/>
          <w:sz w:val="24"/>
          <w:szCs w:val="24"/>
          <w:highlight w:val="none"/>
        </w:rPr>
        <w:t>）是否涉及进口产品：</w:t>
      </w:r>
    </w:p>
    <w:p w14:paraId="7A432DBB">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是，《政府采购品目分类目录》底级品目名称：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金额：</w:t>
      </w:r>
      <w:r>
        <w:rPr>
          <w:rFonts w:hint="eastAsia" w:ascii="宋体" w:hAnsi="宋体" w:eastAsia="宋体" w:cs="宋体"/>
          <w:sz w:val="24"/>
          <w:szCs w:val="24"/>
          <w:highlight w:val="none"/>
          <w:u w:val="single"/>
        </w:rPr>
        <w:t xml:space="preserve">        </w:t>
      </w:r>
    </w:p>
    <w:p w14:paraId="7E3E5C36">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国别：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品牌：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规格型号：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3964786E">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否</w:t>
      </w:r>
    </w:p>
    <w:p w14:paraId="5E6CF4B1">
      <w:pPr>
        <w:numPr>
          <w:ilvl w:val="255"/>
          <w:numId w:val="0"/>
        </w:numPr>
        <w:tabs>
          <w:tab w:val="left" w:pos="740"/>
        </w:tabs>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w:t>
      </w:r>
      <w:r>
        <w:rPr>
          <w:rFonts w:hint="eastAsia" w:ascii="宋体" w:hAnsi="宋体" w:eastAsia="宋体" w:cs="宋体"/>
          <w:sz w:val="24"/>
          <w:szCs w:val="24"/>
          <w:highlight w:val="none"/>
          <w:lang w:val="en"/>
        </w:rPr>
        <w:t>0</w:t>
      </w:r>
      <w:r>
        <w:rPr>
          <w:rFonts w:hint="eastAsia" w:ascii="宋体" w:hAnsi="宋体" w:eastAsia="宋体" w:cs="宋体"/>
          <w:sz w:val="24"/>
          <w:szCs w:val="24"/>
          <w:highlight w:val="none"/>
        </w:rPr>
        <w:t>）是否涉及节能产品：</w:t>
      </w:r>
    </w:p>
    <w:p w14:paraId="14F41740">
      <w:pPr>
        <w:numPr>
          <w:ilvl w:val="255"/>
          <w:numId w:val="0"/>
        </w:numPr>
        <w:tabs>
          <w:tab w:val="left" w:pos="740"/>
        </w:tabs>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是，《节能产品政府采购品目清单》的底级品目名称：</w:t>
      </w:r>
      <w:r>
        <w:rPr>
          <w:rFonts w:hint="eastAsia" w:ascii="宋体" w:hAnsi="宋体" w:eastAsia="宋体" w:cs="宋体"/>
          <w:sz w:val="24"/>
          <w:szCs w:val="24"/>
          <w:highlight w:val="none"/>
          <w:u w:val="single"/>
        </w:rPr>
        <w:t xml:space="preserve">         </w:t>
      </w:r>
      <w:r>
        <w:rPr>
          <w:rFonts w:hint="eastAsia" w:ascii="宋体" w:hAnsi="宋体" w:eastAsia="宋体" w:cs="宋体"/>
          <w:iCs/>
          <w:sz w:val="24"/>
          <w:szCs w:val="24"/>
          <w:highlight w:val="none"/>
        </w:rPr>
        <w:t xml:space="preserve">     </w:t>
      </w:r>
    </w:p>
    <w:p w14:paraId="732CA9C5">
      <w:pPr>
        <w:numPr>
          <w:ilvl w:val="255"/>
          <w:numId w:val="0"/>
        </w:numPr>
        <w:tabs>
          <w:tab w:val="left" w:pos="740"/>
        </w:tabs>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强制采购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优先采购    </w:t>
      </w:r>
    </w:p>
    <w:p w14:paraId="1379DB43">
      <w:pPr>
        <w:numPr>
          <w:ilvl w:val="255"/>
          <w:numId w:val="0"/>
        </w:numPr>
        <w:tabs>
          <w:tab w:val="left" w:pos="740"/>
        </w:tabs>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否</w:t>
      </w:r>
    </w:p>
    <w:p w14:paraId="44DD5402">
      <w:pPr>
        <w:numPr>
          <w:ilvl w:val="255"/>
          <w:numId w:val="0"/>
        </w:numPr>
        <w:tabs>
          <w:tab w:val="left" w:pos="740"/>
        </w:tabs>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是否涉及环境标志产品：</w:t>
      </w:r>
    </w:p>
    <w:p w14:paraId="79ECB32E">
      <w:pPr>
        <w:numPr>
          <w:ilvl w:val="255"/>
          <w:numId w:val="0"/>
        </w:numPr>
        <w:tabs>
          <w:tab w:val="left" w:pos="740"/>
        </w:tabs>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是，《环境标志产品政府采购品目清单》的底级品目名称：</w:t>
      </w:r>
      <w:r>
        <w:rPr>
          <w:rFonts w:hint="eastAsia" w:ascii="宋体" w:hAnsi="宋体" w:eastAsia="宋体" w:cs="宋体"/>
          <w:sz w:val="24"/>
          <w:szCs w:val="24"/>
          <w:highlight w:val="none"/>
          <w:u w:val="single"/>
        </w:rPr>
        <w:t xml:space="preserve">         </w:t>
      </w:r>
      <w:r>
        <w:rPr>
          <w:rFonts w:hint="eastAsia" w:ascii="宋体" w:hAnsi="宋体" w:eastAsia="宋体" w:cs="宋体"/>
          <w:iCs/>
          <w:sz w:val="24"/>
          <w:szCs w:val="24"/>
          <w:highlight w:val="none"/>
        </w:rPr>
        <w:t xml:space="preserve"> </w:t>
      </w:r>
    </w:p>
    <w:p w14:paraId="08A2DF7B">
      <w:pPr>
        <w:numPr>
          <w:ilvl w:val="255"/>
          <w:numId w:val="0"/>
        </w:numPr>
        <w:tabs>
          <w:tab w:val="left" w:pos="740"/>
        </w:tabs>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强制采购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优先采购    </w:t>
      </w:r>
    </w:p>
    <w:p w14:paraId="6B641738">
      <w:pPr>
        <w:numPr>
          <w:ilvl w:val="255"/>
          <w:numId w:val="0"/>
        </w:numPr>
        <w:tabs>
          <w:tab w:val="left" w:pos="740"/>
        </w:tabs>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否</w:t>
      </w:r>
    </w:p>
    <w:p w14:paraId="79DBBF9E">
      <w:pPr>
        <w:pStyle w:val="63"/>
        <w:numPr>
          <w:ilvl w:val="255"/>
          <w:numId w:val="0"/>
        </w:numPr>
        <w:snapToGrid w:val="0"/>
        <w:spacing w:line="360" w:lineRule="auto"/>
        <w:ind w:firstLine="480" w:firstLineChars="200"/>
        <w:rPr>
          <w:rFonts w:hint="eastAsia" w:ascii="宋体" w:hAnsi="宋体" w:eastAsia="宋体" w:cs="宋体"/>
          <w:kern w:val="2"/>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kern w:val="2"/>
          <w:sz w:val="24"/>
          <w:szCs w:val="24"/>
          <w:highlight w:val="none"/>
        </w:rPr>
        <w:t xml:space="preserve">是否涉及绿色产品： </w:t>
      </w:r>
    </w:p>
    <w:p w14:paraId="7E530F66">
      <w:pPr>
        <w:pStyle w:val="63"/>
        <w:spacing w:line="360" w:lineRule="auto"/>
        <w:ind w:firstLine="480"/>
        <w:rPr>
          <w:rFonts w:hint="eastAsia" w:ascii="宋体" w:hAnsi="宋体" w:eastAsia="宋体" w:cs="宋体"/>
          <w:sz w:val="24"/>
          <w:szCs w:val="24"/>
          <w:highlight w:val="none"/>
          <w:u w:val="single"/>
        </w:rPr>
      </w:pPr>
      <w:r>
        <w:rPr>
          <w:rFonts w:hint="eastAsia" w:ascii="宋体" w:hAnsi="宋体" w:eastAsia="宋体" w:cs="宋体"/>
          <w:kern w:val="2"/>
          <w:sz w:val="24"/>
          <w:szCs w:val="24"/>
          <w:highlight w:val="none"/>
        </w:rPr>
        <w:t xml:space="preserve">     </w:t>
      </w:r>
      <w:r>
        <w:rPr>
          <w:rFonts w:hint="eastAsia" w:ascii="宋体" w:hAnsi="宋体" w:eastAsia="宋体" w:cs="宋体"/>
          <w:kern w:val="2"/>
          <w:sz w:val="24"/>
          <w:szCs w:val="24"/>
          <w:highlight w:val="none"/>
        </w:rPr>
        <w:sym w:font="Wingdings" w:char="00A8"/>
      </w:r>
      <w:r>
        <w:rPr>
          <w:rFonts w:hint="eastAsia" w:ascii="宋体" w:hAnsi="宋体" w:eastAsia="宋体" w:cs="宋体"/>
          <w:kern w:val="2"/>
          <w:sz w:val="24"/>
          <w:szCs w:val="24"/>
          <w:highlight w:val="none"/>
        </w:rPr>
        <w:t>是，绿色产品政府采购相关政策确定的底级品目名称：</w:t>
      </w:r>
      <w:r>
        <w:rPr>
          <w:rFonts w:hint="eastAsia" w:ascii="宋体" w:hAnsi="宋体" w:eastAsia="宋体" w:cs="宋体"/>
          <w:sz w:val="24"/>
          <w:szCs w:val="24"/>
          <w:highlight w:val="none"/>
          <w:u w:val="single"/>
        </w:rPr>
        <w:t xml:space="preserve">         </w:t>
      </w:r>
    </w:p>
    <w:p w14:paraId="5382B7C3">
      <w:pPr>
        <w:numPr>
          <w:ilvl w:val="255"/>
          <w:numId w:val="0"/>
        </w:numPr>
        <w:tabs>
          <w:tab w:val="left" w:pos="740"/>
        </w:tabs>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强制采购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优先采购    </w:t>
      </w:r>
    </w:p>
    <w:p w14:paraId="58D0897B">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kern w:val="2"/>
          <w:sz w:val="24"/>
          <w:szCs w:val="24"/>
          <w:highlight w:val="none"/>
        </w:rPr>
        <w:t xml:space="preserve">     </w:t>
      </w:r>
      <w:r>
        <w:rPr>
          <w:rFonts w:hint="eastAsia" w:ascii="宋体" w:hAnsi="宋体" w:eastAsia="宋体" w:cs="宋体"/>
          <w:kern w:val="2"/>
          <w:sz w:val="24"/>
          <w:szCs w:val="24"/>
          <w:highlight w:val="none"/>
        </w:rPr>
        <w:sym w:font="Wingdings" w:char="00A8"/>
      </w:r>
      <w:r>
        <w:rPr>
          <w:rFonts w:hint="eastAsia" w:ascii="宋体" w:hAnsi="宋体" w:eastAsia="宋体" w:cs="宋体"/>
          <w:kern w:val="2"/>
          <w:sz w:val="24"/>
          <w:szCs w:val="24"/>
          <w:highlight w:val="none"/>
        </w:rPr>
        <w:t>否</w:t>
      </w:r>
    </w:p>
    <w:p w14:paraId="53372520">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w:t>
      </w:r>
      <w:r>
        <w:rPr>
          <w:rFonts w:hint="eastAsia" w:ascii="宋体" w:hAnsi="宋体" w:eastAsia="宋体" w:cs="宋体"/>
          <w:sz w:val="24"/>
          <w:szCs w:val="24"/>
          <w:highlight w:val="none"/>
          <w:lang w:val="en"/>
        </w:rPr>
        <w:t>1</w:t>
      </w:r>
      <w:r>
        <w:rPr>
          <w:rFonts w:hint="eastAsia" w:ascii="宋体" w:hAnsi="宋体" w:eastAsia="宋体" w:cs="宋体"/>
          <w:sz w:val="24"/>
          <w:szCs w:val="24"/>
          <w:highlight w:val="none"/>
        </w:rPr>
        <w:t>）涉及商品包装和快递包装的，是否参考《商品包装政府采购需求标准（试行）》、《快递包装政府采购需求标准（试行）》明确产品及相关快递服务的具体包装要求：</w:t>
      </w:r>
    </w:p>
    <w:p w14:paraId="0598169E">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否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不涉及</w:t>
      </w:r>
    </w:p>
    <w:p w14:paraId="36A864A5">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合同金额</w:t>
      </w:r>
    </w:p>
    <w:p w14:paraId="7529DF1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（1）合同金额小写：</w:t>
      </w:r>
      <w:r>
        <w:rPr>
          <w:rFonts w:hint="eastAsia" w:ascii="宋体" w:hAnsi="宋体" w:eastAsia="宋体" w:cs="宋体"/>
          <w:sz w:val="24"/>
          <w:szCs w:val="24"/>
          <w:highlight w:val="none"/>
          <w:u w:val="single"/>
        </w:rPr>
        <w:t xml:space="preserve">                           </w:t>
      </w:r>
    </w:p>
    <w:p w14:paraId="62604454">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大写：</w:t>
      </w:r>
      <w:r>
        <w:rPr>
          <w:rFonts w:hint="eastAsia" w:ascii="宋体" w:hAnsi="宋体" w:eastAsia="宋体" w:cs="宋体"/>
          <w:sz w:val="24"/>
          <w:szCs w:val="24"/>
          <w:highlight w:val="none"/>
          <w:u w:val="single"/>
        </w:rPr>
        <w:t xml:space="preserve">                           </w:t>
      </w:r>
    </w:p>
    <w:p w14:paraId="222A35BD">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分包金额（如有）小写：</w:t>
      </w:r>
      <w:r>
        <w:rPr>
          <w:rFonts w:hint="eastAsia" w:ascii="宋体" w:hAnsi="宋体" w:eastAsia="宋体" w:cs="宋体"/>
          <w:sz w:val="24"/>
          <w:szCs w:val="24"/>
          <w:highlight w:val="none"/>
          <w:u w:val="single"/>
        </w:rPr>
        <w:t xml:space="preserve">                   </w:t>
      </w:r>
    </w:p>
    <w:p w14:paraId="485C6ABA">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大写：</w:t>
      </w:r>
      <w:r>
        <w:rPr>
          <w:rFonts w:hint="eastAsia" w:ascii="宋体" w:hAnsi="宋体" w:eastAsia="宋体" w:cs="宋体"/>
          <w:sz w:val="24"/>
          <w:szCs w:val="24"/>
          <w:highlight w:val="none"/>
          <w:u w:val="single"/>
        </w:rPr>
        <w:t xml:space="preserve">                       </w:t>
      </w:r>
    </w:p>
    <w:p w14:paraId="1C773DF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（注：固定单价合同应填写单价和最高限价）</w:t>
      </w:r>
    </w:p>
    <w:p w14:paraId="2590B86C">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（2）合同定价方式（采用组合定价方式的，可以勾选多项）：</w:t>
      </w:r>
    </w:p>
    <w:p w14:paraId="3BFFC799">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固定总价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固定单价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固定费率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成本补偿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绩效激励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其他</w:t>
      </w:r>
      <w:r>
        <w:rPr>
          <w:rFonts w:hint="eastAsia" w:ascii="宋体" w:hAnsi="宋体" w:eastAsia="宋体" w:cs="宋体"/>
          <w:sz w:val="24"/>
          <w:szCs w:val="24"/>
          <w:highlight w:val="none"/>
          <w:u w:val="single"/>
        </w:rPr>
        <w:t xml:space="preserve">       </w:t>
      </w:r>
    </w:p>
    <w:p w14:paraId="5E99138B">
      <w:pPr>
        <w:pStyle w:val="48"/>
        <w:spacing w:line="360" w:lineRule="auto"/>
        <w:ind w:firstLine="480"/>
        <w:rPr>
          <w:rFonts w:hint="eastAsia" w:ascii="宋体" w:hAnsi="宋体" w:eastAsia="宋体" w:cs="宋体"/>
          <w:sz w:val="24"/>
          <w:highlight w:val="none"/>
        </w:rPr>
      </w:pPr>
      <w:r>
        <w:rPr>
          <w:rFonts w:hint="eastAsia" w:ascii="宋体" w:hAnsi="宋体" w:eastAsia="宋体" w:cs="宋体"/>
          <w:sz w:val="24"/>
          <w:highlight w:val="none"/>
        </w:rPr>
        <w:t>（3）付款方式（按项目实际勾选填写）：</w:t>
      </w:r>
    </w:p>
    <w:p w14:paraId="318FA8F8">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全额付款：</w:t>
      </w:r>
      <w:r>
        <w:rPr>
          <w:rFonts w:hint="eastAsia" w:ascii="宋体" w:hAnsi="宋体" w:eastAsia="宋体" w:cs="宋体"/>
          <w:sz w:val="24"/>
          <w:szCs w:val="24"/>
          <w:highlight w:val="none"/>
          <w:u w:val="single"/>
        </w:rPr>
        <w:t xml:space="preserve">     （应明确一次性支付合同款项的条件）                    </w:t>
      </w:r>
    </w:p>
    <w:p w14:paraId="6F51F407">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分期付款：</w:t>
      </w:r>
      <w:r>
        <w:rPr>
          <w:rFonts w:hint="eastAsia" w:ascii="宋体" w:hAnsi="宋体" w:eastAsia="宋体" w:cs="宋体"/>
          <w:sz w:val="24"/>
          <w:szCs w:val="24"/>
          <w:highlight w:val="none"/>
          <w:u w:val="single"/>
        </w:rPr>
        <w:t xml:space="preserve">  （应明确分期支付合同款项的各期比例和支付条件，各期支付条件应与分期履约验收情况挂钩） </w:t>
      </w:r>
      <w:r>
        <w:rPr>
          <w:rFonts w:hint="eastAsia" w:ascii="宋体" w:hAnsi="宋体" w:eastAsia="宋体" w:cs="宋体"/>
          <w:sz w:val="24"/>
          <w:szCs w:val="24"/>
          <w:highlight w:val="none"/>
        </w:rPr>
        <w:t>，其中涉及预付款的：</w:t>
      </w:r>
      <w:r>
        <w:rPr>
          <w:rFonts w:hint="eastAsia" w:ascii="宋体" w:hAnsi="宋体" w:eastAsia="宋体" w:cs="宋体"/>
          <w:sz w:val="24"/>
          <w:szCs w:val="24"/>
          <w:highlight w:val="none"/>
          <w:u w:val="single"/>
        </w:rPr>
        <w:t xml:space="preserve"> （应明确预付款的支付比例和支付条件） </w:t>
      </w:r>
    </w:p>
    <w:p w14:paraId="360BAAC0">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成本补偿：</w:t>
      </w:r>
      <w:r>
        <w:rPr>
          <w:rFonts w:hint="eastAsia" w:ascii="宋体" w:hAnsi="宋体" w:eastAsia="宋体" w:cs="宋体"/>
          <w:sz w:val="24"/>
          <w:szCs w:val="24"/>
          <w:highlight w:val="none"/>
          <w:u w:val="single"/>
        </w:rPr>
        <w:t xml:space="preserve">      （应明确按照成本补偿方式的支付方式和支付条件）   </w:t>
      </w:r>
    </w:p>
    <w:p w14:paraId="78A26B7A">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绩效激励：</w:t>
      </w:r>
      <w:r>
        <w:rPr>
          <w:rFonts w:hint="eastAsia" w:ascii="宋体" w:hAnsi="宋体" w:eastAsia="宋体" w:cs="宋体"/>
          <w:sz w:val="24"/>
          <w:szCs w:val="24"/>
          <w:highlight w:val="none"/>
          <w:u w:val="single"/>
        </w:rPr>
        <w:t xml:space="preserve">      （应明确按照绩效激励方式的支付方式和支付条件）   </w:t>
      </w:r>
    </w:p>
    <w:p w14:paraId="0A021E76">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u w:val="single"/>
        </w:rPr>
      </w:pPr>
      <w:r>
        <w:rPr>
          <w:rFonts w:hint="eastAsia" w:ascii="宋体" w:hAnsi="宋体" w:eastAsia="宋体" w:cs="宋体"/>
          <w:b/>
          <w:sz w:val="24"/>
          <w:szCs w:val="24"/>
          <w:highlight w:val="none"/>
        </w:rPr>
        <w:t>合同履行</w:t>
      </w:r>
    </w:p>
    <w:p w14:paraId="0E57412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（1）起始日期：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日，完成日期：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446B360E">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（2）履约地点</w:t>
      </w:r>
      <w:r>
        <w:rPr>
          <w:rFonts w:hint="eastAsia" w:ascii="宋体" w:hAnsi="宋体" w:eastAsia="宋体" w:cs="宋体"/>
          <w:bCs/>
          <w:sz w:val="24"/>
          <w:szCs w:val="24"/>
          <w:highlight w:val="none"/>
        </w:rPr>
        <w:t>：</w:t>
      </w:r>
      <w:r>
        <w:rPr>
          <w:rFonts w:hint="eastAsia" w:ascii="宋体" w:hAnsi="宋体" w:eastAsia="宋体" w:cs="宋体"/>
          <w:sz w:val="24"/>
          <w:szCs w:val="24"/>
          <w:highlight w:val="none"/>
          <w:u w:val="single"/>
        </w:rPr>
        <w:t xml:space="preserve">                             </w:t>
      </w:r>
    </w:p>
    <w:p w14:paraId="60059C7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bCs/>
          <w:sz w:val="24"/>
          <w:szCs w:val="24"/>
          <w:highlight w:val="none"/>
        </w:rPr>
        <w:t>（3）履约担保：</w:t>
      </w:r>
      <w:r>
        <w:rPr>
          <w:rFonts w:hint="eastAsia" w:ascii="宋体" w:hAnsi="宋体" w:eastAsia="宋体" w:cs="宋体"/>
          <w:sz w:val="24"/>
          <w:szCs w:val="24"/>
          <w:highlight w:val="none"/>
        </w:rPr>
        <w:t>是否收取履约保证金：</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否</w:t>
      </w:r>
    </w:p>
    <w:p w14:paraId="525051DA">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 xml:space="preserve">  收取履约保证金形式：</w:t>
      </w:r>
      <w:r>
        <w:rPr>
          <w:rFonts w:hint="eastAsia" w:ascii="宋体" w:hAnsi="宋体" w:eastAsia="宋体" w:cs="宋体"/>
          <w:bCs/>
          <w:sz w:val="24"/>
          <w:szCs w:val="24"/>
          <w:highlight w:val="none"/>
          <w:u w:val="single"/>
        </w:rPr>
        <w:t xml:space="preserve">                            </w:t>
      </w:r>
    </w:p>
    <w:p w14:paraId="6E61031E">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收取履约保证金金额：</w:t>
      </w:r>
      <w:r>
        <w:rPr>
          <w:rFonts w:hint="eastAsia" w:ascii="宋体" w:hAnsi="宋体" w:eastAsia="宋体" w:cs="宋体"/>
          <w:bCs/>
          <w:sz w:val="24"/>
          <w:szCs w:val="24"/>
          <w:highlight w:val="none"/>
          <w:u w:val="single"/>
        </w:rPr>
        <w:t xml:space="preserve">                            </w:t>
      </w:r>
    </w:p>
    <w:p w14:paraId="1AC17775">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bCs/>
          <w:sz w:val="24"/>
          <w:szCs w:val="24"/>
          <w:highlight w:val="none"/>
        </w:rPr>
        <w:t xml:space="preserve">    履约担保期限：</w:t>
      </w:r>
      <w:r>
        <w:rPr>
          <w:rFonts w:hint="eastAsia" w:ascii="宋体" w:hAnsi="宋体" w:eastAsia="宋体" w:cs="宋体"/>
          <w:bCs/>
          <w:sz w:val="24"/>
          <w:szCs w:val="24"/>
          <w:highlight w:val="none"/>
          <w:u w:val="single"/>
        </w:rPr>
        <w:t xml:space="preserve">                                  </w:t>
      </w:r>
    </w:p>
    <w:p w14:paraId="0B108A2A">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（4）分期履行要求：</w:t>
      </w:r>
      <w:r>
        <w:rPr>
          <w:rFonts w:hint="eastAsia" w:ascii="宋体" w:hAnsi="宋体" w:eastAsia="宋体" w:cs="宋体"/>
          <w:bCs/>
          <w:sz w:val="24"/>
          <w:szCs w:val="24"/>
          <w:highlight w:val="none"/>
          <w:u w:val="single"/>
        </w:rPr>
        <w:t xml:space="preserve">                                                        </w:t>
      </w:r>
    </w:p>
    <w:p w14:paraId="14912BC0">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bCs/>
          <w:sz w:val="24"/>
          <w:szCs w:val="24"/>
          <w:highlight w:val="none"/>
        </w:rPr>
        <w:t>（5）风险处置措施和替代方案：</w:t>
      </w:r>
      <w:r>
        <w:rPr>
          <w:rFonts w:hint="eastAsia" w:ascii="宋体" w:hAnsi="宋体" w:eastAsia="宋体" w:cs="宋体"/>
          <w:sz w:val="24"/>
          <w:szCs w:val="24"/>
          <w:highlight w:val="none"/>
          <w:u w:val="single"/>
        </w:rPr>
        <w:t xml:space="preserve">                                                               </w:t>
      </w:r>
    </w:p>
    <w:p w14:paraId="20482AF6">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合同验收</w:t>
      </w:r>
    </w:p>
    <w:p w14:paraId="0BA4DA6A">
      <w:pPr>
        <w:numPr>
          <w:ilvl w:val="0"/>
          <w:numId w:val="3"/>
        </w:num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验收组织方式：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自行组织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委托第三方组织</w:t>
      </w:r>
    </w:p>
    <w:p w14:paraId="4E5BCD14">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         验收主体：</w:t>
      </w:r>
      <w:r>
        <w:rPr>
          <w:rFonts w:hint="eastAsia" w:ascii="宋体" w:hAnsi="宋体" w:eastAsia="宋体" w:cs="宋体"/>
          <w:bCs/>
          <w:sz w:val="24"/>
          <w:szCs w:val="24"/>
          <w:highlight w:val="none"/>
          <w:u w:val="single"/>
        </w:rPr>
        <w:t xml:space="preserve">                  </w:t>
      </w:r>
    </w:p>
    <w:p w14:paraId="32D7576D">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        是否邀请本项目的其他供应商参加验收：</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0A41BE4D">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是否邀请专家参加验收：</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172E5150">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是否邀请服务对象参加验收：</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66F22C86">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是否邀请第三方检测机构参加验收：</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73A2EEF0">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是否进行抽查检测：</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是，抽查比例：</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4CB55A5C">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是否存在破坏性检测：</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是，</w:t>
      </w:r>
      <w:r>
        <w:rPr>
          <w:rFonts w:hint="eastAsia" w:ascii="宋体" w:hAnsi="宋体" w:eastAsia="宋体" w:cs="宋体"/>
          <w:bCs/>
          <w:sz w:val="24"/>
          <w:szCs w:val="24"/>
          <w:highlight w:val="none"/>
          <w:u w:val="single"/>
        </w:rPr>
        <w:t>（应明确对被破坏的检测产品的处理方式）</w:t>
      </w:r>
    </w:p>
    <w:p w14:paraId="645847EC">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29CC1409">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验收组织的其他事项：</w:t>
      </w:r>
      <w:r>
        <w:rPr>
          <w:rFonts w:hint="eastAsia" w:ascii="宋体" w:hAnsi="宋体" w:eastAsia="宋体" w:cs="宋体"/>
          <w:bCs/>
          <w:sz w:val="24"/>
          <w:szCs w:val="24"/>
          <w:highlight w:val="none"/>
          <w:u w:val="single"/>
        </w:rPr>
        <w:t xml:space="preserve">                </w:t>
      </w:r>
    </w:p>
    <w:p w14:paraId="152954F2">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（2）履约验收时间：</w:t>
      </w:r>
      <w:r>
        <w:rPr>
          <w:rFonts w:hint="eastAsia" w:ascii="宋体" w:hAnsi="宋体" w:eastAsia="宋体" w:cs="宋体"/>
          <w:bCs/>
          <w:sz w:val="24"/>
          <w:szCs w:val="24"/>
          <w:highlight w:val="none"/>
          <w:u w:val="single"/>
        </w:rPr>
        <w:t xml:space="preserve">（计划于何时验收/供应商提出验收申请之日起   日内组织验收） </w:t>
      </w:r>
    </w:p>
    <w:p w14:paraId="6DAC79D0">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（3）履约验收方式：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一次性验收         </w:t>
      </w:r>
    </w:p>
    <w:p w14:paraId="0CCA1FB8">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分期/分项验收：</w:t>
      </w:r>
      <w:r>
        <w:rPr>
          <w:rFonts w:hint="eastAsia" w:ascii="宋体" w:hAnsi="宋体" w:eastAsia="宋体" w:cs="宋体"/>
          <w:bCs/>
          <w:sz w:val="24"/>
          <w:szCs w:val="24"/>
          <w:highlight w:val="none"/>
          <w:u w:val="single"/>
        </w:rPr>
        <w:t xml:space="preserve"> （应明确分期</w:t>
      </w:r>
      <w:r>
        <w:rPr>
          <w:rFonts w:hint="eastAsia" w:ascii="宋体" w:hAnsi="宋体" w:eastAsia="宋体" w:cs="宋体"/>
          <w:bCs/>
          <w:sz w:val="24"/>
          <w:szCs w:val="24"/>
          <w:highlight w:val="none"/>
          <w:u w:val="single"/>
          <w:lang w:val="en"/>
        </w:rPr>
        <w:t>/分项验收的工作安排</w:t>
      </w:r>
      <w:r>
        <w:rPr>
          <w:rFonts w:hint="eastAsia" w:ascii="宋体" w:hAnsi="宋体" w:eastAsia="宋体" w:cs="宋体"/>
          <w:bCs/>
          <w:sz w:val="24"/>
          <w:szCs w:val="24"/>
          <w:highlight w:val="none"/>
          <w:u w:val="single"/>
        </w:rPr>
        <w:t xml:space="preserve">）  </w:t>
      </w:r>
    </w:p>
    <w:p w14:paraId="412F92C3">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（4）履约验收程序：</w:t>
      </w:r>
      <w:r>
        <w:rPr>
          <w:rFonts w:hint="eastAsia" w:ascii="宋体" w:hAnsi="宋体" w:eastAsia="宋体" w:cs="宋体"/>
          <w:bCs/>
          <w:sz w:val="24"/>
          <w:szCs w:val="24"/>
          <w:highlight w:val="none"/>
          <w:u w:val="single"/>
        </w:rPr>
        <w:t xml:space="preserve">                                         </w:t>
      </w:r>
    </w:p>
    <w:p w14:paraId="591E102A">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（5）履约验收的内容：</w:t>
      </w:r>
      <w:r>
        <w:rPr>
          <w:rFonts w:hint="eastAsia" w:ascii="宋体" w:hAnsi="宋体" w:eastAsia="宋体" w:cs="宋体"/>
          <w:bCs/>
          <w:sz w:val="24"/>
          <w:szCs w:val="24"/>
          <w:highlight w:val="none"/>
          <w:u w:val="single"/>
        </w:rPr>
        <w:t xml:space="preserve"> （应当包括每一项技术和商务要求的履约情况，特别是落实政府采购扶持中小企业，支持绿色发展和乡村振兴等政策情况）                                      </w:t>
      </w:r>
    </w:p>
    <w:p w14:paraId="715F067A">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（6）履约验收标准：</w:t>
      </w:r>
      <w:r>
        <w:rPr>
          <w:rFonts w:hint="eastAsia" w:ascii="宋体" w:hAnsi="宋体" w:eastAsia="宋体" w:cs="宋体"/>
          <w:bCs/>
          <w:sz w:val="24"/>
          <w:szCs w:val="24"/>
          <w:highlight w:val="none"/>
          <w:u w:val="single"/>
        </w:rPr>
        <w:t xml:space="preserve">                                         </w:t>
      </w:r>
    </w:p>
    <w:p w14:paraId="658873C0">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bCs/>
          <w:sz w:val="24"/>
          <w:szCs w:val="24"/>
          <w:highlight w:val="none"/>
        </w:rPr>
        <w:t>（7）是否以采购活动中供应商提供的样品作为参考：</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3ECD6949">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（8）履约验收其他事项：</w:t>
      </w:r>
      <w:r>
        <w:rPr>
          <w:rFonts w:hint="eastAsia" w:ascii="宋体" w:hAnsi="宋体" w:eastAsia="宋体" w:cs="宋体"/>
          <w:bCs/>
          <w:sz w:val="24"/>
          <w:szCs w:val="24"/>
          <w:highlight w:val="none"/>
          <w:u w:val="single"/>
        </w:rPr>
        <w:t xml:space="preserve">      （产权过户登记等）          </w:t>
      </w:r>
    </w:p>
    <w:p w14:paraId="694CFBDF">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组成合同的文件</w:t>
      </w:r>
    </w:p>
    <w:p w14:paraId="4967787F">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本协议书与下列文件一起构成合同文件，如下述文件之间有任何抵触、矛盾或歧义，应按以下顺序解释：</w:t>
      </w:r>
    </w:p>
    <w:p w14:paraId="21867BDA">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（1）政府采购合同协议书及其变更、补充协议</w:t>
      </w:r>
    </w:p>
    <w:p w14:paraId="3F4A1A42">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（2）政府采购合同专用条款</w:t>
      </w:r>
    </w:p>
    <w:p w14:paraId="18DE3B6F">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（3）政府采购合同通用条款</w:t>
      </w:r>
    </w:p>
    <w:p w14:paraId="209AC28E">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（4）中标（成交）通知书</w:t>
      </w:r>
    </w:p>
    <w:p w14:paraId="6C26820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（5）投标（响应）文件</w:t>
      </w:r>
    </w:p>
    <w:p w14:paraId="1C57021D">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（6）采购文件</w:t>
      </w:r>
    </w:p>
    <w:p w14:paraId="50F8D598">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（7）有关技术文件，图纸</w:t>
      </w:r>
    </w:p>
    <w:p w14:paraId="752717DC">
      <w:pPr>
        <w:pStyle w:val="63"/>
        <w:spacing w:line="360" w:lineRule="auto"/>
        <w:ind w:firstLine="480"/>
        <w:rPr>
          <w:rFonts w:hint="eastAsia" w:ascii="宋体" w:hAnsi="宋体" w:eastAsia="宋体" w:cs="宋体"/>
          <w:kern w:val="2"/>
          <w:sz w:val="24"/>
          <w:szCs w:val="24"/>
          <w:highlight w:val="none"/>
        </w:rPr>
      </w:pPr>
      <w:r>
        <w:rPr>
          <w:rFonts w:hint="eastAsia" w:ascii="宋体" w:hAnsi="宋体" w:eastAsia="宋体" w:cs="宋体"/>
          <w:sz w:val="24"/>
          <w:szCs w:val="24"/>
          <w:highlight w:val="none"/>
        </w:rPr>
        <w:t>（8）</w:t>
      </w:r>
      <w:r>
        <w:rPr>
          <w:rFonts w:hint="eastAsia" w:ascii="宋体" w:hAnsi="宋体" w:eastAsia="宋体" w:cs="宋体"/>
          <w:kern w:val="2"/>
          <w:sz w:val="24"/>
          <w:szCs w:val="24"/>
          <w:highlight w:val="none"/>
        </w:rPr>
        <w:t>国家法律、行政法规和规章制度规定或合同约定的作为合同组成部分的其他文件</w:t>
      </w:r>
    </w:p>
    <w:p w14:paraId="77CB457C">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合同生效</w:t>
      </w:r>
    </w:p>
    <w:p w14:paraId="4C359BE9">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本合同自</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生效。</w:t>
      </w:r>
    </w:p>
    <w:p w14:paraId="3FAB08D8">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合同份数</w:t>
      </w:r>
    </w:p>
    <w:p w14:paraId="1F7F201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本合同一式</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份，甲方执</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份，乙方执</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份，均具有同等法律效力。</w:t>
      </w:r>
    </w:p>
    <w:p w14:paraId="6AFEA8C2">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合同订立时间：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469D003B">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合同订立地点：</w:t>
      </w:r>
      <w:r>
        <w:rPr>
          <w:rFonts w:hint="eastAsia" w:ascii="宋体" w:hAnsi="宋体" w:eastAsia="宋体" w:cs="宋体"/>
          <w:sz w:val="24"/>
          <w:szCs w:val="24"/>
          <w:highlight w:val="none"/>
          <w:u w:val="single"/>
        </w:rPr>
        <w:t xml:space="preserve">                           </w:t>
      </w:r>
    </w:p>
    <w:p w14:paraId="101EA4B0">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附件：具体标的及其技术要求和商务要求、联合协议、分包意向协议等。</w:t>
      </w:r>
    </w:p>
    <w:p w14:paraId="02A0B1D5">
      <w:pPr>
        <w:pStyle w:val="48"/>
        <w:spacing w:line="400" w:lineRule="exact"/>
        <w:ind w:firstLine="480"/>
        <w:rPr>
          <w:rFonts w:hint="eastAsia" w:ascii="宋体" w:hAnsi="宋体" w:eastAsia="宋体" w:cs="宋体"/>
          <w:sz w:val="24"/>
          <w:highlight w:val="none"/>
        </w:rPr>
      </w:pPr>
    </w:p>
    <w:p w14:paraId="69D2ED33">
      <w:pPr>
        <w:pStyle w:val="6"/>
        <w:adjustRightInd w:val="0"/>
        <w:snapToGrid w:val="0"/>
        <w:spacing w:before="120" w:beforeLines="50"/>
        <w:jc w:val="center"/>
        <w:rPr>
          <w:rFonts w:hint="eastAsia" w:ascii="宋体" w:hAnsi="宋体" w:eastAsia="宋体" w:cs="宋体"/>
          <w:sz w:val="24"/>
          <w:szCs w:val="24"/>
          <w:highlight w:val="none"/>
        </w:rPr>
      </w:pPr>
      <w:bookmarkStart w:id="223" w:name="_Toc10654"/>
      <w:bookmarkStart w:id="224" w:name="_Toc27624"/>
      <w:r>
        <w:rPr>
          <w:rFonts w:hint="eastAsia" w:ascii="宋体" w:hAnsi="宋体" w:eastAsia="宋体" w:cs="宋体"/>
          <w:b w:val="0"/>
          <w:bCs w:val="0"/>
          <w:sz w:val="24"/>
          <w:szCs w:val="24"/>
          <w:highlight w:val="none"/>
        </w:rPr>
        <w:t>第二节 政府采购合同通用条款</w:t>
      </w:r>
      <w:bookmarkEnd w:id="223"/>
      <w:bookmarkEnd w:id="224"/>
    </w:p>
    <w:p w14:paraId="5BE2BFE7">
      <w:pPr>
        <w:tabs>
          <w:tab w:val="left" w:pos="8820"/>
          <w:tab w:val="left" w:pos="9345"/>
          <w:tab w:val="left" w:pos="9765"/>
        </w:tabs>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sz w:val="24"/>
          <w:szCs w:val="24"/>
          <w:highlight w:val="none"/>
        </w:rPr>
        <w:t xml:space="preserve">1. </w:t>
      </w:r>
      <w:r>
        <w:rPr>
          <w:rFonts w:hint="eastAsia" w:ascii="宋体" w:hAnsi="宋体" w:eastAsia="宋体" w:cs="宋体"/>
          <w:b/>
          <w:bCs/>
          <w:sz w:val="24"/>
          <w:szCs w:val="24"/>
          <w:highlight w:val="none"/>
        </w:rPr>
        <w:t>定义</w:t>
      </w:r>
    </w:p>
    <w:p w14:paraId="24E8F3DC">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1.1合同当事人</w:t>
      </w:r>
    </w:p>
    <w:p w14:paraId="17E00AD4">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（1）采购人（以下称甲方）是指使用财政性资金，通过政府采购方式向供应商购买货物及其相关服务的国家机关、事业单位、团体组织。</w:t>
      </w:r>
    </w:p>
    <w:p w14:paraId="090C1A92">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（2）供应商（以下称乙方）是指参加政府采购活动并且中标（成交），向采购人提供合同约定的货物及其相关服务的法人、非法人组织或者自然人。</w:t>
      </w:r>
    </w:p>
    <w:p w14:paraId="30640551">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（3）其他合同主体是指除采购人和供应商以外，</w:t>
      </w:r>
      <w:r>
        <w:rPr>
          <w:rFonts w:hint="eastAsia" w:ascii="宋体" w:hAnsi="宋体" w:eastAsia="宋体" w:cs="宋体"/>
          <w:bCs/>
          <w:sz w:val="24"/>
          <w:szCs w:val="24"/>
          <w:highlight w:val="none"/>
        </w:rPr>
        <w:t>依法参与合同缔结或履行，享有权利、承担义务的合同当事人</w:t>
      </w:r>
      <w:r>
        <w:rPr>
          <w:rFonts w:hint="eastAsia" w:ascii="宋体" w:hAnsi="宋体" w:eastAsia="宋体" w:cs="宋体"/>
          <w:sz w:val="24"/>
          <w:szCs w:val="24"/>
          <w:highlight w:val="none"/>
        </w:rPr>
        <w:t>。</w:t>
      </w:r>
    </w:p>
    <w:p w14:paraId="082CC9B3">
      <w:pPr>
        <w:tabs>
          <w:tab w:val="left" w:pos="570"/>
          <w:tab w:val="left" w:pos="9240"/>
          <w:tab w:val="left" w:pos="9555"/>
        </w:tabs>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1.2本合同下列术语应解释为：</w:t>
      </w:r>
    </w:p>
    <w:p w14:paraId="39428044">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（1）“合同”系指</w:t>
      </w:r>
      <w:r>
        <w:rPr>
          <w:rFonts w:hint="eastAsia" w:ascii="宋体" w:hAnsi="宋体" w:eastAsia="宋体" w:cs="宋体"/>
          <w:bCs/>
          <w:sz w:val="24"/>
          <w:szCs w:val="24"/>
          <w:highlight w:val="none"/>
        </w:rPr>
        <w:t>合同当事人意思表示达成一致的任何协议，包括签署的</w:t>
      </w:r>
      <w:r>
        <w:rPr>
          <w:rFonts w:hint="eastAsia" w:ascii="宋体" w:hAnsi="宋体" w:eastAsia="宋体" w:cs="宋体"/>
          <w:sz w:val="24"/>
          <w:szCs w:val="24"/>
          <w:highlight w:val="none"/>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473F78EF">
      <w:pPr>
        <w:tabs>
          <w:tab w:val="left" w:pos="570"/>
          <w:tab w:val="left" w:pos="9240"/>
          <w:tab w:val="left" w:pos="9555"/>
        </w:tabs>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（2）“合同价款”系指根据本合同规定乙方在全面履行合同义务后甲方应支付给乙方的价款。</w:t>
      </w:r>
    </w:p>
    <w:p w14:paraId="690F468F">
      <w:pPr>
        <w:tabs>
          <w:tab w:val="left" w:pos="570"/>
          <w:tab w:val="left" w:pos="9240"/>
          <w:tab w:val="left" w:pos="9555"/>
        </w:tabs>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（3）“货物”系指乙方根据本合同规定须向甲方提供的各种形态和种类的物品，包括原材料、设备、产品（包括软件）及相关的其备品备件、工具、手册及</w:t>
      </w:r>
      <w:r>
        <w:rPr>
          <w:rFonts w:hint="eastAsia" w:ascii="宋体" w:hAnsi="宋体" w:eastAsia="宋体" w:cs="宋体"/>
          <w:sz w:val="24"/>
          <w:szCs w:val="24"/>
          <w:highlight w:val="none"/>
          <w:lang w:val="en"/>
        </w:rPr>
        <w:t>其他</w:t>
      </w:r>
      <w:r>
        <w:rPr>
          <w:rFonts w:hint="eastAsia" w:ascii="宋体" w:hAnsi="宋体" w:eastAsia="宋体" w:cs="宋体"/>
          <w:sz w:val="24"/>
          <w:szCs w:val="24"/>
          <w:highlight w:val="none"/>
        </w:rPr>
        <w:t>技术资料和材料等。</w:t>
      </w:r>
    </w:p>
    <w:p w14:paraId="0A12BEB5">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（4）“相关服务”系指根据合同规定，乙方应提供的与货物有关的技术、管理和</w:t>
      </w:r>
      <w:r>
        <w:rPr>
          <w:rFonts w:hint="eastAsia" w:ascii="宋体" w:hAnsi="宋体" w:eastAsia="宋体" w:cs="宋体"/>
          <w:sz w:val="24"/>
          <w:szCs w:val="24"/>
          <w:highlight w:val="none"/>
          <w:lang w:val="en"/>
        </w:rPr>
        <w:t>其他</w:t>
      </w:r>
      <w:r>
        <w:rPr>
          <w:rFonts w:hint="eastAsia" w:ascii="宋体" w:hAnsi="宋体" w:eastAsia="宋体" w:cs="宋体"/>
          <w:sz w:val="24"/>
          <w:szCs w:val="24"/>
          <w:highlight w:val="none"/>
        </w:rPr>
        <w:t>服务，包括但不限于：管理和质量保证、运输、保险、检验、现场准备、安装、集成、调试、培训、维修、废弃处置、技术支持等以及合同中规定乙方应承担的</w:t>
      </w:r>
      <w:r>
        <w:rPr>
          <w:rFonts w:hint="eastAsia" w:ascii="宋体" w:hAnsi="宋体" w:eastAsia="宋体" w:cs="宋体"/>
          <w:sz w:val="24"/>
          <w:szCs w:val="24"/>
          <w:highlight w:val="none"/>
          <w:lang w:val="en"/>
        </w:rPr>
        <w:t>其他</w:t>
      </w:r>
      <w:r>
        <w:rPr>
          <w:rFonts w:hint="eastAsia" w:ascii="宋体" w:hAnsi="宋体" w:eastAsia="宋体" w:cs="宋体"/>
          <w:sz w:val="24"/>
          <w:szCs w:val="24"/>
          <w:highlight w:val="none"/>
        </w:rPr>
        <w:t>义务。</w:t>
      </w:r>
    </w:p>
    <w:p w14:paraId="0C2AE8AB">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（5）“分包”系指中标（成交）供应商按采购文件、投标（响应）文件的规定，根据分包意向协议，将中标（成交）项目中的部分履约内容，分给具有相应资质条件的供应商履行合同的行为。</w:t>
      </w:r>
    </w:p>
    <w:p w14:paraId="652CA376">
      <w:pPr>
        <w:tabs>
          <w:tab w:val="left" w:pos="570"/>
          <w:tab w:val="left" w:pos="9240"/>
          <w:tab w:val="left" w:pos="9555"/>
        </w:tabs>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w:t>
      </w:r>
    </w:p>
    <w:p w14:paraId="7C87E0AC">
      <w:pPr>
        <w:tabs>
          <w:tab w:val="left" w:pos="570"/>
          <w:tab w:val="left" w:pos="9240"/>
          <w:tab w:val="left" w:pos="9555"/>
        </w:tabs>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（7）其他术语解释，见【</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w:t>
      </w:r>
    </w:p>
    <w:p w14:paraId="03C31B87">
      <w:pPr>
        <w:numPr>
          <w:ilvl w:val="0"/>
          <w:numId w:val="4"/>
        </w:num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sz w:val="24"/>
          <w:szCs w:val="24"/>
          <w:highlight w:val="none"/>
        </w:rPr>
        <w:t>合同标的及金额</w:t>
      </w:r>
    </w:p>
    <w:p w14:paraId="6F03B307">
      <w:pPr>
        <w:autoSpaceDE w:val="0"/>
        <w:autoSpaceDN w:val="0"/>
        <w:adjustRightInd w:val="0"/>
        <w:snapToGrid w:val="0"/>
        <w:spacing w:line="400" w:lineRule="exact"/>
        <w:ind w:firstLine="480" w:firstLineChars="200"/>
        <w:jc w:val="left"/>
        <w:rPr>
          <w:rFonts w:hint="eastAsia" w:ascii="宋体" w:hAnsi="宋体" w:eastAsia="宋体" w:cs="宋体"/>
          <w:b/>
          <w:bCs/>
          <w:i/>
          <w:iCs/>
          <w:sz w:val="24"/>
          <w:szCs w:val="24"/>
          <w:highlight w:val="none"/>
        </w:rPr>
      </w:pPr>
      <w:r>
        <w:rPr>
          <w:rFonts w:hint="eastAsia" w:ascii="宋体" w:hAnsi="宋体" w:eastAsia="宋体" w:cs="宋体"/>
          <w:sz w:val="24"/>
          <w:szCs w:val="24"/>
          <w:highlight w:val="none"/>
        </w:rPr>
        <w:t>2.1 合同标的及金额应与中标（成交）结果一致。乙方为履行本合同而发生的所有费用均应包含在合同价款中，甲方不再另行支付</w:t>
      </w:r>
      <w:r>
        <w:rPr>
          <w:rFonts w:hint="eastAsia" w:ascii="宋体" w:hAnsi="宋体" w:eastAsia="宋体" w:cs="宋体"/>
          <w:sz w:val="24"/>
          <w:szCs w:val="24"/>
          <w:highlight w:val="none"/>
          <w:lang w:val="en"/>
        </w:rPr>
        <w:t>其他</w:t>
      </w:r>
      <w:r>
        <w:rPr>
          <w:rFonts w:hint="eastAsia" w:ascii="宋体" w:hAnsi="宋体" w:eastAsia="宋体" w:cs="宋体"/>
          <w:sz w:val="24"/>
          <w:szCs w:val="24"/>
          <w:highlight w:val="none"/>
        </w:rPr>
        <w:t>任何费用。</w:t>
      </w:r>
    </w:p>
    <w:p w14:paraId="7BF7FB17">
      <w:pPr>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3. 履行合同的时间、地点和方式</w:t>
      </w:r>
    </w:p>
    <w:p w14:paraId="7368A2C1">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3.1 乙方应当在约定的时间、地点，按照约定方式履行合同。</w:t>
      </w:r>
    </w:p>
    <w:p w14:paraId="1038BAA1">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4. 甲方的权利和义务</w:t>
      </w:r>
    </w:p>
    <w:p w14:paraId="6B5C7758">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4.1 签署合同后，甲方应确定项目负责人（或项目联系人），负责与本合同有关的事务。甲方有权对乙方的履约行为进行检查，并及时确认乙方提交的事项。甲方应当配合乙方完成相关项目实施工作。</w:t>
      </w:r>
    </w:p>
    <w:p w14:paraId="555B686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4.2 甲方有权要求乙方按时提交各阶段有关安排计划，并有权定期核对乙方提供货物数量、规格、质量等内容。甲方有权督促乙方工作并要求乙方更换不符合要求的货物。</w:t>
      </w:r>
    </w:p>
    <w:p w14:paraId="2EC0ED98">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4.3 甲方有权要求乙方对缺陷部分予以修复，并按合同约定享有货物保修及其他合同约定的权利。</w:t>
      </w:r>
    </w:p>
    <w:p w14:paraId="3A67A035">
      <w:pPr>
        <w:snapToGrid w:val="0"/>
        <w:spacing w:line="4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4.4 甲方应当按照合同约定及时对交付的货物进行验收，未在</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约定的期限内对乙方履约提出任何异议或者向乙方作出任何说明的，视为验收通过。</w:t>
      </w:r>
    </w:p>
    <w:p w14:paraId="3479EFBD">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4.5 甲方应当根据合同约定及时向乙方支付合同价款，不得以内部人员变更、履行内部付款流程等为由，拒绝或迟延支付。</w:t>
      </w:r>
    </w:p>
    <w:p w14:paraId="44EF015F">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4.6 国家法律法规规定及</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约定应由甲方承担的其他义务和责任。</w:t>
      </w:r>
    </w:p>
    <w:p w14:paraId="20147FF1">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5. 乙方的权利和义务</w:t>
      </w:r>
    </w:p>
    <w:p w14:paraId="4D7CFFA4">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5.1 签署合同后，乙方应确定项目负责人（或项目联系人），负责与本合同有关的事务。</w:t>
      </w:r>
    </w:p>
    <w:p w14:paraId="4F680E2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65F46E6C">
      <w:pPr>
        <w:pStyle w:val="9"/>
        <w:spacing w:line="400" w:lineRule="exact"/>
        <w:ind w:firstLine="422" w:firstLineChars="176"/>
        <w:rPr>
          <w:rFonts w:hint="eastAsia" w:ascii="宋体" w:hAnsi="宋体" w:eastAsia="宋体" w:cs="宋体"/>
          <w:sz w:val="24"/>
          <w:szCs w:val="24"/>
          <w:highlight w:val="none"/>
        </w:rPr>
      </w:pPr>
      <w:r>
        <w:rPr>
          <w:rFonts w:hint="eastAsia" w:ascii="宋体" w:hAnsi="宋体" w:eastAsia="宋体" w:cs="宋体"/>
          <w:sz w:val="24"/>
          <w:szCs w:val="24"/>
          <w:highlight w:val="none"/>
        </w:rPr>
        <w:t>5.3乙方有权根据合同约定向甲方收取合同价款。</w:t>
      </w:r>
    </w:p>
    <w:p w14:paraId="6D3D072A">
      <w:pPr>
        <w:pStyle w:val="9"/>
        <w:spacing w:line="400" w:lineRule="exact"/>
        <w:ind w:firstLine="422" w:firstLineChars="176"/>
        <w:rPr>
          <w:rFonts w:hint="eastAsia" w:ascii="宋体" w:hAnsi="宋体" w:eastAsia="宋体" w:cs="宋体"/>
          <w:sz w:val="24"/>
          <w:szCs w:val="24"/>
          <w:highlight w:val="none"/>
        </w:rPr>
      </w:pPr>
      <w:r>
        <w:rPr>
          <w:rFonts w:hint="eastAsia" w:ascii="宋体" w:hAnsi="宋体" w:eastAsia="宋体" w:cs="宋体"/>
          <w:sz w:val="24"/>
          <w:szCs w:val="24"/>
          <w:highlight w:val="none"/>
        </w:rPr>
        <w:t>5.4国家法律法规规定及</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约定应由乙方承担的其他义务和责任。</w:t>
      </w:r>
    </w:p>
    <w:p w14:paraId="5948BF9B">
      <w:pPr>
        <w:numPr>
          <w:ilvl w:val="0"/>
          <w:numId w:val="5"/>
        </w:num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合同履行</w:t>
      </w:r>
    </w:p>
    <w:p w14:paraId="56EB8622">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6.1 甲乙双方应当按照</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约定顺序履行合同义务；如果没有先后顺序的，应当同时履行。</w:t>
      </w:r>
    </w:p>
    <w:p w14:paraId="2485A49D">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3608E1D8">
      <w:pPr>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7. 货物包装、运输、保险和交付要求</w:t>
      </w:r>
    </w:p>
    <w:p w14:paraId="0DCCE7E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7.1 本合同</w:t>
      </w:r>
      <w:r>
        <w:rPr>
          <w:rFonts w:hint="eastAsia" w:ascii="宋体" w:hAnsi="宋体" w:eastAsia="宋体" w:cs="宋体"/>
          <w:bCs/>
          <w:sz w:val="24"/>
          <w:szCs w:val="24"/>
          <w:highlight w:val="none"/>
        </w:rPr>
        <w:t>涉及商品包装、快递包装的，</w:t>
      </w:r>
      <w:r>
        <w:rPr>
          <w:rFonts w:hint="eastAsia" w:ascii="宋体" w:hAnsi="宋体" w:eastAsia="宋体" w:cs="宋体"/>
          <w:sz w:val="24"/>
          <w:szCs w:val="24"/>
          <w:highlight w:val="none"/>
        </w:rPr>
        <w:t>除</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另有约定外，</w:t>
      </w:r>
      <w:r>
        <w:rPr>
          <w:rFonts w:hint="eastAsia" w:ascii="宋体" w:hAnsi="宋体" w:eastAsia="宋体" w:cs="宋体"/>
          <w:sz w:val="24"/>
          <w:szCs w:val="24"/>
          <w:highlight w:val="none"/>
        </w:rPr>
        <w:t>包装应适应远距离运输、防潮、防震、防锈和防野蛮装卸等要求，确保货物安全无损地运抵</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约定的</w:t>
      </w:r>
      <w:r>
        <w:rPr>
          <w:rFonts w:hint="eastAsia" w:ascii="宋体" w:hAnsi="宋体" w:eastAsia="宋体" w:cs="宋体"/>
          <w:sz w:val="24"/>
          <w:szCs w:val="24"/>
          <w:highlight w:val="none"/>
        </w:rPr>
        <w:t>指定现场。</w:t>
      </w:r>
    </w:p>
    <w:p w14:paraId="08E92086">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7.2 除</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另有约定外，</w:t>
      </w:r>
      <w:r>
        <w:rPr>
          <w:rFonts w:hint="eastAsia" w:ascii="宋体" w:hAnsi="宋体" w:eastAsia="宋体" w:cs="宋体"/>
          <w:sz w:val="24"/>
          <w:szCs w:val="24"/>
          <w:highlight w:val="none"/>
        </w:rPr>
        <w:t>乙方负责办理将货物运抵本合同规定的交货地点，并装卸、交付至甲方的一切运输事项，相关费用应包含在合同价款中。</w:t>
      </w:r>
    </w:p>
    <w:p w14:paraId="72917078">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7.3 货物保险要求按</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规定执行</w:t>
      </w:r>
      <w:r>
        <w:rPr>
          <w:rFonts w:hint="eastAsia" w:ascii="宋体" w:hAnsi="宋体" w:eastAsia="宋体" w:cs="宋体"/>
          <w:sz w:val="24"/>
          <w:szCs w:val="24"/>
          <w:highlight w:val="none"/>
        </w:rPr>
        <w:t>。</w:t>
      </w:r>
    </w:p>
    <w:p w14:paraId="5094A9D9">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7244C637">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7.5 乙方在运输到达之前应提前通知甲方，并提示货物运输装卸的注意事项，甲方配合乙方做好货物的接收工作。</w:t>
      </w:r>
    </w:p>
    <w:p w14:paraId="53752AC2">
      <w:pPr>
        <w:pStyle w:val="63"/>
        <w:ind w:firstLine="480"/>
        <w:rPr>
          <w:rFonts w:hint="eastAsia" w:ascii="宋体" w:hAnsi="宋体" w:eastAsia="宋体" w:cs="宋体"/>
          <w:sz w:val="24"/>
          <w:szCs w:val="24"/>
          <w:highlight w:val="none"/>
        </w:rPr>
      </w:pPr>
      <w:r>
        <w:rPr>
          <w:rFonts w:hint="eastAsia" w:ascii="宋体" w:hAnsi="宋体" w:eastAsia="宋体" w:cs="宋体"/>
          <w:kern w:val="2"/>
          <w:sz w:val="24"/>
          <w:szCs w:val="24"/>
          <w:highlight w:val="none"/>
        </w:rPr>
        <w:t>7.6 如因包装、运输问题导致货物损毁、丢失或者品质下降，甲方有权要求降价、换货、拒收部分或整批货物，由此产生的费用和损失，均由乙方承担。</w:t>
      </w:r>
    </w:p>
    <w:p w14:paraId="50F63B34">
      <w:pPr>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8. 质量标准和保证</w:t>
      </w:r>
    </w:p>
    <w:p w14:paraId="114A14DB">
      <w:pPr>
        <w:pStyle w:val="3"/>
        <w:adjustRightInd w:val="0"/>
        <w:snapToGrid w:val="0"/>
        <w:spacing w:line="400" w:lineRule="exact"/>
        <w:ind w:firstLine="480" w:firstLineChars="200"/>
        <w:jc w:val="left"/>
        <w:rPr>
          <w:rFonts w:hint="eastAsia" w:hAnsi="宋体" w:eastAsia="宋体" w:cs="宋体"/>
          <w:b/>
          <w:sz w:val="24"/>
          <w:szCs w:val="24"/>
          <w:highlight w:val="none"/>
        </w:rPr>
      </w:pPr>
      <w:r>
        <w:rPr>
          <w:rFonts w:hint="eastAsia" w:hAnsi="宋体" w:eastAsia="宋体" w:cs="宋体"/>
          <w:sz w:val="24"/>
          <w:szCs w:val="24"/>
          <w:highlight w:val="none"/>
        </w:rPr>
        <w:t>8.1 质量标准</w:t>
      </w:r>
    </w:p>
    <w:p w14:paraId="620EDCA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F344E0E">
      <w:pPr>
        <w:pStyle w:val="3"/>
        <w:adjustRightInd w:val="0"/>
        <w:snapToGrid w:val="0"/>
        <w:spacing w:line="400" w:lineRule="exact"/>
        <w:ind w:firstLine="480" w:firstLineChars="200"/>
        <w:jc w:val="left"/>
        <w:rPr>
          <w:rFonts w:hint="eastAsia" w:hAnsi="宋体" w:eastAsia="宋体" w:cs="宋体"/>
          <w:sz w:val="24"/>
          <w:szCs w:val="24"/>
          <w:highlight w:val="none"/>
        </w:rPr>
      </w:pPr>
      <w:r>
        <w:rPr>
          <w:rFonts w:hint="eastAsia" w:hAnsi="宋体" w:eastAsia="宋体" w:cs="宋体"/>
          <w:sz w:val="24"/>
          <w:szCs w:val="24"/>
          <w:highlight w:val="none"/>
        </w:rPr>
        <w:t>（2）采用中华人民共和国法定计量单位。</w:t>
      </w:r>
    </w:p>
    <w:p w14:paraId="44A3694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（3）乙方所提供的货物应符合国家有关安全、环保、卫生的规定。</w:t>
      </w:r>
    </w:p>
    <w:p w14:paraId="4C0B45F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（4）乙方应向甲方提交所提供货物的技术文件，包括相应的中文技术文件，如：产品目录、图纸、操作手册、使用说明、维护手册或服务指南等。上述文件应包装好随货物一同发运。</w:t>
      </w:r>
    </w:p>
    <w:p w14:paraId="67885897">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8.2 保证</w:t>
      </w:r>
    </w:p>
    <w:p w14:paraId="74BB91B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规定或乙方书面承诺（两者以较长的为准）的质量保证期内，本保证保持有效。</w:t>
      </w:r>
    </w:p>
    <w:p w14:paraId="5AD1F2C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（2）在质量保证期内所发现的缺陷，甲方应尽快以书面形式通知乙方。</w:t>
      </w:r>
    </w:p>
    <w:p w14:paraId="435C435E">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（3）乙方收到通知后，应在</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规定的响应时间内以合理的速度免费维修或更换有缺陷的货物或部件。</w:t>
      </w:r>
    </w:p>
    <w:p w14:paraId="45913D0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6FDEDAC8">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（5）乙方在约定的时间内未能弥补缺陷，甲方可采取必要的补救措施，但其风险和费用将由乙方承担，甲方根据合同约定对乙方行使的其他权利不受影响。</w:t>
      </w:r>
    </w:p>
    <w:p w14:paraId="537C0F0F">
      <w:pPr>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9. 权利瑕疵担保</w:t>
      </w:r>
    </w:p>
    <w:p w14:paraId="595A9B93">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9.1 乙方保证对其出售的货物享有合法的权利。</w:t>
      </w:r>
    </w:p>
    <w:p w14:paraId="040F2A2D">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9.2 乙方保证在交付的货物上不存在抵押权等担保物权。</w:t>
      </w:r>
    </w:p>
    <w:p w14:paraId="54D1B6A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9.3 如甲方使用上述货物构成对第三人侵权的，则由乙方承担全部责任。</w:t>
      </w:r>
    </w:p>
    <w:p w14:paraId="0C59B26A">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10. 知识产权保护</w:t>
      </w:r>
    </w:p>
    <w:p w14:paraId="681E3C63">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10.1 乙方对其所销售的货物应当享有知识产权或经权利人合法授权，保证没有侵犯任何第三人的知识产权等权利。</w:t>
      </w:r>
      <w:bookmarkStart w:id="225" w:name="_Hlk163047038"/>
      <w:r>
        <w:rPr>
          <w:rFonts w:hint="eastAsia" w:ascii="宋体" w:hAnsi="宋体" w:eastAsia="宋体" w:cs="宋体"/>
          <w:sz w:val="24"/>
          <w:szCs w:val="24"/>
          <w:highlight w:val="none"/>
        </w:rPr>
        <w:t>因违反前述约定对第三人构成侵权的，应当由乙方向第三人承担法律责任；甲方依法向第三人赔偿后，有权向乙方追偿。甲方有其他损失的，乙方应当赔偿</w:t>
      </w:r>
      <w:bookmarkEnd w:id="225"/>
      <w:r>
        <w:rPr>
          <w:rFonts w:hint="eastAsia" w:ascii="宋体" w:hAnsi="宋体" w:eastAsia="宋体" w:cs="宋体"/>
          <w:sz w:val="24"/>
          <w:szCs w:val="24"/>
          <w:highlight w:val="none"/>
        </w:rPr>
        <w:t>。</w:t>
      </w:r>
    </w:p>
    <w:p w14:paraId="6AFF7E6D">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11. 保密义务</w:t>
      </w:r>
    </w:p>
    <w:p w14:paraId="66A1FAF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中约定。</w:t>
      </w:r>
    </w:p>
    <w:p w14:paraId="6F2651DD">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12. 合同价款支付</w:t>
      </w:r>
    </w:p>
    <w:p w14:paraId="2C1F6D98">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12.1 合同价款支付按照国库集中支付制度及财政管理相关规定执行。</w:t>
      </w:r>
    </w:p>
    <w:p w14:paraId="4CBC1FAF">
      <w:pPr>
        <w:pStyle w:val="6"/>
        <w:spacing w:line="400" w:lineRule="exact"/>
        <w:ind w:firstLine="480" w:firstLineChars="200"/>
        <w:rPr>
          <w:rFonts w:hint="eastAsia" w:ascii="宋体" w:hAnsi="宋体" w:eastAsia="宋体" w:cs="宋体"/>
          <w:sz w:val="24"/>
          <w:szCs w:val="24"/>
          <w:highlight w:val="none"/>
        </w:rPr>
      </w:pPr>
      <w:bookmarkStart w:id="226" w:name="_Toc15679"/>
      <w:r>
        <w:rPr>
          <w:rFonts w:hint="eastAsia" w:ascii="宋体" w:hAnsi="宋体" w:eastAsia="宋体" w:cs="宋体"/>
          <w:b w:val="0"/>
          <w:bCs w:val="0"/>
          <w:sz w:val="24"/>
          <w:szCs w:val="24"/>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sz w:val="24"/>
          <w:szCs w:val="24"/>
          <w:highlight w:val="none"/>
        </w:rPr>
        <w:t>政府采购合同专用条款</w:t>
      </w:r>
      <w:r>
        <w:rPr>
          <w:rFonts w:hint="eastAsia" w:ascii="宋体" w:hAnsi="宋体" w:eastAsia="宋体" w:cs="宋体"/>
          <w:b w:val="0"/>
          <w:bCs w:val="0"/>
          <w:sz w:val="24"/>
          <w:szCs w:val="24"/>
          <w:highlight w:val="none"/>
        </w:rPr>
        <w:t>】中约定。</w:t>
      </w:r>
      <w:bookmarkEnd w:id="226"/>
    </w:p>
    <w:p w14:paraId="681850A4">
      <w:pPr>
        <w:pStyle w:val="9"/>
        <w:spacing w:line="40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13. 履约保证金</w:t>
      </w:r>
    </w:p>
    <w:p w14:paraId="07DA9C24">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13.1 乙方应当以支票、汇票、本票或者金融机构、担保机构出具的保函等非现金形式提交。</w:t>
      </w:r>
    </w:p>
    <w:p w14:paraId="68A4CE84">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13.2 如果乙方出现</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14:paraId="15939C0F">
      <w:pPr>
        <w:spacing w:line="400" w:lineRule="exact"/>
        <w:ind w:firstLine="420"/>
        <w:rPr>
          <w:rFonts w:hint="eastAsia" w:ascii="宋体" w:hAnsi="宋体" w:eastAsia="宋体" w:cs="宋体"/>
          <w:sz w:val="24"/>
          <w:szCs w:val="24"/>
          <w:highlight w:val="none"/>
        </w:rPr>
      </w:pPr>
      <w:r>
        <w:rPr>
          <w:rFonts w:hint="eastAsia" w:ascii="宋体" w:hAnsi="宋体" w:eastAsia="宋体" w:cs="宋体"/>
          <w:sz w:val="24"/>
          <w:szCs w:val="24"/>
          <w:highlight w:val="none"/>
        </w:rPr>
        <w:t>13.3 甲方在项目通过验收后按照</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规定的时间内将履约保证金退还乙方；逾期退还的，乙方可要求甲方支付违约金，违约金按照</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规定支付。</w:t>
      </w:r>
    </w:p>
    <w:p w14:paraId="5AD6B9D3">
      <w:pPr>
        <w:autoSpaceDE w:val="0"/>
        <w:autoSpaceDN w:val="0"/>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bCs/>
          <w:sz w:val="24"/>
          <w:szCs w:val="24"/>
          <w:highlight w:val="none"/>
        </w:rPr>
        <w:t xml:space="preserve">14. </w:t>
      </w:r>
      <w:r>
        <w:rPr>
          <w:rFonts w:hint="eastAsia" w:ascii="宋体" w:hAnsi="宋体" w:eastAsia="宋体" w:cs="宋体"/>
          <w:b/>
          <w:sz w:val="24"/>
          <w:szCs w:val="24"/>
          <w:highlight w:val="none"/>
        </w:rPr>
        <w:t>售后服务</w:t>
      </w:r>
    </w:p>
    <w:p w14:paraId="7AA3AD57">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14.1 除项目不涉及或采购活动中明确约定无须承担外，乙方还应提供下列服务：</w:t>
      </w:r>
    </w:p>
    <w:p w14:paraId="743DCCB3">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（1）货物的现场移动、安装、调试、启动监督及技术支持；</w:t>
      </w:r>
    </w:p>
    <w:p w14:paraId="01E2F707">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（2）提供货物组装和维修所需的专用工具和辅助材料；</w:t>
      </w:r>
    </w:p>
    <w:p w14:paraId="7B2B6EB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（3）在</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约定的期限内对所有的货物实施运行监督、维修，但前提条件是该服务并不能免除乙方在质量保证期内所承担的义务；</w:t>
      </w:r>
    </w:p>
    <w:p w14:paraId="4C43D5B3">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（4）在制造商所在地或指定现场就货物的安装、启动、运营、维护、废弃处置等对甲方操作人员进行培训；</w:t>
      </w:r>
    </w:p>
    <w:p w14:paraId="616A15CF">
      <w:pPr>
        <w:pStyle w:val="63"/>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（5）依照法律、行政法规的规定或者按照</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约定，货物在有效使用年限届满后应予回收的，乙方负有自行或者委托第三人对货物予以回收的义务；</w:t>
      </w:r>
    </w:p>
    <w:p w14:paraId="3DD3819D">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规定由乙方提供的其他服务。</w:t>
      </w:r>
    </w:p>
    <w:p w14:paraId="76202E9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14.2 乙方提供的售后服务的费用已包含在合同价款中，甲方不再另行支付。</w:t>
      </w:r>
    </w:p>
    <w:p w14:paraId="4BA8266E">
      <w:pPr>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15. 违约责任</w:t>
      </w:r>
    </w:p>
    <w:p w14:paraId="0CD72035">
      <w:pPr>
        <w:adjustRightInd w:val="0"/>
        <w:snapToGrid w:val="0"/>
        <w:spacing w:line="400" w:lineRule="exact"/>
        <w:ind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15.1质量瑕疵的违约责任</w:t>
      </w:r>
    </w:p>
    <w:p w14:paraId="33FB475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乙方提供的产品不符合合同约定的质量标准或存在产品质量缺陷，甲方有权要求乙方根据</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要求</w:t>
      </w:r>
      <w:r>
        <w:rPr>
          <w:rFonts w:hint="eastAsia" w:ascii="宋体" w:hAnsi="宋体" w:eastAsia="宋体" w:cs="宋体"/>
          <w:sz w:val="24"/>
          <w:szCs w:val="24"/>
          <w:highlight w:val="none"/>
        </w:rPr>
        <w:t>及时修理、重作、更换，并承担由此给甲方造成的损失。</w:t>
      </w:r>
    </w:p>
    <w:p w14:paraId="49ED2714">
      <w:pPr>
        <w:autoSpaceDE w:val="0"/>
        <w:autoSpaceDN w:val="0"/>
        <w:adjustRightInd w:val="0"/>
        <w:snapToGrid w:val="0"/>
        <w:spacing w:line="400" w:lineRule="exact"/>
        <w:ind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15.2 迟延交货的违约责任</w:t>
      </w:r>
    </w:p>
    <w:p w14:paraId="2A010CDF">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557A25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（2）如果乙方没有按照合同规定的时间交货和提供相关服务，甲方有权从货款中扣除误期赔偿费而不影响合同项下的其他补救方法，赔偿费按</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规定执行。如果涉及公共利益，且赔偿金额无法弥补公共利益损失，甲方可要求继续履行或者采取其他补救措施。</w:t>
      </w:r>
    </w:p>
    <w:p w14:paraId="0DFC1A49">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15.3 迟延支付的违约责任</w:t>
      </w:r>
    </w:p>
    <w:p w14:paraId="1B890FD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甲方存在迟延支付乙方合同款项的，应当承担</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规定的逾期付款利息。</w:t>
      </w:r>
    </w:p>
    <w:p w14:paraId="7431F3E9">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bCs/>
          <w:sz w:val="24"/>
          <w:szCs w:val="24"/>
          <w:highlight w:val="none"/>
        </w:rPr>
        <w:t>15.4其他违约责任根据项目实际需要按</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规定执行。</w:t>
      </w:r>
    </w:p>
    <w:p w14:paraId="3B672A0E">
      <w:pPr>
        <w:numPr>
          <w:ilvl w:val="0"/>
          <w:numId w:val="6"/>
        </w:numPr>
        <w:autoSpaceDE w:val="0"/>
        <w:autoSpaceDN w:val="0"/>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合同变更、中止与终止</w:t>
      </w:r>
    </w:p>
    <w:p w14:paraId="7FC53106">
      <w:pPr>
        <w:adjustRightInd w:val="0"/>
        <w:snapToGrid w:val="0"/>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16.1合同的变更</w:t>
      </w:r>
    </w:p>
    <w:p w14:paraId="4AF6C07E">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政府采购合同履行中，在不改变合同其他条款的前提下，甲方可以在合同价款10%的范围内追加与合同标的相同的货物，并就此与乙方协商一致后签订补充协议。</w:t>
      </w:r>
    </w:p>
    <w:p w14:paraId="774391CA">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16.2合同的中止</w:t>
      </w:r>
    </w:p>
    <w:p w14:paraId="763CE16C">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（1）合同履行过程中因供应商就采购文件、采购过程或结果提起投诉的，甲方认为有必要的，可以中止合同的履行。</w:t>
      </w:r>
    </w:p>
    <w:p w14:paraId="18A0F3EF">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71BAC980">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（3）乙方分立、合并或者变更住所的，应当及时以书面形式告知甲方。乙方没有及时告知甲方，致使合同履行发生困难的，甲方可以中止合同履行并要求乙方承担由此给甲方造成的损失。</w:t>
      </w:r>
    </w:p>
    <w:p w14:paraId="25D11DC0">
      <w:pPr>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（4）甲方不得以行政区划调整、政府换届、机构或者职能调整以及相关责任人更替为由中止合同。</w:t>
      </w:r>
    </w:p>
    <w:p w14:paraId="626F181A">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16.3合同的终止</w:t>
      </w:r>
    </w:p>
    <w:p w14:paraId="5AFC96F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（1）合同因有效期限届满而终止；</w:t>
      </w:r>
    </w:p>
    <w:p w14:paraId="2738E67D">
      <w:pPr>
        <w:snapToGrid w:val="0"/>
        <w:spacing w:line="4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（2）乙方未按合同约定履行，构成根本性违约的，甲方有权终止合同，并追究乙方的违约责任。</w:t>
      </w:r>
    </w:p>
    <w:p w14:paraId="4CEF11F1">
      <w:pPr>
        <w:pStyle w:val="63"/>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16.4 </w:t>
      </w:r>
      <w:r>
        <w:rPr>
          <w:rFonts w:hint="eastAsia" w:ascii="宋体" w:hAnsi="宋体" w:eastAsia="宋体" w:cs="宋体"/>
          <w:kern w:val="2"/>
          <w:sz w:val="24"/>
          <w:szCs w:val="24"/>
          <w:highlight w:val="none"/>
        </w:rPr>
        <w:t>涉及国家利益、社会公共利益的情形</w:t>
      </w:r>
    </w:p>
    <w:p w14:paraId="0A901DCD">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政府采购合同继续履行将损害国家利益和社会公共利益的，双方当事人应当变更、中止或者终止合同。有过错的一方应当承担赔偿责任，双方都有过错的，各自承担相应的责任。</w:t>
      </w:r>
    </w:p>
    <w:p w14:paraId="55D3ED61">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17. 合同分包</w:t>
      </w:r>
    </w:p>
    <w:p w14:paraId="3E468D03">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17.1 乙方不得将合同转包给其他供应商。涉及合同分包的，乙方应根据采购文件和投标（响应）文件规定进行合同分包。</w:t>
      </w:r>
    </w:p>
    <w:p w14:paraId="339C7FB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17.2 乙方执行政府采购政策向中小企业依法分包的，乙方应当按采购文件和投标（响应）文件签订分包意向协议，分包意向协议属于本合同组成部分。</w:t>
      </w:r>
    </w:p>
    <w:p w14:paraId="15DC37DF">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18. 不可抗力</w:t>
      </w:r>
    </w:p>
    <w:p w14:paraId="3C5815D1">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18.1 不可抗力是指合同双方不能预见、不能避免且不能克服的客观情况。</w:t>
      </w:r>
    </w:p>
    <w:p w14:paraId="1A49C86C">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18.2 任何一方对由于不可抗力造成的部分或全部不能履行合同不承担违约责任。但迟延履行后发生不可抗力的，不能免除责任。</w:t>
      </w:r>
    </w:p>
    <w:p w14:paraId="1B9A9461">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43B091C">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19. 解决争议的方法</w:t>
      </w:r>
    </w:p>
    <w:p w14:paraId="37D92FAB">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22068B50">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19.2 选择仲裁的，应在</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中明确仲裁机构及仲裁地；通过诉讼方式解决的，可以在</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中进一步约定选择与争议有实际联系的地点的人民法院管辖，但管辖法院的约定不得违反级别管辖和专属管辖的规定。</w:t>
      </w:r>
    </w:p>
    <w:p w14:paraId="701B4DE2">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19.3 如甲乙双方有争议的事项不影响合同其他部分的履行，在争议解决期间，合同其他部分应当继续履行。</w:t>
      </w:r>
    </w:p>
    <w:p w14:paraId="6287BE6D">
      <w:pPr>
        <w:autoSpaceDE w:val="0"/>
        <w:autoSpaceDN w:val="0"/>
        <w:adjustRightInd w:val="0"/>
        <w:snapToGrid w:val="0"/>
        <w:spacing w:line="400" w:lineRule="exact"/>
        <w:jc w:val="left"/>
        <w:rPr>
          <w:rFonts w:hint="eastAsia" w:ascii="宋体" w:hAnsi="宋体" w:eastAsia="宋体" w:cs="宋体"/>
          <w:sz w:val="24"/>
          <w:szCs w:val="24"/>
          <w:highlight w:val="none"/>
        </w:rPr>
      </w:pPr>
      <w:r>
        <w:rPr>
          <w:rFonts w:hint="eastAsia" w:ascii="宋体" w:hAnsi="宋体" w:eastAsia="宋体" w:cs="宋体"/>
          <w:b/>
          <w:sz w:val="24"/>
          <w:szCs w:val="24"/>
          <w:highlight w:val="none"/>
        </w:rPr>
        <w:t>20. 政府采购政策</w:t>
      </w:r>
    </w:p>
    <w:p w14:paraId="0CA1480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20.1 </w:t>
      </w:r>
      <w:r>
        <w:rPr>
          <w:rFonts w:hint="eastAsia" w:ascii="宋体" w:hAnsi="宋体" w:eastAsia="宋体" w:cs="宋体"/>
          <w:sz w:val="24"/>
          <w:szCs w:val="24"/>
          <w:highlight w:val="none"/>
          <w:lang w:val="en-GB"/>
        </w:rPr>
        <w:t>本合同应当按照规定执行政府采购政策。</w:t>
      </w:r>
    </w:p>
    <w:p w14:paraId="2254BB4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20.2 本合同依法执行政府采购政策的方式和内容，属于合同履约验收的范围。甲乙双方</w:t>
      </w:r>
      <w:r>
        <w:rPr>
          <w:rFonts w:hint="eastAsia" w:ascii="宋体" w:hAnsi="宋体" w:eastAsia="宋体" w:cs="宋体"/>
          <w:sz w:val="24"/>
          <w:szCs w:val="24"/>
          <w:highlight w:val="none"/>
          <w:lang w:val="en-GB"/>
        </w:rPr>
        <w:t>未按规定要求执行政府采购政策造成损失的</w:t>
      </w:r>
      <w:r>
        <w:rPr>
          <w:rFonts w:hint="eastAsia" w:ascii="宋体" w:hAnsi="宋体" w:eastAsia="宋体" w:cs="宋体"/>
          <w:sz w:val="24"/>
          <w:szCs w:val="24"/>
          <w:highlight w:val="none"/>
        </w:rPr>
        <w:t>，有过错的一方应当承担赔偿责任，双方都有过错的，各自承担相应的责任。</w:t>
      </w:r>
    </w:p>
    <w:p w14:paraId="27A1C6B3">
      <w:pPr>
        <w:pStyle w:val="9"/>
        <w:spacing w:line="4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4507914">
      <w:pPr>
        <w:autoSpaceDE w:val="0"/>
        <w:autoSpaceDN w:val="0"/>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21. 法律适用</w:t>
      </w:r>
    </w:p>
    <w:p w14:paraId="1E41A2A6">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21.1 本合同的订立、生效、解释、履行及与本合同有关的争议解决，均适用法律、行政法规。</w:t>
      </w:r>
    </w:p>
    <w:p w14:paraId="57097E7D">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21.2 本合同条款与法律、行政法规的强制性规定不一致的，双方当事人应按照法律、行政法规的强制性规定修改本合同的相关条款。</w:t>
      </w:r>
    </w:p>
    <w:p w14:paraId="2246667E">
      <w:pPr>
        <w:numPr>
          <w:ilvl w:val="255"/>
          <w:numId w:val="0"/>
        </w:numPr>
        <w:autoSpaceDE w:val="0"/>
        <w:autoSpaceDN w:val="0"/>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22. 通知</w:t>
      </w:r>
    </w:p>
    <w:p w14:paraId="01D6A487">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22.1 本合同任何一方向对方发出的通知、信件、数据电文等，应当发送至本合同第一部分《政府采购合同协议书》所约定的通讯地址、联系人、联系电话或电子邮箱。</w:t>
      </w:r>
    </w:p>
    <w:p w14:paraId="22727DBA">
      <w:pPr>
        <w:pStyle w:val="63"/>
        <w:ind w:firstLine="0"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22.2 一方当事人变更名称、住所、联系人、联系电话或电子邮箱等信息的，应当在变更后3日内及时书面通知对方，对方实际收到变更通知前的送达仍为有效送达。</w:t>
      </w:r>
    </w:p>
    <w:p w14:paraId="1D4E0245">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22.3本合同一方给另一方的通知均应采用书面形式，传真或快递送到本合同中规定的对方的地址和办理签收手续。</w:t>
      </w:r>
    </w:p>
    <w:p w14:paraId="54B9D64D">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22.4通知以送达之日或通知书中规定的生效之日起生效，两者中以较迟之日为准。</w:t>
      </w:r>
    </w:p>
    <w:p w14:paraId="785F1B84">
      <w:pPr>
        <w:numPr>
          <w:ilvl w:val="0"/>
          <w:numId w:val="7"/>
        </w:numPr>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合同未尽事项</w:t>
      </w:r>
    </w:p>
    <w:p w14:paraId="73AF8518">
      <w:pPr>
        <w:adjustRightInd w:val="0"/>
        <w:snapToGrid w:val="0"/>
        <w:spacing w:line="400" w:lineRule="exact"/>
        <w:ind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23.1合同未尽事项见</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w:t>
      </w:r>
    </w:p>
    <w:p w14:paraId="2F91EA86">
      <w:pPr>
        <w:adjustRightInd w:val="0"/>
        <w:snapToGrid w:val="0"/>
        <w:spacing w:line="400" w:lineRule="exact"/>
        <w:jc w:val="left"/>
        <w:rPr>
          <w:rFonts w:hint="eastAsia" w:ascii="宋体" w:hAnsi="宋体" w:eastAsia="宋体" w:cs="宋体"/>
          <w:sz w:val="24"/>
          <w:szCs w:val="24"/>
          <w:highlight w:val="none"/>
        </w:rPr>
      </w:pPr>
      <w:r>
        <w:rPr>
          <w:rFonts w:hint="eastAsia" w:ascii="宋体" w:hAnsi="宋体" w:eastAsia="宋体" w:cs="宋体"/>
          <w:bCs/>
          <w:sz w:val="24"/>
          <w:szCs w:val="24"/>
          <w:highlight w:val="none"/>
        </w:rPr>
        <w:t xml:space="preserve">    23.2 合同附件与合同正文具有同等的法律效力。</w:t>
      </w:r>
    </w:p>
    <w:p w14:paraId="1D38C3B2">
      <w:pPr>
        <w:pStyle w:val="9"/>
        <w:rPr>
          <w:rFonts w:hint="eastAsia" w:ascii="宋体" w:hAnsi="宋体" w:cs="宋体"/>
          <w:b/>
          <w:bCs/>
          <w:sz w:val="24"/>
          <w:szCs w:val="24"/>
          <w:highlight w:val="none"/>
        </w:rPr>
      </w:pPr>
    </w:p>
    <w:p w14:paraId="5801F15C">
      <w:pPr>
        <w:pStyle w:val="9"/>
        <w:rPr>
          <w:rFonts w:hint="eastAsia" w:ascii="宋体" w:hAnsi="宋体" w:cs="宋体"/>
          <w:b/>
          <w:bCs/>
          <w:sz w:val="24"/>
          <w:szCs w:val="24"/>
          <w:highlight w:val="none"/>
        </w:rPr>
      </w:pPr>
    </w:p>
    <w:p w14:paraId="215D7BD8">
      <w:pPr>
        <w:pStyle w:val="7"/>
        <w:numPr>
          <w:ilvl w:val="0"/>
          <w:numId w:val="0"/>
        </w:numPr>
        <w:jc w:val="both"/>
        <w:rPr>
          <w:rFonts w:hint="eastAsia" w:asciiTheme="minorHAnsi" w:hAnsiTheme="minorHAnsi" w:eastAsiaTheme="minorEastAsia" w:cstheme="minorBidi"/>
          <w:b/>
          <w:bCs/>
          <w:kern w:val="2"/>
          <w:sz w:val="28"/>
          <w:szCs w:val="32"/>
          <w:highlight w:val="none"/>
          <w:lang w:val="en-US" w:eastAsia="zh-CN" w:bidi="ar-SA"/>
        </w:rPr>
        <w:sectPr>
          <w:footerReference r:id="rId11" w:type="first"/>
          <w:footerReference r:id="rId10" w:type="default"/>
          <w:pgSz w:w="11906" w:h="16838"/>
          <w:pgMar w:top="1440" w:right="1083" w:bottom="1440" w:left="1083" w:header="851" w:footer="850" w:gutter="0"/>
          <w:cols w:space="0" w:num="1"/>
          <w:titlePg/>
          <w:docGrid w:linePitch="312" w:charSpace="0"/>
        </w:sectPr>
      </w:pPr>
      <w:bookmarkStart w:id="227" w:name="_Toc29042"/>
      <w:bookmarkStart w:id="228" w:name="_Toc21666"/>
    </w:p>
    <w:p w14:paraId="3014F626">
      <w:pPr>
        <w:pStyle w:val="7"/>
        <w:numPr>
          <w:ilvl w:val="0"/>
          <w:numId w:val="0"/>
        </w:numPr>
        <w:ind w:left="420" w:leftChars="0" w:firstLine="0" w:firstLineChars="0"/>
        <w:jc w:val="center"/>
        <w:rPr>
          <w:rFonts w:hint="eastAsia"/>
          <w:highlight w:val="none"/>
        </w:rPr>
      </w:pPr>
      <w:bookmarkStart w:id="229" w:name="_Toc28413"/>
      <w:r>
        <w:rPr>
          <w:rFonts w:hint="eastAsia" w:asciiTheme="minorHAnsi" w:hAnsiTheme="minorHAnsi" w:eastAsiaTheme="minorEastAsia" w:cstheme="minorBidi"/>
          <w:b/>
          <w:bCs/>
          <w:kern w:val="2"/>
          <w:sz w:val="28"/>
          <w:szCs w:val="32"/>
          <w:highlight w:val="none"/>
          <w:lang w:val="en-US" w:eastAsia="zh-CN" w:bidi="ar-SA"/>
        </w:rPr>
        <w:t>第五章</w:t>
      </w:r>
      <w:r>
        <w:rPr>
          <w:rFonts w:hint="eastAsia" w:cstheme="minorBidi"/>
          <w:b/>
          <w:bCs/>
          <w:kern w:val="2"/>
          <w:sz w:val="28"/>
          <w:szCs w:val="32"/>
          <w:highlight w:val="none"/>
          <w:lang w:val="en-US" w:eastAsia="zh-CN" w:bidi="ar-SA"/>
        </w:rPr>
        <w:t xml:space="preserve">  </w:t>
      </w:r>
      <w:r>
        <w:rPr>
          <w:rFonts w:hint="eastAsia"/>
          <w:highlight w:val="none"/>
        </w:rPr>
        <w:t>技术参数</w:t>
      </w:r>
      <w:bookmarkEnd w:id="7"/>
      <w:bookmarkEnd w:id="8"/>
      <w:bookmarkEnd w:id="9"/>
      <w:bookmarkEnd w:id="10"/>
      <w:bookmarkEnd w:id="11"/>
      <w:bookmarkEnd w:id="12"/>
      <w:bookmarkEnd w:id="13"/>
      <w:bookmarkEnd w:id="227"/>
      <w:bookmarkEnd w:id="228"/>
      <w:bookmarkEnd w:id="229"/>
      <w:bookmarkStart w:id="230" w:name="_Toc15342_WPSOffice_Level1"/>
      <w:bookmarkStart w:id="231" w:name="_Toc25497"/>
      <w:bookmarkStart w:id="232" w:name="_Toc1755_WPSOffice_Level1"/>
      <w:bookmarkStart w:id="233" w:name="_Toc5137"/>
      <w:bookmarkStart w:id="234" w:name="_Toc708_WPSOffice_Level1"/>
      <w:bookmarkStart w:id="235" w:name="_Toc24845_WPSOffice_Level1"/>
      <w:bookmarkStart w:id="236" w:name="_Toc6078"/>
    </w:p>
    <w:tbl>
      <w:tblPr>
        <w:tblStyle w:val="24"/>
        <w:tblW w:w="95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7"/>
        <w:gridCol w:w="1230"/>
        <w:gridCol w:w="6471"/>
        <w:gridCol w:w="565"/>
        <w:gridCol w:w="555"/>
      </w:tblGrid>
      <w:tr w14:paraId="5C08A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FE32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E22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名称</w:t>
            </w:r>
          </w:p>
        </w:tc>
        <w:tc>
          <w:tcPr>
            <w:tcW w:w="6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F65A">
            <w:pPr>
              <w:keepNext w:val="0"/>
              <w:keepLines w:val="0"/>
              <w:widowControl/>
              <w:suppressLineNumbers w:val="0"/>
              <w:jc w:val="left"/>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技术参数</w:t>
            </w:r>
          </w:p>
        </w:tc>
        <w:tc>
          <w:tcPr>
            <w:tcW w:w="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5D1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75DC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r>
      <w:tr w14:paraId="2FBF8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26C0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C709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计算机</w:t>
            </w:r>
          </w:p>
        </w:tc>
        <w:tc>
          <w:tcPr>
            <w:tcW w:w="6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DF3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rPr>
              <w:t>▲处理器：通过中国信息安全测评中心《安全可靠测评结果</w:t>
            </w:r>
            <w:r>
              <w:rPr>
                <w:rFonts w:hint="eastAsia" w:ascii="宋体" w:hAnsi="宋体" w:eastAsia="宋体" w:cs="宋体"/>
                <w:sz w:val="24"/>
                <w:szCs w:val="24"/>
                <w:highlight w:val="none"/>
              </w:rPr>
              <w:t>公告》要求，国产X86架构，核心数≥8核，基础主频≥2.7GHz</w:t>
            </w:r>
          </w:p>
          <w:p w14:paraId="26B190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▲内存：≥</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GB DDR4，内存插槽≥2个</w:t>
            </w:r>
          </w:p>
          <w:p w14:paraId="296F46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硬盘：≥512GB M.2 SSD</w:t>
            </w:r>
            <w:r>
              <w:rPr>
                <w:rFonts w:hint="eastAsia" w:ascii="宋体" w:hAnsi="宋体" w:eastAsia="宋体" w:cs="宋体"/>
                <w:sz w:val="24"/>
                <w:szCs w:val="24"/>
                <w:highlight w:val="none"/>
                <w:lang w:val="en-US" w:eastAsia="zh-CN"/>
              </w:rPr>
              <w:t xml:space="preserve"> </w:t>
            </w:r>
          </w:p>
          <w:p w14:paraId="331658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显卡：集成显卡，板载VGA+HDMI双视频接口，同时需要支持独立显卡扩展</w:t>
            </w:r>
          </w:p>
          <w:p w14:paraId="69D68C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▲接口：前置USB3.0接口≥4个，音频接口≥2个；后置USB3.0接口≥2个，USB2.0接口≥2个，音频接口≥3个，标配RJ45网口</w:t>
            </w:r>
          </w:p>
          <w:p w14:paraId="04B95C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▲扩展槽：PCIe x16≥1个，PCIe x1≥2个，主板SATA接口≥2个</w:t>
            </w:r>
          </w:p>
          <w:p w14:paraId="1A604F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显示器：与主机同品牌，≥23.8英寸IPS液晶显示器，刷新率≥100Hz，VGA+HDMI双视频接口，标配VESA接口</w:t>
            </w:r>
          </w:p>
          <w:p w14:paraId="044005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机箱：≥13L，标配侧板挂环锁、Kinsington锁，标配键盘开机功能(提供功能截图)</w:t>
            </w:r>
          </w:p>
          <w:p w14:paraId="124A9E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▲电源：≤</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00W节能电源</w:t>
            </w:r>
          </w:p>
          <w:p w14:paraId="107260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操作系统： </w:t>
            </w:r>
          </w:p>
          <w:p w14:paraId="5C9790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服务：原厂商三年上门质保</w:t>
            </w:r>
          </w:p>
          <w:p w14:paraId="781535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安全性：BIOS级USB屏蔽及智能USB数据保护：USB支持BIOS下接口开关，针对存储设备支持USB接口切换禁止访问模式/只读模式，保护数据安全，提供功能截图</w:t>
            </w:r>
          </w:p>
          <w:p w14:paraId="0F57E6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olor w:val="000000"/>
                <w:sz w:val="24"/>
                <w:szCs w:val="24"/>
                <w:highlight w:val="none"/>
                <w:u w:val="none"/>
              </w:rPr>
            </w:pPr>
            <w:r>
              <w:rPr>
                <w:rFonts w:hint="eastAsia" w:ascii="宋体" w:hAnsi="宋体" w:eastAsia="宋体" w:cs="宋体"/>
                <w:sz w:val="24"/>
                <w:szCs w:val="24"/>
                <w:highlight w:val="none"/>
              </w:rPr>
              <w:t>▲认证：主机MTBF≥100万，通过3C、节能和环境认证，同时提供对应认证证书</w:t>
            </w:r>
          </w:p>
        </w:tc>
        <w:tc>
          <w:tcPr>
            <w:tcW w:w="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8740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C74F">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70</w:t>
            </w:r>
          </w:p>
        </w:tc>
      </w:tr>
    </w:tbl>
    <w:p w14:paraId="2A1D679F">
      <w:pPr>
        <w:rPr>
          <w:rFonts w:hint="eastAsia"/>
          <w:highlight w:val="none"/>
        </w:rPr>
      </w:pPr>
    </w:p>
    <w:p w14:paraId="391EE852">
      <w:pPr>
        <w:rPr>
          <w:highlight w:val="none"/>
        </w:rPr>
      </w:pPr>
    </w:p>
    <w:p w14:paraId="5060D7A4">
      <w:pPr>
        <w:rPr>
          <w:highlight w:val="none"/>
        </w:rPr>
      </w:pPr>
    </w:p>
    <w:p w14:paraId="62A3C70A">
      <w:pPr>
        <w:pStyle w:val="7"/>
        <w:jc w:val="center"/>
        <w:rPr>
          <w:rFonts w:hint="eastAsia"/>
          <w:highlight w:val="none"/>
        </w:rPr>
        <w:sectPr>
          <w:pgSz w:w="11906" w:h="16838"/>
          <w:pgMar w:top="1440" w:right="1083" w:bottom="1440" w:left="1083" w:header="851" w:footer="850" w:gutter="0"/>
          <w:cols w:space="0" w:num="1"/>
          <w:titlePg/>
          <w:rtlGutter w:val="0"/>
          <w:docGrid w:linePitch="312" w:charSpace="0"/>
        </w:sectPr>
      </w:pPr>
    </w:p>
    <w:p w14:paraId="47905ABF">
      <w:pPr>
        <w:pStyle w:val="7"/>
        <w:jc w:val="center"/>
        <w:rPr>
          <w:highlight w:val="none"/>
        </w:rPr>
      </w:pPr>
      <w:bookmarkStart w:id="237" w:name="_Toc9749"/>
      <w:r>
        <w:rPr>
          <w:rFonts w:hint="eastAsia"/>
          <w:highlight w:val="none"/>
        </w:rPr>
        <w:t>第六章  响应性文件格式</w:t>
      </w:r>
      <w:bookmarkEnd w:id="230"/>
      <w:bookmarkEnd w:id="231"/>
      <w:bookmarkEnd w:id="232"/>
      <w:bookmarkEnd w:id="233"/>
      <w:bookmarkEnd w:id="234"/>
      <w:bookmarkEnd w:id="235"/>
      <w:bookmarkEnd w:id="236"/>
      <w:bookmarkEnd w:id="237"/>
    </w:p>
    <w:p w14:paraId="07F63A84">
      <w:pPr>
        <w:widowControl/>
        <w:ind w:firstLine="360"/>
        <w:jc w:val="center"/>
        <w:rPr>
          <w:rFonts w:hint="eastAsia" w:ascii="宋体" w:hAnsi="宋体" w:eastAsia="宋体" w:cs="宋体"/>
          <w:b/>
          <w:kern w:val="0"/>
          <w:sz w:val="24"/>
          <w:highlight w:val="none"/>
        </w:rPr>
      </w:pPr>
      <w:bookmarkStart w:id="238" w:name="_Toc27687"/>
      <w:bookmarkEnd w:id="238"/>
      <w:bookmarkStart w:id="239" w:name="_Toc394651921"/>
      <w:bookmarkEnd w:id="239"/>
      <w:bookmarkStart w:id="240" w:name="_Toc528078066"/>
      <w:bookmarkEnd w:id="240"/>
      <w:bookmarkStart w:id="241" w:name="_Toc19996"/>
    </w:p>
    <w:p w14:paraId="0C2F875D">
      <w:pPr>
        <w:widowControl/>
        <w:ind w:firstLine="360"/>
        <w:jc w:val="center"/>
        <w:rPr>
          <w:rFonts w:hint="eastAsia" w:ascii="宋体" w:hAnsi="宋体" w:eastAsia="宋体" w:cs="宋体"/>
          <w:b/>
          <w:kern w:val="0"/>
          <w:sz w:val="24"/>
          <w:highlight w:val="none"/>
        </w:rPr>
      </w:pPr>
    </w:p>
    <w:p w14:paraId="1668B11C">
      <w:pPr>
        <w:widowControl/>
        <w:ind w:firstLine="360"/>
        <w:jc w:val="center"/>
        <w:rPr>
          <w:rFonts w:hint="eastAsia" w:ascii="宋体" w:hAnsi="宋体" w:eastAsia="宋体" w:cs="宋体"/>
          <w:b/>
          <w:kern w:val="0"/>
          <w:sz w:val="24"/>
          <w:highlight w:val="none"/>
        </w:rPr>
      </w:pPr>
    </w:p>
    <w:p w14:paraId="495F4D19">
      <w:pPr>
        <w:widowControl/>
        <w:ind w:firstLine="360"/>
        <w:jc w:val="center"/>
        <w:rPr>
          <w:rFonts w:hint="eastAsia" w:ascii="宋体" w:hAnsi="宋体" w:eastAsia="宋体" w:cs="宋体"/>
          <w:b/>
          <w:kern w:val="0"/>
          <w:sz w:val="24"/>
          <w:highlight w:val="none"/>
          <w:u w:val="single"/>
        </w:rPr>
      </w:pPr>
    </w:p>
    <w:p w14:paraId="681D8E53">
      <w:pPr>
        <w:widowControl/>
        <w:ind w:firstLine="360"/>
        <w:jc w:val="center"/>
        <w:rPr>
          <w:rFonts w:hint="eastAsia" w:ascii="宋体" w:hAnsi="宋体" w:eastAsia="宋体" w:cs="宋体"/>
          <w:b/>
          <w:kern w:val="0"/>
          <w:sz w:val="24"/>
          <w:highlight w:val="none"/>
        </w:rPr>
      </w:pPr>
      <w:r>
        <w:rPr>
          <w:rFonts w:hint="eastAsia" w:ascii="宋体" w:hAnsi="宋体" w:eastAsia="宋体" w:cs="宋体"/>
          <w:b/>
          <w:kern w:val="0"/>
          <w:sz w:val="24"/>
          <w:highlight w:val="none"/>
          <w:u w:val="single"/>
        </w:rPr>
        <w:t xml:space="preserve">                     </w:t>
      </w:r>
      <w:r>
        <w:rPr>
          <w:rFonts w:hint="eastAsia" w:ascii="宋体" w:hAnsi="宋体" w:eastAsia="宋体" w:cs="宋体"/>
          <w:b/>
          <w:kern w:val="0"/>
          <w:sz w:val="24"/>
          <w:highlight w:val="none"/>
        </w:rPr>
        <w:t>（项目名称）</w:t>
      </w:r>
    </w:p>
    <w:p w14:paraId="50E9E29D">
      <w:pPr>
        <w:widowControl/>
        <w:ind w:firstLine="360"/>
        <w:jc w:val="center"/>
        <w:rPr>
          <w:rFonts w:hint="eastAsia" w:ascii="宋体" w:hAnsi="宋体" w:eastAsia="宋体" w:cs="宋体"/>
          <w:b/>
          <w:kern w:val="0"/>
          <w:sz w:val="24"/>
          <w:highlight w:val="none"/>
        </w:rPr>
      </w:pPr>
    </w:p>
    <w:p w14:paraId="37A7806B">
      <w:pPr>
        <w:widowControl/>
        <w:ind w:firstLine="3132" w:firstLineChars="1300"/>
        <w:jc w:val="left"/>
        <w:rPr>
          <w:rFonts w:hint="eastAsia" w:ascii="宋体" w:hAnsi="宋体" w:eastAsia="宋体" w:cs="宋体"/>
          <w:b/>
          <w:kern w:val="0"/>
          <w:sz w:val="24"/>
          <w:highlight w:val="none"/>
        </w:rPr>
      </w:pPr>
      <w:r>
        <w:rPr>
          <w:rFonts w:hint="eastAsia" w:ascii="宋体" w:hAnsi="宋体" w:eastAsia="宋体" w:cs="宋体"/>
          <w:b/>
          <w:kern w:val="0"/>
          <w:sz w:val="24"/>
          <w:highlight w:val="none"/>
        </w:rPr>
        <w:t>项目编号：</w:t>
      </w:r>
    </w:p>
    <w:p w14:paraId="2FF66B7A">
      <w:pPr>
        <w:widowControl/>
        <w:ind w:firstLine="360"/>
        <w:jc w:val="center"/>
        <w:rPr>
          <w:rFonts w:hint="eastAsia" w:ascii="宋体" w:hAnsi="宋体" w:eastAsia="宋体" w:cs="宋体"/>
          <w:b/>
          <w:kern w:val="0"/>
          <w:sz w:val="24"/>
          <w:highlight w:val="none"/>
        </w:rPr>
      </w:pPr>
    </w:p>
    <w:p w14:paraId="1B8602A9">
      <w:pPr>
        <w:widowControl/>
        <w:ind w:firstLine="360"/>
        <w:jc w:val="center"/>
        <w:rPr>
          <w:rFonts w:hint="eastAsia" w:ascii="宋体" w:hAnsi="宋体" w:eastAsia="宋体" w:cs="宋体"/>
          <w:b/>
          <w:kern w:val="0"/>
          <w:sz w:val="24"/>
          <w:highlight w:val="none"/>
        </w:rPr>
      </w:pPr>
    </w:p>
    <w:p w14:paraId="7F20D0FA">
      <w:pPr>
        <w:widowControl/>
        <w:ind w:firstLine="360"/>
        <w:jc w:val="center"/>
        <w:rPr>
          <w:rFonts w:hint="eastAsia" w:ascii="宋体" w:hAnsi="宋体" w:eastAsia="宋体" w:cs="宋体"/>
          <w:b/>
          <w:kern w:val="0"/>
          <w:sz w:val="24"/>
          <w:highlight w:val="none"/>
        </w:rPr>
      </w:pPr>
    </w:p>
    <w:p w14:paraId="28FE00E1">
      <w:pPr>
        <w:widowControl/>
        <w:ind w:firstLine="360"/>
        <w:jc w:val="center"/>
        <w:rPr>
          <w:rFonts w:hint="eastAsia" w:ascii="宋体" w:hAnsi="宋体" w:eastAsia="宋体" w:cs="宋体"/>
          <w:b/>
          <w:kern w:val="0"/>
          <w:sz w:val="24"/>
          <w:highlight w:val="none"/>
        </w:rPr>
      </w:pPr>
    </w:p>
    <w:p w14:paraId="33748D88">
      <w:pPr>
        <w:widowControl/>
        <w:ind w:firstLine="360"/>
        <w:jc w:val="center"/>
        <w:rPr>
          <w:rFonts w:hint="eastAsia" w:ascii="宋体" w:hAnsi="宋体" w:eastAsia="宋体" w:cs="宋体"/>
          <w:b/>
          <w:kern w:val="0"/>
          <w:sz w:val="24"/>
          <w:highlight w:val="none"/>
        </w:rPr>
      </w:pPr>
    </w:p>
    <w:p w14:paraId="1966736C">
      <w:pPr>
        <w:widowControl/>
        <w:ind w:firstLine="360"/>
        <w:jc w:val="center"/>
        <w:rPr>
          <w:rFonts w:hint="eastAsia" w:ascii="宋体" w:hAnsi="宋体" w:eastAsia="宋体" w:cs="宋体"/>
          <w:b/>
          <w:kern w:val="0"/>
          <w:sz w:val="28"/>
          <w:szCs w:val="24"/>
          <w:highlight w:val="none"/>
        </w:rPr>
      </w:pPr>
    </w:p>
    <w:p w14:paraId="0A66C7FC">
      <w:pPr>
        <w:widowControl/>
        <w:ind w:firstLine="360"/>
        <w:jc w:val="center"/>
        <w:rPr>
          <w:rFonts w:hint="eastAsia" w:ascii="宋体" w:hAnsi="宋体" w:eastAsia="宋体" w:cs="宋体"/>
          <w:b/>
          <w:kern w:val="0"/>
          <w:sz w:val="32"/>
          <w:szCs w:val="28"/>
          <w:highlight w:val="none"/>
        </w:rPr>
      </w:pPr>
      <w:r>
        <w:rPr>
          <w:rFonts w:hint="eastAsia" w:ascii="宋体" w:hAnsi="宋体" w:eastAsia="宋体" w:cs="宋体"/>
          <w:b/>
          <w:kern w:val="0"/>
          <w:sz w:val="32"/>
          <w:szCs w:val="28"/>
          <w:highlight w:val="none"/>
        </w:rPr>
        <w:t>响</w:t>
      </w:r>
    </w:p>
    <w:p w14:paraId="2412C88B">
      <w:pPr>
        <w:widowControl/>
        <w:ind w:firstLine="360"/>
        <w:jc w:val="center"/>
        <w:rPr>
          <w:rFonts w:hint="eastAsia" w:ascii="宋体" w:hAnsi="宋体" w:eastAsia="宋体" w:cs="宋体"/>
          <w:b/>
          <w:kern w:val="0"/>
          <w:sz w:val="32"/>
          <w:szCs w:val="28"/>
          <w:highlight w:val="none"/>
        </w:rPr>
      </w:pPr>
    </w:p>
    <w:p w14:paraId="7FA44699">
      <w:pPr>
        <w:widowControl/>
        <w:ind w:firstLine="360"/>
        <w:jc w:val="center"/>
        <w:rPr>
          <w:rFonts w:hint="eastAsia" w:ascii="宋体" w:hAnsi="宋体" w:eastAsia="宋体" w:cs="宋体"/>
          <w:b/>
          <w:kern w:val="0"/>
          <w:sz w:val="32"/>
          <w:szCs w:val="28"/>
          <w:highlight w:val="none"/>
        </w:rPr>
      </w:pPr>
      <w:r>
        <w:rPr>
          <w:rFonts w:hint="eastAsia" w:ascii="宋体" w:hAnsi="宋体" w:eastAsia="宋体" w:cs="宋体"/>
          <w:b/>
          <w:kern w:val="0"/>
          <w:sz w:val="32"/>
          <w:szCs w:val="28"/>
          <w:highlight w:val="none"/>
        </w:rPr>
        <w:t>应</w:t>
      </w:r>
    </w:p>
    <w:p w14:paraId="5C354E12">
      <w:pPr>
        <w:widowControl/>
        <w:ind w:firstLine="360"/>
        <w:jc w:val="center"/>
        <w:rPr>
          <w:rFonts w:hint="eastAsia" w:ascii="宋体" w:hAnsi="宋体" w:eastAsia="宋体" w:cs="宋体"/>
          <w:b/>
          <w:kern w:val="0"/>
          <w:sz w:val="32"/>
          <w:szCs w:val="28"/>
          <w:highlight w:val="none"/>
        </w:rPr>
      </w:pPr>
    </w:p>
    <w:p w14:paraId="0400F75D">
      <w:pPr>
        <w:widowControl/>
        <w:ind w:firstLine="360"/>
        <w:jc w:val="center"/>
        <w:rPr>
          <w:rFonts w:hint="eastAsia" w:ascii="宋体" w:hAnsi="宋体" w:eastAsia="宋体" w:cs="宋体"/>
          <w:b/>
          <w:kern w:val="0"/>
          <w:sz w:val="32"/>
          <w:szCs w:val="28"/>
          <w:highlight w:val="none"/>
        </w:rPr>
      </w:pPr>
      <w:r>
        <w:rPr>
          <w:rFonts w:hint="eastAsia" w:ascii="宋体" w:hAnsi="宋体" w:eastAsia="宋体" w:cs="宋体"/>
          <w:b/>
          <w:kern w:val="0"/>
          <w:sz w:val="32"/>
          <w:szCs w:val="28"/>
          <w:highlight w:val="none"/>
        </w:rPr>
        <w:t xml:space="preserve">性 </w:t>
      </w:r>
    </w:p>
    <w:p w14:paraId="341E50B3">
      <w:pPr>
        <w:widowControl/>
        <w:ind w:firstLine="360"/>
        <w:jc w:val="center"/>
        <w:rPr>
          <w:rFonts w:hint="eastAsia" w:ascii="宋体" w:hAnsi="宋体" w:eastAsia="宋体" w:cs="宋体"/>
          <w:b/>
          <w:kern w:val="0"/>
          <w:sz w:val="32"/>
          <w:szCs w:val="28"/>
          <w:highlight w:val="none"/>
        </w:rPr>
      </w:pPr>
      <w:r>
        <w:rPr>
          <w:rFonts w:ascii="宋体" w:hAnsi="宋体" w:eastAsia="宋体" w:cs="宋体"/>
          <w:b/>
          <w:kern w:val="0"/>
          <w:sz w:val="32"/>
          <w:szCs w:val="28"/>
          <w:highlight w:val="none"/>
        </w:rPr>
        <w:t xml:space="preserve"> </w:t>
      </w:r>
    </w:p>
    <w:p w14:paraId="0A0AB96C">
      <w:pPr>
        <w:widowControl/>
        <w:ind w:firstLine="360"/>
        <w:jc w:val="center"/>
        <w:rPr>
          <w:rFonts w:hint="eastAsia" w:ascii="宋体" w:hAnsi="宋体" w:eastAsia="宋体" w:cs="宋体"/>
          <w:b/>
          <w:kern w:val="0"/>
          <w:sz w:val="32"/>
          <w:szCs w:val="28"/>
          <w:highlight w:val="none"/>
        </w:rPr>
      </w:pPr>
      <w:r>
        <w:rPr>
          <w:rFonts w:hint="eastAsia" w:ascii="宋体" w:hAnsi="宋体" w:eastAsia="宋体" w:cs="宋体"/>
          <w:b/>
          <w:kern w:val="0"/>
          <w:sz w:val="32"/>
          <w:szCs w:val="28"/>
          <w:highlight w:val="none"/>
        </w:rPr>
        <w:t xml:space="preserve">文 </w:t>
      </w:r>
    </w:p>
    <w:p w14:paraId="58782845">
      <w:pPr>
        <w:widowControl/>
        <w:ind w:firstLine="360"/>
        <w:jc w:val="center"/>
        <w:rPr>
          <w:rFonts w:hint="eastAsia" w:ascii="宋体" w:hAnsi="宋体" w:eastAsia="宋体" w:cs="宋体"/>
          <w:b/>
          <w:kern w:val="0"/>
          <w:sz w:val="32"/>
          <w:szCs w:val="28"/>
          <w:highlight w:val="none"/>
        </w:rPr>
      </w:pPr>
      <w:r>
        <w:rPr>
          <w:rFonts w:ascii="宋体" w:hAnsi="宋体" w:eastAsia="宋体" w:cs="宋体"/>
          <w:b/>
          <w:kern w:val="0"/>
          <w:sz w:val="32"/>
          <w:szCs w:val="28"/>
          <w:highlight w:val="none"/>
        </w:rPr>
        <w:t xml:space="preserve"> </w:t>
      </w:r>
    </w:p>
    <w:p w14:paraId="14ADB636">
      <w:pPr>
        <w:widowControl/>
        <w:ind w:firstLine="360"/>
        <w:jc w:val="center"/>
        <w:rPr>
          <w:rFonts w:hint="eastAsia" w:ascii="宋体" w:hAnsi="宋体" w:eastAsia="宋体" w:cs="宋体"/>
          <w:b/>
          <w:kern w:val="0"/>
          <w:sz w:val="32"/>
          <w:szCs w:val="28"/>
          <w:highlight w:val="none"/>
        </w:rPr>
      </w:pPr>
      <w:r>
        <w:rPr>
          <w:rFonts w:hint="eastAsia" w:ascii="宋体" w:hAnsi="宋体" w:eastAsia="宋体" w:cs="宋体"/>
          <w:b/>
          <w:kern w:val="0"/>
          <w:sz w:val="32"/>
          <w:szCs w:val="28"/>
          <w:highlight w:val="none"/>
        </w:rPr>
        <w:t>件</w:t>
      </w:r>
    </w:p>
    <w:p w14:paraId="6733F29B">
      <w:pPr>
        <w:widowControl/>
        <w:ind w:firstLine="360"/>
        <w:jc w:val="center"/>
        <w:rPr>
          <w:rFonts w:hint="eastAsia" w:ascii="宋体" w:hAnsi="宋体" w:eastAsia="宋体" w:cs="宋体"/>
          <w:b/>
          <w:kern w:val="0"/>
          <w:sz w:val="24"/>
          <w:highlight w:val="none"/>
        </w:rPr>
      </w:pPr>
    </w:p>
    <w:p w14:paraId="4EEF1EF7">
      <w:pPr>
        <w:widowControl/>
        <w:spacing w:line="360" w:lineRule="auto"/>
        <w:ind w:firstLine="840" w:firstLineChars="350"/>
        <w:jc w:val="left"/>
        <w:rPr>
          <w:rFonts w:ascii="Calibri" w:hAnsi="Calibri" w:eastAsia="宋体" w:cs="Times New Roman"/>
          <w:kern w:val="0"/>
          <w:sz w:val="24"/>
          <w:highlight w:val="none"/>
        </w:rPr>
      </w:pPr>
    </w:p>
    <w:p w14:paraId="4683D0D5">
      <w:pPr>
        <w:widowControl/>
        <w:spacing w:line="360" w:lineRule="auto"/>
        <w:ind w:firstLine="840" w:firstLineChars="350"/>
        <w:jc w:val="left"/>
        <w:rPr>
          <w:rFonts w:ascii="Calibri" w:hAnsi="Calibri" w:eastAsia="宋体" w:cs="Times New Roman"/>
          <w:kern w:val="0"/>
          <w:sz w:val="24"/>
          <w:highlight w:val="none"/>
        </w:rPr>
      </w:pPr>
    </w:p>
    <w:p w14:paraId="49EF52D2">
      <w:pPr>
        <w:widowControl/>
        <w:spacing w:line="360" w:lineRule="auto"/>
        <w:ind w:firstLine="840" w:firstLineChars="350"/>
        <w:jc w:val="left"/>
        <w:rPr>
          <w:rFonts w:ascii="Calibri" w:hAnsi="Calibri" w:eastAsia="宋体" w:cs="Times New Roman"/>
          <w:kern w:val="0"/>
          <w:sz w:val="24"/>
          <w:highlight w:val="none"/>
        </w:rPr>
      </w:pPr>
    </w:p>
    <w:p w14:paraId="7D491B27">
      <w:pPr>
        <w:widowControl/>
        <w:spacing w:line="360" w:lineRule="auto"/>
        <w:ind w:firstLine="840" w:firstLineChars="350"/>
        <w:jc w:val="left"/>
        <w:rPr>
          <w:rFonts w:ascii="Calibri" w:hAnsi="Calibri" w:eastAsia="宋体" w:cs="Times New Roman"/>
          <w:kern w:val="0"/>
          <w:sz w:val="24"/>
          <w:highlight w:val="none"/>
        </w:rPr>
      </w:pPr>
    </w:p>
    <w:p w14:paraId="78A39157">
      <w:pPr>
        <w:widowControl/>
        <w:spacing w:line="360" w:lineRule="auto"/>
        <w:ind w:firstLine="840" w:firstLineChars="350"/>
        <w:jc w:val="left"/>
        <w:rPr>
          <w:rFonts w:ascii="Calibri" w:hAnsi="Calibri" w:eastAsia="宋体" w:cs="Times New Roman"/>
          <w:kern w:val="0"/>
          <w:sz w:val="24"/>
          <w:highlight w:val="none"/>
        </w:rPr>
      </w:pPr>
    </w:p>
    <w:p w14:paraId="360B9F48">
      <w:pPr>
        <w:widowControl/>
        <w:spacing w:line="360" w:lineRule="auto"/>
        <w:ind w:firstLine="1446" w:firstLineChars="600"/>
        <w:jc w:val="left"/>
        <w:rPr>
          <w:rFonts w:ascii="Calibri" w:hAnsi="Calibri" w:eastAsia="宋体" w:cs="Times New Roman"/>
          <w:b/>
          <w:kern w:val="0"/>
          <w:sz w:val="24"/>
          <w:highlight w:val="none"/>
        </w:rPr>
      </w:pPr>
      <w:r>
        <w:rPr>
          <w:rFonts w:hint="eastAsia" w:ascii="Calibri" w:hAnsi="Calibri" w:eastAsia="宋体" w:cs="Times New Roman"/>
          <w:b/>
          <w:kern w:val="0"/>
          <w:sz w:val="24"/>
          <w:highlight w:val="none"/>
        </w:rPr>
        <w:t>供应商：</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（盖单位章）</w:t>
      </w:r>
    </w:p>
    <w:p w14:paraId="76EA5D8D">
      <w:pPr>
        <w:widowControl/>
        <w:spacing w:line="360" w:lineRule="auto"/>
        <w:ind w:firstLine="1446" w:firstLineChars="600"/>
        <w:jc w:val="left"/>
        <w:rPr>
          <w:rFonts w:ascii="Calibri" w:hAnsi="Calibri" w:eastAsia="宋体" w:cs="Times New Roman"/>
          <w:b/>
          <w:kern w:val="0"/>
          <w:sz w:val="24"/>
          <w:highlight w:val="none"/>
        </w:rPr>
      </w:pPr>
      <w:r>
        <w:rPr>
          <w:rFonts w:hint="eastAsia" w:ascii="Calibri" w:hAnsi="Calibri" w:eastAsia="宋体" w:cs="Times New Roman"/>
          <w:b/>
          <w:kern w:val="0"/>
          <w:sz w:val="24"/>
          <w:highlight w:val="none"/>
        </w:rPr>
        <w:t>法定代表人：</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（电子签章）</w:t>
      </w:r>
    </w:p>
    <w:p w14:paraId="1813E69B">
      <w:pPr>
        <w:widowControl/>
        <w:spacing w:line="360" w:lineRule="auto"/>
        <w:ind w:firstLine="843" w:firstLineChars="350"/>
        <w:jc w:val="left"/>
        <w:rPr>
          <w:rFonts w:ascii="Calibri" w:hAnsi="Calibri" w:eastAsia="宋体" w:cs="Times New Roman"/>
          <w:b/>
          <w:kern w:val="0"/>
          <w:sz w:val="24"/>
          <w:highlight w:val="none"/>
        </w:rPr>
      </w:pPr>
      <w:r>
        <w:rPr>
          <w:rFonts w:hint="eastAsia" w:ascii="Calibri" w:hAnsi="Calibri" w:eastAsia="宋体" w:cs="Times New Roman"/>
          <w:b/>
          <w:kern w:val="0"/>
          <w:sz w:val="24"/>
          <w:highlight w:val="none"/>
        </w:rPr>
        <w:t xml:space="preserve">        </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 xml:space="preserve"> 年</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 xml:space="preserve">月 </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日</w:t>
      </w:r>
    </w:p>
    <w:p w14:paraId="4E828FDD">
      <w:pPr>
        <w:widowControl/>
        <w:jc w:val="left"/>
        <w:rPr>
          <w:rFonts w:hint="eastAsia" w:asciiTheme="minorEastAsia" w:hAnsiTheme="minorEastAsia" w:cstheme="minorEastAsia"/>
          <w:b/>
          <w:sz w:val="28"/>
          <w:szCs w:val="28"/>
          <w:highlight w:val="none"/>
        </w:rPr>
      </w:pPr>
      <w:r>
        <w:rPr>
          <w:rFonts w:asciiTheme="minorEastAsia" w:hAnsiTheme="minorEastAsia" w:cstheme="minorEastAsia"/>
          <w:b/>
          <w:sz w:val="28"/>
          <w:szCs w:val="28"/>
          <w:highlight w:val="none"/>
        </w:rPr>
        <w:br w:type="page"/>
      </w:r>
    </w:p>
    <w:p w14:paraId="01D5FD09">
      <w:pPr>
        <w:spacing w:line="560" w:lineRule="exact"/>
        <w:jc w:val="center"/>
        <w:rPr>
          <w:rFonts w:hint="eastAsia" w:asciiTheme="minorEastAsia" w:hAnsiTheme="minorEastAsia" w:cstheme="minorEastAsia"/>
          <w:b/>
          <w:sz w:val="28"/>
          <w:szCs w:val="28"/>
          <w:highlight w:val="none"/>
        </w:rPr>
      </w:pPr>
      <w:r>
        <w:rPr>
          <w:rFonts w:hint="eastAsia" w:asciiTheme="minorEastAsia" w:hAnsiTheme="minorEastAsia" w:cstheme="minorEastAsia"/>
          <w:b/>
          <w:sz w:val="28"/>
          <w:szCs w:val="28"/>
          <w:highlight w:val="none"/>
        </w:rPr>
        <w:t>目  录</w:t>
      </w:r>
    </w:p>
    <w:p w14:paraId="0958FD64">
      <w:pPr>
        <w:spacing w:line="560" w:lineRule="exact"/>
        <w:jc w:val="center"/>
        <w:rPr>
          <w:rFonts w:hint="eastAsia" w:asciiTheme="minorEastAsia" w:hAnsiTheme="minorEastAsia" w:cstheme="minorEastAsia"/>
          <w:sz w:val="28"/>
          <w:szCs w:val="28"/>
          <w:highlight w:val="none"/>
        </w:rPr>
      </w:pPr>
      <w:r>
        <w:rPr>
          <w:rFonts w:hint="eastAsia" w:asciiTheme="minorEastAsia" w:hAnsiTheme="minorEastAsia" w:cstheme="minorEastAsia"/>
          <w:sz w:val="28"/>
          <w:szCs w:val="28"/>
          <w:highlight w:val="none"/>
        </w:rPr>
        <w:t>（自拟）</w:t>
      </w:r>
    </w:p>
    <w:p w14:paraId="35FDA4DF">
      <w:pPr>
        <w:spacing w:line="560" w:lineRule="exact"/>
        <w:rPr>
          <w:rFonts w:hint="eastAsia" w:asciiTheme="minorEastAsia" w:hAnsiTheme="minorEastAsia" w:cstheme="minorEastAsia"/>
          <w:b/>
          <w:sz w:val="28"/>
          <w:szCs w:val="28"/>
          <w:highlight w:val="none"/>
        </w:rPr>
      </w:pPr>
    </w:p>
    <w:p w14:paraId="5EAACAAE">
      <w:pPr>
        <w:widowControl/>
        <w:spacing w:line="560" w:lineRule="exact"/>
        <w:jc w:val="left"/>
        <w:rPr>
          <w:rFonts w:hint="eastAsia" w:asciiTheme="minorEastAsia" w:hAnsiTheme="minorEastAsia" w:cstheme="minorEastAsia"/>
          <w:b/>
          <w:sz w:val="28"/>
          <w:szCs w:val="28"/>
          <w:highlight w:val="none"/>
        </w:rPr>
      </w:pPr>
      <w:r>
        <w:rPr>
          <w:rFonts w:hint="eastAsia" w:asciiTheme="minorEastAsia" w:hAnsiTheme="minorEastAsia" w:cstheme="minorEastAsia"/>
          <w:bCs/>
          <w:sz w:val="28"/>
          <w:szCs w:val="28"/>
          <w:highlight w:val="none"/>
        </w:rPr>
        <w:br w:type="page"/>
      </w:r>
    </w:p>
    <w:bookmarkEnd w:id="241"/>
    <w:p w14:paraId="592E514C">
      <w:pPr>
        <w:pStyle w:val="7"/>
        <w:jc w:val="center"/>
        <w:rPr>
          <w:highlight w:val="none"/>
        </w:rPr>
      </w:pPr>
      <w:bookmarkStart w:id="242" w:name="_Toc9537"/>
      <w:r>
        <w:rPr>
          <w:rFonts w:hint="eastAsia"/>
          <w:highlight w:val="none"/>
        </w:rPr>
        <w:t>一、投标函</w:t>
      </w:r>
      <w:bookmarkStart w:id="243" w:name="_Toc246997100"/>
      <w:bookmarkEnd w:id="243"/>
      <w:bookmarkStart w:id="244" w:name="_Toc144974858"/>
      <w:bookmarkEnd w:id="244"/>
      <w:bookmarkStart w:id="245" w:name="_Toc246996357"/>
      <w:bookmarkEnd w:id="245"/>
      <w:bookmarkStart w:id="246" w:name="_Toc152045789"/>
      <w:bookmarkEnd w:id="246"/>
      <w:bookmarkStart w:id="247" w:name="_Toc394651922"/>
      <w:bookmarkEnd w:id="247"/>
      <w:bookmarkStart w:id="248" w:name="_Toc179632809"/>
      <w:bookmarkEnd w:id="248"/>
      <w:bookmarkStart w:id="249" w:name="_Toc19389"/>
      <w:bookmarkEnd w:id="249"/>
      <w:bookmarkStart w:id="250" w:name="_Toc247085875"/>
      <w:bookmarkEnd w:id="250"/>
      <w:bookmarkStart w:id="251" w:name="_Toc152042578"/>
      <w:bookmarkEnd w:id="251"/>
      <w:r>
        <w:rPr>
          <w:rFonts w:hint="eastAsia"/>
          <w:highlight w:val="none"/>
        </w:rPr>
        <w:t>及投标函附录</w:t>
      </w:r>
      <w:bookmarkEnd w:id="242"/>
    </w:p>
    <w:p w14:paraId="60F1B383">
      <w:pPr>
        <w:spacing w:line="560" w:lineRule="exact"/>
        <w:ind w:left="420"/>
        <w:jc w:val="center"/>
        <w:rPr>
          <w:rFonts w:hint="eastAsia" w:asciiTheme="minorEastAsia" w:hAnsiTheme="minorEastAsia" w:cstheme="minorEastAsia"/>
          <w:b/>
          <w:sz w:val="28"/>
          <w:szCs w:val="28"/>
          <w:highlight w:val="none"/>
        </w:rPr>
      </w:pPr>
      <w:r>
        <w:rPr>
          <w:rFonts w:hint="eastAsia" w:asciiTheme="minorEastAsia" w:hAnsiTheme="minorEastAsia" w:cstheme="minorEastAsia"/>
          <w:b/>
          <w:sz w:val="28"/>
          <w:szCs w:val="28"/>
          <w:highlight w:val="none"/>
        </w:rPr>
        <w:t>（1）投标函</w:t>
      </w:r>
    </w:p>
    <w:p w14:paraId="33809FCD">
      <w:pPr>
        <w:rPr>
          <w:highlight w:val="none"/>
        </w:rPr>
      </w:pPr>
    </w:p>
    <w:p w14:paraId="687F54EF">
      <w:pPr>
        <w:spacing w:line="480" w:lineRule="exact"/>
        <w:rPr>
          <w:rFonts w:hint="eastAsia" w:ascii="宋体" w:hAnsi="宋体" w:cs="宋体"/>
          <w:sz w:val="24"/>
          <w:szCs w:val="24"/>
          <w:highlight w:val="none"/>
        </w:rPr>
      </w:pP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（采购人名称） ： </w:t>
      </w:r>
    </w:p>
    <w:p w14:paraId="77EA5061">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1．我方已仔细研究了</w:t>
      </w:r>
      <w:r>
        <w:rPr>
          <w:rFonts w:hint="eastAsia" w:ascii="宋体" w:hAnsi="宋体" w:cs="宋体"/>
          <w:sz w:val="24"/>
          <w:szCs w:val="24"/>
          <w:highlight w:val="none"/>
          <w:u w:val="single"/>
        </w:rPr>
        <w:t xml:space="preserve">                            </w:t>
      </w:r>
      <w:r>
        <w:rPr>
          <w:rFonts w:hint="eastAsia" w:ascii="宋体" w:hAnsi="宋体" w:cs="宋体"/>
          <w:sz w:val="24"/>
          <w:szCs w:val="24"/>
          <w:highlight w:val="none"/>
        </w:rPr>
        <w:t>（项目名称 ）</w:t>
      </w:r>
      <w:r>
        <w:rPr>
          <w:rFonts w:hint="eastAsia" w:ascii="宋体" w:hAnsi="宋体" w:cs="宋体"/>
          <w:spacing w:val="-2"/>
          <w:sz w:val="24"/>
          <w:szCs w:val="24"/>
          <w:highlight w:val="none"/>
        </w:rPr>
        <w:t>竞争性磋商文件</w:t>
      </w:r>
      <w:r>
        <w:rPr>
          <w:rFonts w:hint="eastAsia" w:ascii="宋体" w:hAnsi="宋体" w:cs="宋体"/>
          <w:sz w:val="24"/>
          <w:szCs w:val="24"/>
          <w:highlight w:val="none"/>
        </w:rPr>
        <w:t>的全部内容</w:t>
      </w:r>
      <w:r>
        <w:rPr>
          <w:rFonts w:hint="eastAsia" w:ascii="宋体" w:hAnsi="宋体" w:cs="宋体"/>
          <w:spacing w:val="-2"/>
          <w:sz w:val="24"/>
          <w:szCs w:val="24"/>
          <w:highlight w:val="none"/>
        </w:rPr>
        <w:t>，按照竞争性磋商文件要求交付本次采购项目设备的投标报价为：(大写)</w:t>
      </w:r>
      <w:r>
        <w:rPr>
          <w:rFonts w:hint="eastAsia" w:ascii="宋体" w:hAnsi="宋体" w:cs="宋体"/>
          <w:spacing w:val="-2"/>
          <w:sz w:val="24"/>
          <w:szCs w:val="24"/>
          <w:highlight w:val="none"/>
          <w:u w:val="single"/>
        </w:rPr>
        <w:t xml:space="preserve">      元 ；   小写：      </w:t>
      </w:r>
      <w:r>
        <w:rPr>
          <w:rFonts w:hint="eastAsia" w:ascii="宋体" w:hAnsi="宋体" w:cs="宋体"/>
          <w:spacing w:val="-2"/>
          <w:sz w:val="24"/>
          <w:szCs w:val="24"/>
          <w:highlight w:val="none"/>
        </w:rPr>
        <w:t>元，</w:t>
      </w:r>
      <w:r>
        <w:rPr>
          <w:rFonts w:hint="eastAsia" w:ascii="宋体" w:hAnsi="宋体" w:cs="宋体"/>
          <w:sz w:val="24"/>
          <w:szCs w:val="24"/>
          <w:highlight w:val="none"/>
        </w:rPr>
        <w:t>供货期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，质保期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731A873B">
      <w:pPr>
        <w:spacing w:line="480" w:lineRule="exact"/>
        <w:ind w:firstLine="480" w:firstLineChars="200"/>
        <w:rPr>
          <w:rFonts w:cs="宋体"/>
          <w:sz w:val="24"/>
          <w:szCs w:val="24"/>
          <w:highlight w:val="none"/>
        </w:rPr>
      </w:pPr>
      <w:r>
        <w:rPr>
          <w:rFonts w:hint="eastAsia" w:cs="宋体"/>
          <w:sz w:val="24"/>
          <w:szCs w:val="24"/>
          <w:highlight w:val="none"/>
        </w:rPr>
        <w:t>2．我方承诺在竞争性磋商文件规定的投标有效期内不修改、撤销响应文件。</w:t>
      </w:r>
    </w:p>
    <w:p w14:paraId="5BC2D526">
      <w:pPr>
        <w:spacing w:line="480" w:lineRule="exact"/>
        <w:ind w:firstLine="480" w:firstLineChars="200"/>
        <w:outlineLvl w:val="2"/>
        <w:rPr>
          <w:rFonts w:cs="宋体"/>
          <w:sz w:val="24"/>
          <w:szCs w:val="24"/>
          <w:highlight w:val="none"/>
        </w:rPr>
      </w:pPr>
      <w:bookmarkStart w:id="252" w:name="_Toc24078"/>
      <w:r>
        <w:rPr>
          <w:rFonts w:hint="eastAsia" w:cs="宋体"/>
          <w:sz w:val="24"/>
          <w:szCs w:val="24"/>
          <w:highlight w:val="none"/>
        </w:rPr>
        <w:t>3．如我方中标：</w:t>
      </w:r>
      <w:bookmarkEnd w:id="252"/>
    </w:p>
    <w:p w14:paraId="5C77F03D">
      <w:pPr>
        <w:spacing w:line="480" w:lineRule="exact"/>
        <w:ind w:firstLine="818" w:firstLineChars="341"/>
        <w:rPr>
          <w:rFonts w:cs="宋体"/>
          <w:sz w:val="24"/>
          <w:szCs w:val="24"/>
          <w:highlight w:val="none"/>
        </w:rPr>
      </w:pPr>
      <w:r>
        <w:rPr>
          <w:rFonts w:hint="eastAsia" w:cs="宋体"/>
          <w:sz w:val="24"/>
          <w:szCs w:val="24"/>
          <w:highlight w:val="none"/>
        </w:rPr>
        <w:t>（1）我方承诺在收到中标通知书后，在中标通知书规定的期限内与你方签订合同。</w:t>
      </w:r>
    </w:p>
    <w:p w14:paraId="00484169">
      <w:pPr>
        <w:spacing w:line="480" w:lineRule="exact"/>
        <w:ind w:firstLine="818" w:firstLineChars="341"/>
        <w:rPr>
          <w:rFonts w:cs="宋体"/>
          <w:sz w:val="24"/>
          <w:szCs w:val="24"/>
          <w:highlight w:val="none"/>
        </w:rPr>
      </w:pPr>
      <w:r>
        <w:rPr>
          <w:rFonts w:hint="eastAsia" w:cs="宋体"/>
          <w:sz w:val="24"/>
          <w:szCs w:val="24"/>
          <w:highlight w:val="none"/>
        </w:rPr>
        <w:t>（2）随同本投标函递交的投标函附录属于合同文件的组成部分。</w:t>
      </w:r>
    </w:p>
    <w:p w14:paraId="6F02062D">
      <w:pPr>
        <w:spacing w:line="480" w:lineRule="exact"/>
        <w:ind w:firstLine="818" w:firstLineChars="341"/>
        <w:rPr>
          <w:rFonts w:cs="宋体"/>
          <w:sz w:val="24"/>
          <w:szCs w:val="24"/>
          <w:highlight w:val="none"/>
        </w:rPr>
      </w:pPr>
      <w:r>
        <w:rPr>
          <w:rFonts w:hint="eastAsia" w:cs="宋体"/>
          <w:sz w:val="24"/>
          <w:szCs w:val="24"/>
          <w:highlight w:val="none"/>
        </w:rPr>
        <w:t>（3）我方承诺按照竞争性磋商文件规定向你方递交履约担保。</w:t>
      </w:r>
    </w:p>
    <w:p w14:paraId="3BB3CC8F">
      <w:pPr>
        <w:spacing w:line="480" w:lineRule="exact"/>
        <w:ind w:firstLine="818" w:firstLineChars="341"/>
        <w:rPr>
          <w:rFonts w:cs="宋体"/>
          <w:sz w:val="24"/>
          <w:szCs w:val="24"/>
          <w:highlight w:val="none"/>
        </w:rPr>
      </w:pPr>
      <w:r>
        <w:rPr>
          <w:rFonts w:hint="eastAsia" w:cs="宋体"/>
          <w:sz w:val="24"/>
          <w:szCs w:val="24"/>
          <w:highlight w:val="none"/>
        </w:rPr>
        <w:t>（4）我方承诺在合同约定的期限内完成并移交全部合同工程。</w:t>
      </w:r>
    </w:p>
    <w:p w14:paraId="7BBB5480">
      <w:pPr>
        <w:spacing w:line="480" w:lineRule="exact"/>
        <w:rPr>
          <w:rFonts w:cs="宋体"/>
          <w:sz w:val="24"/>
          <w:szCs w:val="24"/>
          <w:highlight w:val="none"/>
        </w:rPr>
      </w:pPr>
      <w:r>
        <w:rPr>
          <w:rFonts w:hint="eastAsia" w:cs="宋体"/>
          <w:sz w:val="24"/>
          <w:szCs w:val="24"/>
          <w:highlight w:val="none"/>
        </w:rPr>
        <w:t xml:space="preserve">    4．我方在此声明，所递交的响应文件及有关资料内容完整、真实和准确。</w:t>
      </w:r>
    </w:p>
    <w:p w14:paraId="5CA5A870">
      <w:pPr>
        <w:spacing w:line="480" w:lineRule="exact"/>
        <w:ind w:firstLine="480" w:firstLineChars="200"/>
        <w:rPr>
          <w:rFonts w:cs="宋体"/>
          <w:sz w:val="24"/>
          <w:szCs w:val="24"/>
          <w:highlight w:val="none"/>
        </w:rPr>
      </w:pPr>
      <w:r>
        <w:rPr>
          <w:rFonts w:hint="eastAsia" w:cs="宋体"/>
          <w:sz w:val="24"/>
          <w:szCs w:val="24"/>
          <w:highlight w:val="none"/>
        </w:rPr>
        <w:t>5．（其他补充说明）。</w:t>
      </w:r>
    </w:p>
    <w:p w14:paraId="5A3BA6EE">
      <w:pPr>
        <w:spacing w:line="480" w:lineRule="exact"/>
        <w:ind w:firstLine="4200" w:firstLineChars="1750"/>
        <w:rPr>
          <w:rFonts w:hint="eastAsia" w:ascii="宋体" w:hAnsi="宋体" w:cs="宋体"/>
          <w:sz w:val="24"/>
          <w:highlight w:val="none"/>
        </w:rPr>
      </w:pPr>
    </w:p>
    <w:p w14:paraId="3D7FD4EC">
      <w:pPr>
        <w:spacing w:line="480" w:lineRule="exact"/>
        <w:ind w:firstLine="4200" w:firstLineChars="1750"/>
        <w:rPr>
          <w:rFonts w:hint="eastAsia" w:ascii="宋体" w:hAnsi="宋体" w:cs="宋体"/>
          <w:sz w:val="24"/>
          <w:highlight w:val="none"/>
        </w:rPr>
      </w:pPr>
    </w:p>
    <w:p w14:paraId="6C18411E">
      <w:pPr>
        <w:spacing w:line="540" w:lineRule="exact"/>
        <w:jc w:val="right"/>
        <w:rPr>
          <w:rFonts w:ascii="Calibri" w:hAnsi="Calibri" w:eastAsia="宋体" w:cs="Times New Roman"/>
          <w:kern w:val="0"/>
          <w:sz w:val="24"/>
          <w:highlight w:val="none"/>
          <w:u w:val="single"/>
        </w:rPr>
      </w:pPr>
      <w:r>
        <w:rPr>
          <w:rFonts w:hint="eastAsia" w:asciiTheme="minorEastAsia" w:hAnsiTheme="minorEastAsia" w:cstheme="minorEastAsia"/>
          <w:sz w:val="28"/>
          <w:szCs w:val="28"/>
          <w:highlight w:val="none"/>
        </w:rPr>
        <w:t xml:space="preserve">                       </w:t>
      </w:r>
      <w:r>
        <w:rPr>
          <w:rFonts w:hint="eastAsia" w:ascii="Calibri" w:hAnsi="Calibri" w:eastAsia="宋体" w:cs="Times New Roman"/>
          <w:kern w:val="0"/>
          <w:sz w:val="24"/>
          <w:highlight w:val="none"/>
        </w:rPr>
        <w:t>供应商</w:t>
      </w:r>
      <w:r>
        <w:rPr>
          <w:rFonts w:ascii="Calibri" w:hAnsi="Calibri" w:eastAsia="宋体" w:cs="Times New Roman"/>
          <w:kern w:val="0"/>
          <w:sz w:val="24"/>
          <w:highlight w:val="none"/>
        </w:rPr>
        <w:t>：</w:t>
      </w:r>
      <w:r>
        <w:rPr>
          <w:rFonts w:ascii="Calibri" w:hAnsi="Calibri" w:eastAsia="宋体" w:cs="Times New Roman"/>
          <w:kern w:val="0"/>
          <w:sz w:val="24"/>
          <w:highlight w:val="none"/>
          <w:u w:val="single"/>
        </w:rPr>
        <w:t xml:space="preserve">                      （</w:t>
      </w:r>
      <w:r>
        <w:rPr>
          <w:rFonts w:hint="eastAsia" w:ascii="Calibri" w:hAnsi="Calibri" w:eastAsia="宋体" w:cs="Times New Roman"/>
          <w:kern w:val="0"/>
          <w:sz w:val="24"/>
          <w:highlight w:val="none"/>
          <w:u w:val="single"/>
        </w:rPr>
        <w:t>盖单位公章</w:t>
      </w:r>
      <w:r>
        <w:rPr>
          <w:rFonts w:ascii="Calibri" w:hAnsi="Calibri" w:eastAsia="宋体" w:cs="Times New Roman"/>
          <w:kern w:val="0"/>
          <w:sz w:val="24"/>
          <w:highlight w:val="none"/>
          <w:u w:val="single"/>
        </w:rPr>
        <w:t>）</w:t>
      </w:r>
    </w:p>
    <w:p w14:paraId="7986FE80">
      <w:pPr>
        <w:widowControl/>
        <w:spacing w:line="540" w:lineRule="exact"/>
        <w:ind w:firstLine="360"/>
        <w:jc w:val="right"/>
        <w:rPr>
          <w:rFonts w:ascii="Calibri" w:hAnsi="Calibri" w:eastAsia="宋体" w:cs="Times New Roman"/>
          <w:kern w:val="0"/>
          <w:sz w:val="24"/>
          <w:highlight w:val="none"/>
          <w:u w:val="single"/>
        </w:rPr>
      </w:pPr>
      <w:r>
        <w:rPr>
          <w:rFonts w:ascii="Calibri" w:hAnsi="Calibri" w:eastAsia="宋体" w:cs="Times New Roman"/>
          <w:kern w:val="0"/>
          <w:sz w:val="24"/>
          <w:highlight w:val="none"/>
        </w:rPr>
        <w:t xml:space="preserve">法定代表人： </w:t>
      </w:r>
      <w:r>
        <w:rPr>
          <w:rFonts w:ascii="Calibri" w:hAnsi="Calibri" w:eastAsia="宋体" w:cs="Times New Roman"/>
          <w:kern w:val="0"/>
          <w:sz w:val="24"/>
          <w:highlight w:val="none"/>
          <w:u w:val="single"/>
        </w:rPr>
        <w:t xml:space="preserve">             （</w:t>
      </w:r>
      <w:r>
        <w:rPr>
          <w:rFonts w:hint="eastAsia" w:ascii="Calibri" w:hAnsi="Calibri" w:eastAsia="宋体" w:cs="Times New Roman"/>
          <w:kern w:val="0"/>
          <w:sz w:val="24"/>
          <w:highlight w:val="none"/>
          <w:u w:val="single"/>
        </w:rPr>
        <w:t>电子签章</w:t>
      </w:r>
      <w:r>
        <w:rPr>
          <w:rFonts w:ascii="Calibri" w:hAnsi="Calibri" w:eastAsia="宋体" w:cs="Times New Roman"/>
          <w:kern w:val="0"/>
          <w:sz w:val="24"/>
          <w:highlight w:val="none"/>
          <w:u w:val="single"/>
        </w:rPr>
        <w:t>）</w:t>
      </w:r>
    </w:p>
    <w:p w14:paraId="4ADE7633">
      <w:pPr>
        <w:widowControl/>
        <w:spacing w:line="540" w:lineRule="exact"/>
        <w:ind w:firstLine="360"/>
        <w:jc w:val="right"/>
        <w:rPr>
          <w:rFonts w:ascii="Calibri" w:hAnsi="Calibri" w:eastAsia="宋体" w:cs="Times New Roman"/>
          <w:kern w:val="0"/>
          <w:sz w:val="24"/>
          <w:highlight w:val="none"/>
        </w:rPr>
      </w:pPr>
      <w:r>
        <w:rPr>
          <w:rFonts w:ascii="Calibri" w:hAnsi="Calibri" w:eastAsia="宋体" w:cs="Times New Roman"/>
          <w:kern w:val="0"/>
          <w:sz w:val="24"/>
          <w:highlight w:val="none"/>
        </w:rPr>
        <w:t>日期：</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年</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月</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日</w:t>
      </w:r>
    </w:p>
    <w:p w14:paraId="53696C8D">
      <w:pPr>
        <w:jc w:val="center"/>
        <w:rPr>
          <w:rFonts w:hint="eastAsia" w:ascii="宋体" w:hAnsi="宋体" w:cs="宋体"/>
          <w:b/>
          <w:bCs/>
          <w:sz w:val="24"/>
          <w:highlight w:val="none"/>
        </w:rPr>
      </w:pPr>
      <w:r>
        <w:rPr>
          <w:rFonts w:hint="eastAsia" w:ascii="宋体" w:hAnsi="宋体" w:cs="宋体"/>
          <w:b/>
          <w:bCs/>
          <w:sz w:val="24"/>
          <w:highlight w:val="none"/>
        </w:rPr>
        <w:br w:type="page"/>
      </w:r>
      <w:bookmarkStart w:id="253" w:name="_Toc528078068"/>
      <w:bookmarkEnd w:id="253"/>
      <w:r>
        <w:rPr>
          <w:rFonts w:hint="eastAsia" w:ascii="宋体" w:hAnsi="宋体" w:cs="宋体"/>
          <w:b/>
          <w:bCs/>
          <w:sz w:val="24"/>
          <w:highlight w:val="none"/>
        </w:rPr>
        <w:t>（2）投标函附录</w:t>
      </w:r>
    </w:p>
    <w:tbl>
      <w:tblPr>
        <w:tblStyle w:val="24"/>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768"/>
        <w:gridCol w:w="6733"/>
      </w:tblGrid>
      <w:tr w14:paraId="1943253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0E7637E4">
            <w:pPr>
              <w:spacing w:line="480" w:lineRule="exact"/>
              <w:jc w:val="center"/>
              <w:rPr>
                <w:rFonts w:cs="宋体"/>
                <w:sz w:val="24"/>
                <w:szCs w:val="24"/>
                <w:highlight w:val="none"/>
              </w:rPr>
            </w:pPr>
            <w:r>
              <w:rPr>
                <w:rFonts w:hint="eastAsia" w:cs="宋体"/>
                <w:sz w:val="24"/>
                <w:szCs w:val="24"/>
                <w:highlight w:val="none"/>
              </w:rPr>
              <w:t>项目名称</w:t>
            </w:r>
          </w:p>
        </w:tc>
        <w:tc>
          <w:tcPr>
            <w:tcW w:w="6733" w:type="dxa"/>
            <w:tcBorders>
              <w:top w:val="single" w:color="auto" w:sz="4" w:space="0"/>
              <w:left w:val="nil"/>
              <w:bottom w:val="single" w:color="auto" w:sz="4" w:space="0"/>
              <w:right w:val="single" w:color="auto" w:sz="4" w:space="0"/>
            </w:tcBorders>
            <w:vAlign w:val="center"/>
          </w:tcPr>
          <w:p w14:paraId="684AD10F">
            <w:pPr>
              <w:spacing w:line="480" w:lineRule="exact"/>
              <w:ind w:firstLine="818" w:firstLineChars="341"/>
              <w:rPr>
                <w:rFonts w:cs="宋体"/>
                <w:sz w:val="24"/>
                <w:szCs w:val="24"/>
                <w:highlight w:val="none"/>
              </w:rPr>
            </w:pPr>
          </w:p>
        </w:tc>
      </w:tr>
      <w:tr w14:paraId="2A818EC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3FF84125">
            <w:pPr>
              <w:spacing w:line="480" w:lineRule="exact"/>
              <w:jc w:val="center"/>
              <w:rPr>
                <w:rFonts w:cs="宋体"/>
                <w:sz w:val="24"/>
                <w:szCs w:val="24"/>
                <w:highlight w:val="none"/>
              </w:rPr>
            </w:pPr>
            <w:r>
              <w:rPr>
                <w:rFonts w:hint="eastAsia" w:cs="宋体"/>
                <w:sz w:val="24"/>
                <w:szCs w:val="24"/>
                <w:highlight w:val="none"/>
              </w:rPr>
              <w:t>供应商名称</w:t>
            </w:r>
          </w:p>
        </w:tc>
        <w:tc>
          <w:tcPr>
            <w:tcW w:w="6733" w:type="dxa"/>
            <w:tcBorders>
              <w:top w:val="single" w:color="auto" w:sz="4" w:space="0"/>
              <w:left w:val="nil"/>
              <w:bottom w:val="single" w:color="auto" w:sz="4" w:space="0"/>
              <w:right w:val="single" w:color="auto" w:sz="4" w:space="0"/>
            </w:tcBorders>
            <w:vAlign w:val="center"/>
          </w:tcPr>
          <w:p w14:paraId="31E7F3D2">
            <w:pPr>
              <w:spacing w:line="480" w:lineRule="exact"/>
              <w:ind w:firstLine="818" w:firstLineChars="341"/>
              <w:rPr>
                <w:rFonts w:cs="宋体"/>
                <w:sz w:val="24"/>
                <w:szCs w:val="24"/>
                <w:highlight w:val="none"/>
              </w:rPr>
            </w:pPr>
          </w:p>
        </w:tc>
      </w:tr>
      <w:tr w14:paraId="6566C54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474FAA82">
            <w:pPr>
              <w:spacing w:line="480" w:lineRule="exact"/>
              <w:jc w:val="center"/>
              <w:rPr>
                <w:rFonts w:cs="宋体"/>
                <w:sz w:val="24"/>
                <w:szCs w:val="24"/>
                <w:highlight w:val="none"/>
              </w:rPr>
            </w:pPr>
            <w:r>
              <w:rPr>
                <w:rFonts w:hint="eastAsia" w:cs="宋体"/>
                <w:sz w:val="24"/>
                <w:szCs w:val="24"/>
                <w:highlight w:val="none"/>
              </w:rPr>
              <w:t>供应商地址</w:t>
            </w:r>
          </w:p>
        </w:tc>
        <w:tc>
          <w:tcPr>
            <w:tcW w:w="6733" w:type="dxa"/>
            <w:tcBorders>
              <w:top w:val="single" w:color="auto" w:sz="4" w:space="0"/>
              <w:left w:val="nil"/>
              <w:bottom w:val="single" w:color="auto" w:sz="4" w:space="0"/>
              <w:right w:val="single" w:color="auto" w:sz="4" w:space="0"/>
            </w:tcBorders>
            <w:vAlign w:val="center"/>
          </w:tcPr>
          <w:p w14:paraId="564D0FDF">
            <w:pPr>
              <w:spacing w:line="480" w:lineRule="exact"/>
              <w:ind w:firstLine="818" w:firstLineChars="341"/>
              <w:rPr>
                <w:rFonts w:cs="宋体"/>
                <w:sz w:val="24"/>
                <w:szCs w:val="24"/>
                <w:highlight w:val="none"/>
              </w:rPr>
            </w:pPr>
          </w:p>
        </w:tc>
      </w:tr>
      <w:tr w14:paraId="1FDB372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32AA80B8">
            <w:pPr>
              <w:spacing w:line="480" w:lineRule="exact"/>
              <w:jc w:val="center"/>
              <w:rPr>
                <w:rFonts w:cs="宋体"/>
                <w:sz w:val="24"/>
                <w:szCs w:val="24"/>
                <w:highlight w:val="none"/>
              </w:rPr>
            </w:pPr>
            <w:r>
              <w:rPr>
                <w:rFonts w:hint="eastAsia" w:cs="宋体"/>
                <w:sz w:val="24"/>
                <w:szCs w:val="24"/>
                <w:highlight w:val="none"/>
              </w:rPr>
              <w:t>供应商统一社会信用代码</w:t>
            </w:r>
          </w:p>
        </w:tc>
        <w:tc>
          <w:tcPr>
            <w:tcW w:w="6733" w:type="dxa"/>
            <w:tcBorders>
              <w:top w:val="single" w:color="auto" w:sz="4" w:space="0"/>
              <w:left w:val="nil"/>
              <w:bottom w:val="single" w:color="auto" w:sz="4" w:space="0"/>
              <w:right w:val="single" w:color="auto" w:sz="4" w:space="0"/>
            </w:tcBorders>
            <w:vAlign w:val="center"/>
          </w:tcPr>
          <w:p w14:paraId="5218E377">
            <w:pPr>
              <w:spacing w:line="480" w:lineRule="exact"/>
              <w:ind w:firstLine="818" w:firstLineChars="341"/>
              <w:rPr>
                <w:rFonts w:cs="宋体"/>
                <w:sz w:val="24"/>
                <w:szCs w:val="24"/>
                <w:highlight w:val="none"/>
              </w:rPr>
            </w:pPr>
          </w:p>
        </w:tc>
      </w:tr>
      <w:tr w14:paraId="5400782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60" w:hRule="atLeast"/>
        </w:trPr>
        <w:tc>
          <w:tcPr>
            <w:tcW w:w="1768" w:type="dxa"/>
            <w:tcBorders>
              <w:top w:val="single" w:color="auto" w:sz="4" w:space="0"/>
              <w:left w:val="single" w:color="auto" w:sz="4" w:space="0"/>
              <w:bottom w:val="nil"/>
              <w:right w:val="single" w:color="auto" w:sz="4" w:space="0"/>
            </w:tcBorders>
            <w:vAlign w:val="center"/>
          </w:tcPr>
          <w:p w14:paraId="37DFB4BA">
            <w:pPr>
              <w:spacing w:line="480" w:lineRule="exact"/>
              <w:jc w:val="center"/>
              <w:rPr>
                <w:rFonts w:cs="宋体"/>
                <w:sz w:val="24"/>
                <w:szCs w:val="24"/>
                <w:highlight w:val="none"/>
              </w:rPr>
            </w:pPr>
            <w:r>
              <w:rPr>
                <w:rFonts w:hint="eastAsia" w:cs="宋体"/>
                <w:sz w:val="24"/>
                <w:szCs w:val="24"/>
                <w:highlight w:val="none"/>
              </w:rPr>
              <w:t>投标报价</w:t>
            </w:r>
          </w:p>
        </w:tc>
        <w:tc>
          <w:tcPr>
            <w:tcW w:w="6733" w:type="dxa"/>
            <w:tcBorders>
              <w:top w:val="single" w:color="auto" w:sz="4" w:space="0"/>
              <w:left w:val="nil"/>
              <w:bottom w:val="single" w:color="auto" w:sz="4" w:space="0"/>
              <w:right w:val="single" w:color="auto" w:sz="4" w:space="0"/>
            </w:tcBorders>
            <w:vAlign w:val="center"/>
          </w:tcPr>
          <w:p w14:paraId="1C250A15">
            <w:pPr>
              <w:spacing w:line="480" w:lineRule="exact"/>
              <w:ind w:firstLine="818" w:firstLineChars="341"/>
              <w:rPr>
                <w:rFonts w:cs="宋体"/>
                <w:sz w:val="24"/>
                <w:szCs w:val="24"/>
                <w:highlight w:val="none"/>
              </w:rPr>
            </w:pPr>
            <w:r>
              <w:rPr>
                <w:rFonts w:hint="eastAsia" w:cs="宋体"/>
                <w:sz w:val="24"/>
                <w:szCs w:val="24"/>
                <w:highlight w:val="none"/>
              </w:rPr>
              <w:t>（大写）     ，    （小写）    元</w:t>
            </w:r>
          </w:p>
        </w:tc>
      </w:tr>
      <w:tr w14:paraId="14FD833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08" w:hRule="atLeast"/>
        </w:trPr>
        <w:tc>
          <w:tcPr>
            <w:tcW w:w="1768" w:type="dxa"/>
            <w:tcBorders>
              <w:top w:val="single" w:color="auto" w:sz="4" w:space="0"/>
              <w:left w:val="single" w:color="auto" w:sz="4" w:space="0"/>
              <w:bottom w:val="nil"/>
              <w:right w:val="single" w:color="auto" w:sz="4" w:space="0"/>
            </w:tcBorders>
            <w:vAlign w:val="center"/>
          </w:tcPr>
          <w:p w14:paraId="310F7186">
            <w:pPr>
              <w:spacing w:line="480" w:lineRule="exact"/>
              <w:jc w:val="center"/>
              <w:rPr>
                <w:rFonts w:cs="宋体"/>
                <w:sz w:val="24"/>
                <w:szCs w:val="24"/>
                <w:highlight w:val="none"/>
              </w:rPr>
            </w:pPr>
            <w:r>
              <w:rPr>
                <w:rFonts w:hint="eastAsia" w:cs="宋体"/>
                <w:sz w:val="24"/>
                <w:szCs w:val="24"/>
                <w:highlight w:val="none"/>
              </w:rPr>
              <w:t>供货期</w:t>
            </w:r>
          </w:p>
        </w:tc>
        <w:tc>
          <w:tcPr>
            <w:tcW w:w="6733" w:type="dxa"/>
            <w:tcBorders>
              <w:top w:val="single" w:color="auto" w:sz="4" w:space="0"/>
              <w:left w:val="nil"/>
              <w:bottom w:val="single" w:color="auto" w:sz="4" w:space="0"/>
              <w:right w:val="single" w:color="auto" w:sz="4" w:space="0"/>
            </w:tcBorders>
            <w:vAlign w:val="center"/>
          </w:tcPr>
          <w:p w14:paraId="38830257">
            <w:pPr>
              <w:spacing w:line="480" w:lineRule="exact"/>
              <w:rPr>
                <w:rFonts w:cs="宋体"/>
                <w:sz w:val="24"/>
                <w:szCs w:val="24"/>
                <w:highlight w:val="none"/>
              </w:rPr>
            </w:pPr>
          </w:p>
        </w:tc>
      </w:tr>
      <w:tr w14:paraId="7CC2B7D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5C9FDD59">
            <w:pPr>
              <w:spacing w:line="480" w:lineRule="exact"/>
              <w:jc w:val="center"/>
              <w:rPr>
                <w:rFonts w:cs="宋体"/>
                <w:sz w:val="24"/>
                <w:szCs w:val="24"/>
                <w:highlight w:val="none"/>
              </w:rPr>
            </w:pPr>
            <w:r>
              <w:rPr>
                <w:rFonts w:hint="eastAsia" w:cs="宋体"/>
                <w:sz w:val="24"/>
                <w:szCs w:val="24"/>
                <w:highlight w:val="none"/>
              </w:rPr>
              <w:t>质保期</w:t>
            </w:r>
          </w:p>
        </w:tc>
        <w:tc>
          <w:tcPr>
            <w:tcW w:w="6733" w:type="dxa"/>
            <w:tcBorders>
              <w:top w:val="single" w:color="auto" w:sz="4" w:space="0"/>
              <w:left w:val="nil"/>
              <w:bottom w:val="single" w:color="auto" w:sz="4" w:space="0"/>
              <w:right w:val="single" w:color="auto" w:sz="4" w:space="0"/>
            </w:tcBorders>
            <w:vAlign w:val="center"/>
          </w:tcPr>
          <w:p w14:paraId="7BFB8FA5">
            <w:pPr>
              <w:spacing w:line="480" w:lineRule="exact"/>
              <w:ind w:firstLine="818" w:firstLineChars="341"/>
              <w:rPr>
                <w:rFonts w:cs="宋体"/>
                <w:sz w:val="24"/>
                <w:szCs w:val="24"/>
                <w:highlight w:val="none"/>
              </w:rPr>
            </w:pPr>
          </w:p>
        </w:tc>
      </w:tr>
      <w:tr w14:paraId="02EF05F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551443C5">
            <w:pPr>
              <w:spacing w:line="480" w:lineRule="exact"/>
              <w:jc w:val="center"/>
              <w:rPr>
                <w:rFonts w:cs="宋体"/>
                <w:sz w:val="24"/>
                <w:szCs w:val="24"/>
                <w:highlight w:val="none"/>
              </w:rPr>
            </w:pPr>
            <w:r>
              <w:rPr>
                <w:rFonts w:hint="eastAsia" w:cs="宋体"/>
                <w:sz w:val="24"/>
                <w:szCs w:val="24"/>
                <w:highlight w:val="none"/>
              </w:rPr>
              <w:t>质量要求</w:t>
            </w:r>
          </w:p>
        </w:tc>
        <w:tc>
          <w:tcPr>
            <w:tcW w:w="6733" w:type="dxa"/>
            <w:tcBorders>
              <w:top w:val="single" w:color="auto" w:sz="4" w:space="0"/>
              <w:left w:val="nil"/>
              <w:bottom w:val="single" w:color="auto" w:sz="4" w:space="0"/>
              <w:right w:val="single" w:color="auto" w:sz="4" w:space="0"/>
            </w:tcBorders>
            <w:vAlign w:val="center"/>
          </w:tcPr>
          <w:p w14:paraId="0578B61C">
            <w:pPr>
              <w:spacing w:line="480" w:lineRule="exact"/>
              <w:ind w:firstLine="818" w:firstLineChars="341"/>
              <w:rPr>
                <w:rFonts w:cs="宋体"/>
                <w:sz w:val="24"/>
                <w:szCs w:val="24"/>
                <w:highlight w:val="none"/>
              </w:rPr>
            </w:pPr>
          </w:p>
        </w:tc>
      </w:tr>
      <w:tr w14:paraId="4FC1CB2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26C4E4F8">
            <w:pPr>
              <w:spacing w:line="480" w:lineRule="exact"/>
              <w:jc w:val="center"/>
              <w:rPr>
                <w:rFonts w:cs="宋体"/>
                <w:sz w:val="24"/>
                <w:szCs w:val="24"/>
                <w:highlight w:val="none"/>
              </w:rPr>
            </w:pPr>
            <w:r>
              <w:rPr>
                <w:rFonts w:hint="eastAsia" w:cs="宋体"/>
                <w:sz w:val="24"/>
                <w:szCs w:val="24"/>
                <w:highlight w:val="none"/>
              </w:rPr>
              <w:t>投标有效期</w:t>
            </w:r>
          </w:p>
        </w:tc>
        <w:tc>
          <w:tcPr>
            <w:tcW w:w="6733" w:type="dxa"/>
            <w:tcBorders>
              <w:top w:val="single" w:color="auto" w:sz="4" w:space="0"/>
              <w:left w:val="nil"/>
              <w:bottom w:val="single" w:color="auto" w:sz="4" w:space="0"/>
              <w:right w:val="single" w:color="auto" w:sz="4" w:space="0"/>
            </w:tcBorders>
            <w:vAlign w:val="center"/>
          </w:tcPr>
          <w:p w14:paraId="6A90CAD2">
            <w:pPr>
              <w:spacing w:line="480" w:lineRule="exact"/>
              <w:ind w:firstLine="818" w:firstLineChars="341"/>
              <w:rPr>
                <w:rFonts w:cs="宋体"/>
                <w:sz w:val="24"/>
                <w:szCs w:val="24"/>
                <w:highlight w:val="none"/>
              </w:rPr>
            </w:pPr>
          </w:p>
        </w:tc>
      </w:tr>
      <w:tr w14:paraId="3166B67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589A9FF5">
            <w:pPr>
              <w:spacing w:line="480" w:lineRule="exact"/>
              <w:jc w:val="center"/>
              <w:rPr>
                <w:rFonts w:cs="宋体"/>
                <w:sz w:val="24"/>
                <w:szCs w:val="24"/>
                <w:highlight w:val="none"/>
              </w:rPr>
            </w:pPr>
            <w:r>
              <w:rPr>
                <w:rFonts w:hint="eastAsia" w:cs="宋体"/>
                <w:sz w:val="24"/>
                <w:szCs w:val="24"/>
                <w:highlight w:val="none"/>
              </w:rPr>
              <w:t>项目负责人及联系方式</w:t>
            </w:r>
          </w:p>
        </w:tc>
        <w:tc>
          <w:tcPr>
            <w:tcW w:w="6733" w:type="dxa"/>
            <w:tcBorders>
              <w:top w:val="single" w:color="auto" w:sz="4" w:space="0"/>
              <w:left w:val="nil"/>
              <w:bottom w:val="single" w:color="auto" w:sz="4" w:space="0"/>
              <w:right w:val="single" w:color="auto" w:sz="4" w:space="0"/>
            </w:tcBorders>
            <w:vAlign w:val="center"/>
          </w:tcPr>
          <w:p w14:paraId="3EF75438">
            <w:pPr>
              <w:spacing w:line="480" w:lineRule="exact"/>
              <w:ind w:firstLine="818" w:firstLineChars="341"/>
              <w:rPr>
                <w:rFonts w:cs="宋体"/>
                <w:sz w:val="24"/>
                <w:szCs w:val="24"/>
                <w:highlight w:val="none"/>
              </w:rPr>
            </w:pPr>
          </w:p>
        </w:tc>
      </w:tr>
      <w:tr w14:paraId="16082FD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3" w:hRule="atLeast"/>
        </w:trPr>
        <w:tc>
          <w:tcPr>
            <w:tcW w:w="8501" w:type="dxa"/>
            <w:gridSpan w:val="2"/>
            <w:tcBorders>
              <w:top w:val="single" w:color="auto" w:sz="4" w:space="0"/>
              <w:left w:val="single" w:color="auto" w:sz="4" w:space="0"/>
              <w:bottom w:val="single" w:color="auto" w:sz="4" w:space="0"/>
              <w:right w:val="single" w:color="auto" w:sz="4" w:space="0"/>
            </w:tcBorders>
          </w:tcPr>
          <w:p w14:paraId="4C73EAEC">
            <w:pPr>
              <w:spacing w:line="480" w:lineRule="exact"/>
              <w:ind w:firstLine="818" w:firstLineChars="341"/>
              <w:rPr>
                <w:rFonts w:cs="宋体"/>
                <w:sz w:val="24"/>
                <w:szCs w:val="24"/>
                <w:highlight w:val="none"/>
              </w:rPr>
            </w:pPr>
            <w:r>
              <w:rPr>
                <w:rFonts w:hint="eastAsia" w:cs="宋体"/>
                <w:sz w:val="24"/>
                <w:szCs w:val="24"/>
                <w:highlight w:val="none"/>
              </w:rPr>
              <w:t>补充（如有）</w:t>
            </w:r>
          </w:p>
        </w:tc>
      </w:tr>
    </w:tbl>
    <w:p w14:paraId="531FDEE3">
      <w:pPr>
        <w:spacing w:line="540" w:lineRule="exact"/>
        <w:jc w:val="right"/>
        <w:rPr>
          <w:rFonts w:ascii="Calibri" w:hAnsi="Calibri" w:eastAsia="宋体" w:cs="Times New Roman"/>
          <w:kern w:val="0"/>
          <w:sz w:val="24"/>
          <w:highlight w:val="none"/>
          <w:u w:val="single"/>
        </w:rPr>
      </w:pPr>
      <w:r>
        <w:rPr>
          <w:rFonts w:hint="eastAsia" w:asciiTheme="minorEastAsia" w:hAnsiTheme="minorEastAsia" w:cstheme="minorEastAsia"/>
          <w:sz w:val="28"/>
          <w:szCs w:val="28"/>
          <w:highlight w:val="none"/>
        </w:rPr>
        <w:t xml:space="preserve">                       </w:t>
      </w:r>
      <w:r>
        <w:rPr>
          <w:rFonts w:hint="eastAsia" w:ascii="Calibri" w:hAnsi="Calibri" w:eastAsia="宋体" w:cs="Times New Roman"/>
          <w:kern w:val="0"/>
          <w:sz w:val="24"/>
          <w:highlight w:val="none"/>
        </w:rPr>
        <w:t>供应商</w:t>
      </w:r>
      <w:r>
        <w:rPr>
          <w:rFonts w:ascii="Calibri" w:hAnsi="Calibri" w:eastAsia="宋体" w:cs="Times New Roman"/>
          <w:kern w:val="0"/>
          <w:sz w:val="24"/>
          <w:highlight w:val="none"/>
        </w:rPr>
        <w:t>：</w:t>
      </w:r>
      <w:r>
        <w:rPr>
          <w:rFonts w:ascii="Calibri" w:hAnsi="Calibri" w:eastAsia="宋体" w:cs="Times New Roman"/>
          <w:kern w:val="0"/>
          <w:sz w:val="24"/>
          <w:highlight w:val="none"/>
          <w:u w:val="single"/>
        </w:rPr>
        <w:t xml:space="preserve">                      （</w:t>
      </w:r>
      <w:r>
        <w:rPr>
          <w:rFonts w:hint="eastAsia" w:ascii="Calibri" w:hAnsi="Calibri" w:eastAsia="宋体" w:cs="Times New Roman"/>
          <w:kern w:val="0"/>
          <w:sz w:val="24"/>
          <w:highlight w:val="none"/>
          <w:u w:val="single"/>
        </w:rPr>
        <w:t>盖单位公章</w:t>
      </w:r>
      <w:r>
        <w:rPr>
          <w:rFonts w:ascii="Calibri" w:hAnsi="Calibri" w:eastAsia="宋体" w:cs="Times New Roman"/>
          <w:kern w:val="0"/>
          <w:sz w:val="24"/>
          <w:highlight w:val="none"/>
          <w:u w:val="single"/>
        </w:rPr>
        <w:t>）</w:t>
      </w:r>
    </w:p>
    <w:p w14:paraId="08B68282">
      <w:pPr>
        <w:widowControl/>
        <w:spacing w:line="540" w:lineRule="exact"/>
        <w:ind w:firstLine="360"/>
        <w:jc w:val="right"/>
        <w:rPr>
          <w:rFonts w:ascii="Calibri" w:hAnsi="Calibri" w:eastAsia="宋体" w:cs="Times New Roman"/>
          <w:kern w:val="0"/>
          <w:sz w:val="24"/>
          <w:highlight w:val="none"/>
          <w:u w:val="single"/>
        </w:rPr>
      </w:pPr>
      <w:r>
        <w:rPr>
          <w:rFonts w:ascii="Calibri" w:hAnsi="Calibri" w:eastAsia="宋体" w:cs="Times New Roman"/>
          <w:kern w:val="0"/>
          <w:sz w:val="24"/>
          <w:highlight w:val="none"/>
        </w:rPr>
        <w:t xml:space="preserve">法定代表人： </w:t>
      </w:r>
      <w:r>
        <w:rPr>
          <w:rFonts w:ascii="Calibri" w:hAnsi="Calibri" w:eastAsia="宋体" w:cs="Times New Roman"/>
          <w:kern w:val="0"/>
          <w:sz w:val="24"/>
          <w:highlight w:val="none"/>
          <w:u w:val="single"/>
        </w:rPr>
        <w:t xml:space="preserve">             （</w:t>
      </w:r>
      <w:r>
        <w:rPr>
          <w:rFonts w:hint="eastAsia" w:ascii="Calibri" w:hAnsi="Calibri" w:eastAsia="宋体" w:cs="Times New Roman"/>
          <w:kern w:val="0"/>
          <w:sz w:val="24"/>
          <w:highlight w:val="none"/>
          <w:u w:val="single"/>
        </w:rPr>
        <w:t>电子签章</w:t>
      </w:r>
      <w:r>
        <w:rPr>
          <w:rFonts w:ascii="Calibri" w:hAnsi="Calibri" w:eastAsia="宋体" w:cs="Times New Roman"/>
          <w:kern w:val="0"/>
          <w:sz w:val="24"/>
          <w:highlight w:val="none"/>
          <w:u w:val="single"/>
        </w:rPr>
        <w:t>）</w:t>
      </w:r>
    </w:p>
    <w:p w14:paraId="5CB9791C">
      <w:pPr>
        <w:widowControl/>
        <w:spacing w:line="540" w:lineRule="exact"/>
        <w:ind w:firstLine="360"/>
        <w:jc w:val="right"/>
        <w:rPr>
          <w:rFonts w:ascii="Calibri" w:hAnsi="Calibri" w:eastAsia="宋体" w:cs="Times New Roman"/>
          <w:kern w:val="0"/>
          <w:sz w:val="24"/>
          <w:highlight w:val="none"/>
        </w:rPr>
      </w:pPr>
      <w:r>
        <w:rPr>
          <w:rFonts w:ascii="Calibri" w:hAnsi="Calibri" w:eastAsia="宋体" w:cs="Times New Roman"/>
          <w:kern w:val="0"/>
          <w:sz w:val="24"/>
          <w:highlight w:val="none"/>
        </w:rPr>
        <w:t>日期：</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年</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月</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日</w:t>
      </w:r>
    </w:p>
    <w:p w14:paraId="526816BD">
      <w:pPr>
        <w:pStyle w:val="7"/>
        <w:jc w:val="center"/>
        <w:rPr>
          <w:highlight w:val="none"/>
        </w:rPr>
      </w:pPr>
      <w:r>
        <w:rPr>
          <w:rFonts w:hint="eastAsia" w:ascii="宋体" w:hAnsi="宋体" w:cs="宋体"/>
          <w:szCs w:val="24"/>
          <w:highlight w:val="none"/>
        </w:rPr>
        <w:br w:type="page"/>
      </w:r>
      <w:bookmarkStart w:id="254" w:name="_Toc26862"/>
      <w:bookmarkEnd w:id="254"/>
      <w:bookmarkStart w:id="255" w:name="_Toc26023"/>
      <w:r>
        <w:rPr>
          <w:rFonts w:hint="eastAsia"/>
          <w:highlight w:val="none"/>
        </w:rPr>
        <w:t>二、法定代表人身份证明</w:t>
      </w:r>
      <w:bookmarkEnd w:id="255"/>
    </w:p>
    <w:p w14:paraId="7E3D3C41">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供应商名称：</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 xml:space="preserve"> </w:t>
      </w:r>
    </w:p>
    <w:p w14:paraId="0E3D8386">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单位性质：</w:t>
      </w:r>
      <w:r>
        <w:rPr>
          <w:rFonts w:hint="eastAsia" w:asciiTheme="minorEastAsia" w:hAnsiTheme="minorEastAsia" w:cstheme="minorEastAsia"/>
          <w:sz w:val="24"/>
          <w:szCs w:val="28"/>
          <w:highlight w:val="none"/>
          <w:u w:val="single"/>
        </w:rPr>
        <w:t xml:space="preserve">                        </w:t>
      </w:r>
    </w:p>
    <w:p w14:paraId="68EB7389">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地址：</w:t>
      </w:r>
      <w:r>
        <w:rPr>
          <w:rFonts w:hint="eastAsia" w:asciiTheme="minorEastAsia" w:hAnsiTheme="minorEastAsia" w:cstheme="minorEastAsia"/>
          <w:sz w:val="24"/>
          <w:szCs w:val="28"/>
          <w:highlight w:val="none"/>
          <w:u w:val="single"/>
        </w:rPr>
        <w:t xml:space="preserve">                        </w:t>
      </w:r>
    </w:p>
    <w:p w14:paraId="2BBC3007">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成立时间：</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年</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月</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日</w:t>
      </w:r>
    </w:p>
    <w:p w14:paraId="6D8B4D8A">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经营期限：</w:t>
      </w:r>
      <w:r>
        <w:rPr>
          <w:rFonts w:hint="eastAsia" w:asciiTheme="minorEastAsia" w:hAnsiTheme="minorEastAsia" w:cstheme="minorEastAsia"/>
          <w:sz w:val="24"/>
          <w:szCs w:val="28"/>
          <w:highlight w:val="none"/>
          <w:u w:val="single"/>
        </w:rPr>
        <w:t xml:space="preserve">                        </w:t>
      </w:r>
    </w:p>
    <w:p w14:paraId="142A8E89">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姓名：</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；性别：</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w:t>
      </w:r>
    </w:p>
    <w:p w14:paraId="3FAAEAB9">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年龄：</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；职务：</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w:t>
      </w:r>
    </w:p>
    <w:p w14:paraId="1AFB8397">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身份证号码：</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，系</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（供应商名称）的法定代表人。</w:t>
      </w:r>
    </w:p>
    <w:p w14:paraId="3DF3FD2A">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特此证明。</w:t>
      </w:r>
    </w:p>
    <w:p w14:paraId="54440EC5">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附：法定代表人身份证扫描件，加盖公章。</w:t>
      </w:r>
    </w:p>
    <w:p w14:paraId="51F78597">
      <w:pPr>
        <w:spacing w:line="560" w:lineRule="exact"/>
        <w:ind w:left="170" w:firstLine="480" w:firstLineChars="200"/>
        <w:rPr>
          <w:rFonts w:hint="eastAsia" w:asciiTheme="minorEastAsia" w:hAnsiTheme="minorEastAsia" w:cstheme="minorEastAsia"/>
          <w:sz w:val="24"/>
          <w:szCs w:val="28"/>
          <w:highlight w:val="none"/>
        </w:rPr>
      </w:pPr>
    </w:p>
    <w:p w14:paraId="1FCCCC85">
      <w:pPr>
        <w:autoSpaceDE w:val="0"/>
        <w:autoSpaceDN w:val="0"/>
        <w:adjustRightInd w:val="0"/>
        <w:spacing w:line="560" w:lineRule="exact"/>
        <w:ind w:firstLine="3084" w:firstLineChars="1285"/>
        <w:jc w:val="right"/>
        <w:rPr>
          <w:rFonts w:hint="eastAsia" w:asciiTheme="minorEastAsia" w:hAnsiTheme="minorEastAsia" w:cstheme="minorEastAsia"/>
          <w:kern w:val="0"/>
          <w:sz w:val="24"/>
          <w:szCs w:val="28"/>
          <w:highlight w:val="none"/>
        </w:rPr>
      </w:pPr>
    </w:p>
    <w:p w14:paraId="0ECEDBEB">
      <w:pPr>
        <w:autoSpaceDE w:val="0"/>
        <w:autoSpaceDN w:val="0"/>
        <w:adjustRightInd w:val="0"/>
        <w:spacing w:line="560" w:lineRule="exact"/>
        <w:ind w:firstLine="3084" w:firstLineChars="1285"/>
        <w:jc w:val="center"/>
        <w:rPr>
          <w:rFonts w:hint="eastAsia" w:asciiTheme="minorEastAsia" w:hAnsiTheme="minorEastAsia" w:cstheme="minorEastAsia"/>
          <w:kern w:val="0"/>
          <w:sz w:val="24"/>
          <w:szCs w:val="28"/>
          <w:highlight w:val="none"/>
        </w:rPr>
      </w:pPr>
      <w:r>
        <w:rPr>
          <w:rFonts w:hint="eastAsia" w:asciiTheme="minorEastAsia" w:hAnsiTheme="minorEastAsia" w:cstheme="minorEastAsia"/>
          <w:kern w:val="0"/>
          <w:sz w:val="24"/>
          <w:szCs w:val="28"/>
          <w:highlight w:val="none"/>
        </w:rPr>
        <w:t>供应商：</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kern w:val="0"/>
          <w:sz w:val="24"/>
          <w:szCs w:val="28"/>
          <w:highlight w:val="none"/>
        </w:rPr>
        <w:t>（盖单位公章）</w:t>
      </w:r>
    </w:p>
    <w:p w14:paraId="30D7726E">
      <w:pPr>
        <w:autoSpaceDE w:val="0"/>
        <w:autoSpaceDN w:val="0"/>
        <w:adjustRightInd w:val="0"/>
        <w:spacing w:line="560" w:lineRule="exact"/>
        <w:ind w:right="420" w:firstLine="3760" w:firstLineChars="1567"/>
        <w:rPr>
          <w:rFonts w:hint="eastAsia" w:asciiTheme="minorEastAsia" w:hAnsiTheme="minorEastAsia" w:cstheme="minorEastAsia"/>
          <w:kern w:val="0"/>
          <w:sz w:val="24"/>
          <w:szCs w:val="28"/>
          <w:highlight w:val="none"/>
        </w:rPr>
      </w:pPr>
      <w:r>
        <w:rPr>
          <w:rFonts w:hint="eastAsia" w:asciiTheme="minorEastAsia" w:hAnsiTheme="minorEastAsia" w:cstheme="minorEastAsia"/>
          <w:kern w:val="0"/>
          <w:sz w:val="24"/>
          <w:szCs w:val="28"/>
          <w:highlight w:val="none"/>
        </w:rPr>
        <w:t>日期：</w:t>
      </w:r>
      <w:r>
        <w:rPr>
          <w:rFonts w:hint="eastAsia" w:asciiTheme="minorEastAsia" w:hAnsiTheme="minorEastAsia" w:cstheme="minorEastAsia"/>
          <w:kern w:val="0"/>
          <w:sz w:val="24"/>
          <w:szCs w:val="28"/>
          <w:highlight w:val="none"/>
          <w:u w:val="single"/>
        </w:rPr>
        <w:t xml:space="preserve">      年       月      日</w:t>
      </w:r>
    </w:p>
    <w:p w14:paraId="544DB84E">
      <w:pPr>
        <w:pStyle w:val="7"/>
        <w:jc w:val="center"/>
        <w:rPr>
          <w:highlight w:val="none"/>
        </w:rPr>
      </w:pPr>
      <w:r>
        <w:rPr>
          <w:rFonts w:hint="eastAsia" w:ascii="宋体" w:hAnsi="宋体" w:cs="宋体"/>
          <w:szCs w:val="24"/>
          <w:highlight w:val="none"/>
        </w:rPr>
        <w:br w:type="page"/>
      </w:r>
      <w:bookmarkStart w:id="256" w:name="_Toc528078069"/>
      <w:bookmarkEnd w:id="256"/>
      <w:bookmarkStart w:id="257" w:name="_Toc23204"/>
      <w:bookmarkStart w:id="258" w:name="_Toc31248"/>
      <w:r>
        <w:rPr>
          <w:rFonts w:hint="eastAsia"/>
          <w:highlight w:val="none"/>
        </w:rPr>
        <w:t>三、授权委托书</w:t>
      </w:r>
      <w:bookmarkEnd w:id="257"/>
      <w:bookmarkEnd w:id="258"/>
    </w:p>
    <w:p w14:paraId="44A47A14">
      <w:pPr>
        <w:spacing w:line="50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本人</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（姓名）系</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（供应商名称）的法定代表人，现委托</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（姓名）为我方代理人。代理人根据授权，以我方名义签署、澄清、说明、补正、递交、撤回、修改</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（项目名称）投标文件、签订合同和处理有关事宜，其法律后果由我方承担。</w:t>
      </w:r>
    </w:p>
    <w:p w14:paraId="74EC20C3">
      <w:pPr>
        <w:spacing w:line="500" w:lineRule="exact"/>
        <w:ind w:firstLine="480" w:firstLineChars="200"/>
        <w:rPr>
          <w:rFonts w:hint="eastAsia" w:ascii="宋体" w:hAnsi="宋体" w:eastAsia="宋体" w:cs="Times New Roman"/>
          <w:sz w:val="24"/>
          <w:szCs w:val="24"/>
          <w:highlight w:val="none"/>
          <w:u w:val="single"/>
        </w:rPr>
      </w:pPr>
      <w:r>
        <w:rPr>
          <w:rFonts w:hint="eastAsia" w:ascii="宋体" w:hAnsi="宋体" w:eastAsia="宋体" w:cs="Times New Roman"/>
          <w:sz w:val="24"/>
          <w:szCs w:val="24"/>
          <w:highlight w:val="none"/>
        </w:rPr>
        <w:t>委托期限：</w:t>
      </w:r>
      <w:r>
        <w:rPr>
          <w:rFonts w:hint="eastAsia" w:ascii="宋体" w:hAnsi="宋体" w:eastAsia="宋体" w:cs="Times New Roman"/>
          <w:sz w:val="24"/>
          <w:szCs w:val="24"/>
          <w:highlight w:val="none"/>
          <w:u w:val="single"/>
        </w:rPr>
        <w:t xml:space="preserve">                        </w:t>
      </w:r>
    </w:p>
    <w:p w14:paraId="21B1CE54">
      <w:pPr>
        <w:spacing w:line="50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代理人无转委托权。</w:t>
      </w:r>
    </w:p>
    <w:p w14:paraId="3D453F29">
      <w:pPr>
        <w:spacing w:line="50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附：法定代表人身份证复印件、被授权委托人身份证复印件</w:t>
      </w:r>
    </w:p>
    <w:p w14:paraId="2494EF26">
      <w:pPr>
        <w:spacing w:line="500" w:lineRule="exact"/>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 xml:space="preserve"> </w:t>
      </w:r>
    </w:p>
    <w:p w14:paraId="00A743D3">
      <w:pPr>
        <w:suppressAutoHyphens/>
        <w:spacing w:line="360" w:lineRule="auto"/>
        <w:ind w:firstLine="3120" w:firstLineChars="1300"/>
        <w:rPr>
          <w:rFonts w:hint="eastAsia" w:ascii="宋体" w:hAnsi="宋体" w:eastAsia="宋体" w:cs="Times New Roman"/>
          <w:kern w:val="1"/>
          <w:sz w:val="24"/>
          <w:szCs w:val="24"/>
          <w:highlight w:val="none"/>
        </w:rPr>
      </w:pPr>
    </w:p>
    <w:p w14:paraId="2BE19FEA">
      <w:pPr>
        <w:suppressAutoHyphens/>
        <w:spacing w:line="360" w:lineRule="auto"/>
        <w:ind w:firstLine="3120" w:firstLineChars="1300"/>
        <w:rPr>
          <w:rFonts w:hint="eastAsia" w:ascii="宋体" w:hAnsi="宋体" w:eastAsia="宋体" w:cs="Times New Roman"/>
          <w:kern w:val="1"/>
          <w:sz w:val="24"/>
          <w:szCs w:val="24"/>
          <w:highlight w:val="none"/>
        </w:rPr>
      </w:pPr>
    </w:p>
    <w:p w14:paraId="09C09892">
      <w:pPr>
        <w:suppressAutoHyphens/>
        <w:spacing w:line="480" w:lineRule="auto"/>
        <w:ind w:firstLine="3120" w:firstLineChars="1300"/>
        <w:rPr>
          <w:rFonts w:hint="eastAsia" w:ascii="宋体" w:hAnsi="宋体" w:eastAsia="宋体" w:cs="Times New Roman"/>
          <w:kern w:val="1"/>
          <w:sz w:val="24"/>
          <w:szCs w:val="24"/>
          <w:highlight w:val="none"/>
        </w:rPr>
      </w:pPr>
      <w:r>
        <w:rPr>
          <w:rFonts w:hint="eastAsia" w:ascii="宋体" w:hAnsi="宋体" w:eastAsia="宋体" w:cs="Times New Roman"/>
          <w:kern w:val="1"/>
          <w:sz w:val="24"/>
          <w:szCs w:val="24"/>
          <w:highlight w:val="none"/>
        </w:rPr>
        <w:t>供应商：</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（盖单位公章）</w:t>
      </w:r>
    </w:p>
    <w:p w14:paraId="3CA9DFBC">
      <w:pPr>
        <w:suppressAutoHyphens/>
        <w:spacing w:line="480" w:lineRule="auto"/>
        <w:ind w:firstLine="3120" w:firstLineChars="1300"/>
        <w:rPr>
          <w:rFonts w:hint="eastAsia" w:ascii="宋体" w:hAnsi="宋体" w:eastAsia="宋体" w:cs="Times New Roman"/>
          <w:kern w:val="1"/>
          <w:sz w:val="24"/>
          <w:szCs w:val="24"/>
          <w:highlight w:val="none"/>
        </w:rPr>
      </w:pPr>
      <w:r>
        <w:rPr>
          <w:rFonts w:hint="eastAsia" w:ascii="宋体" w:hAnsi="宋体" w:eastAsia="宋体" w:cs="Times New Roman"/>
          <w:kern w:val="1"/>
          <w:sz w:val="24"/>
          <w:szCs w:val="24"/>
          <w:highlight w:val="none"/>
        </w:rPr>
        <w:t>法定代表人：</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w:t>
      </w:r>
      <w:r>
        <w:rPr>
          <w:rFonts w:hint="eastAsia" w:ascii="宋体" w:hAnsi="宋体" w:eastAsia="宋体" w:cs="黑体"/>
          <w:bCs/>
          <w:kern w:val="0"/>
          <w:sz w:val="24"/>
          <w:szCs w:val="21"/>
          <w:highlight w:val="none"/>
        </w:rPr>
        <w:t>电子签章</w:t>
      </w:r>
      <w:r>
        <w:rPr>
          <w:rFonts w:hint="eastAsia" w:ascii="宋体" w:hAnsi="宋体" w:eastAsia="宋体" w:cs="Times New Roman"/>
          <w:kern w:val="1"/>
          <w:sz w:val="24"/>
          <w:szCs w:val="24"/>
          <w:highlight w:val="none"/>
        </w:rPr>
        <w:t>）</w:t>
      </w:r>
    </w:p>
    <w:p w14:paraId="5BF90474">
      <w:pPr>
        <w:suppressAutoHyphens/>
        <w:spacing w:line="480" w:lineRule="auto"/>
        <w:ind w:firstLine="3120" w:firstLineChars="1300"/>
        <w:rPr>
          <w:rFonts w:hint="eastAsia" w:ascii="宋体" w:hAnsi="宋体" w:eastAsia="宋体" w:cs="Times New Roman"/>
          <w:kern w:val="1"/>
          <w:sz w:val="24"/>
          <w:szCs w:val="24"/>
          <w:highlight w:val="none"/>
          <w:u w:val="single"/>
        </w:rPr>
      </w:pPr>
      <w:r>
        <w:rPr>
          <w:rFonts w:hint="eastAsia" w:ascii="宋体" w:hAnsi="宋体" w:eastAsia="宋体" w:cs="仿宋_GB2312"/>
          <w:kern w:val="0"/>
          <w:sz w:val="24"/>
          <w:szCs w:val="24"/>
          <w:highlight w:val="none"/>
        </w:rPr>
        <w:t>身份证号码：</w:t>
      </w:r>
      <w:r>
        <w:rPr>
          <w:rFonts w:hint="eastAsia" w:ascii="宋体" w:hAnsi="宋体" w:eastAsia="宋体" w:cs="仿宋_GB2312"/>
          <w:kern w:val="0"/>
          <w:sz w:val="24"/>
          <w:szCs w:val="24"/>
          <w:highlight w:val="none"/>
          <w:u w:val="single"/>
        </w:rPr>
        <w:t xml:space="preserve">                  </w:t>
      </w:r>
      <w:r>
        <w:rPr>
          <w:rFonts w:hint="eastAsia" w:ascii="宋体" w:hAnsi="宋体" w:eastAsia="宋体" w:cs="Times New Roman"/>
          <w:kern w:val="1"/>
          <w:sz w:val="24"/>
          <w:szCs w:val="24"/>
          <w:highlight w:val="none"/>
          <w:u w:val="single"/>
        </w:rPr>
        <w:t xml:space="preserve">   </w:t>
      </w:r>
    </w:p>
    <w:p w14:paraId="7B2CAD81">
      <w:pPr>
        <w:suppressAutoHyphens/>
        <w:spacing w:line="480" w:lineRule="auto"/>
        <w:ind w:firstLine="3120" w:firstLineChars="1300"/>
        <w:rPr>
          <w:rFonts w:hint="eastAsia" w:ascii="宋体" w:hAnsi="宋体" w:eastAsia="宋体" w:cs="Times New Roman"/>
          <w:kern w:val="1"/>
          <w:sz w:val="24"/>
          <w:szCs w:val="24"/>
          <w:highlight w:val="none"/>
          <w:u w:val="single"/>
        </w:rPr>
      </w:pPr>
      <w:r>
        <w:rPr>
          <w:rFonts w:hint="eastAsia" w:ascii="宋体" w:hAnsi="宋体" w:eastAsia="宋体" w:cs="Times New Roman"/>
          <w:kern w:val="1"/>
          <w:sz w:val="24"/>
          <w:szCs w:val="24"/>
          <w:highlight w:val="none"/>
        </w:rPr>
        <w:t>联系电话：</w:t>
      </w:r>
      <w:r>
        <w:rPr>
          <w:rFonts w:hint="eastAsia" w:ascii="宋体" w:hAnsi="宋体" w:eastAsia="宋体" w:cs="仿宋_GB2312"/>
          <w:kern w:val="0"/>
          <w:sz w:val="24"/>
          <w:szCs w:val="24"/>
          <w:highlight w:val="none"/>
          <w:u w:val="single"/>
        </w:rPr>
        <w:t xml:space="preserve">                  </w:t>
      </w:r>
      <w:r>
        <w:rPr>
          <w:rFonts w:hint="eastAsia" w:ascii="宋体" w:hAnsi="宋体" w:eastAsia="宋体" w:cs="Times New Roman"/>
          <w:kern w:val="1"/>
          <w:sz w:val="24"/>
          <w:szCs w:val="24"/>
          <w:highlight w:val="none"/>
          <w:u w:val="single"/>
        </w:rPr>
        <w:t xml:space="preserve">   </w:t>
      </w:r>
    </w:p>
    <w:p w14:paraId="7C09261F">
      <w:pPr>
        <w:suppressAutoHyphens/>
        <w:spacing w:line="480" w:lineRule="auto"/>
        <w:ind w:firstLine="3120" w:firstLineChars="1300"/>
        <w:rPr>
          <w:rFonts w:hint="eastAsia" w:ascii="宋体" w:hAnsi="宋体" w:eastAsia="宋体" w:cs="Times New Roman"/>
          <w:kern w:val="1"/>
          <w:sz w:val="24"/>
          <w:szCs w:val="24"/>
          <w:highlight w:val="none"/>
        </w:rPr>
      </w:pPr>
      <w:r>
        <w:rPr>
          <w:rFonts w:hint="eastAsia" w:ascii="宋体" w:hAnsi="宋体" w:eastAsia="宋体" w:cs="Times New Roman"/>
          <w:kern w:val="1"/>
          <w:sz w:val="24"/>
          <w:szCs w:val="24"/>
          <w:highlight w:val="none"/>
        </w:rPr>
        <w:t>委托代理人：</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 xml:space="preserve">（签字） </w:t>
      </w:r>
    </w:p>
    <w:p w14:paraId="060861A3">
      <w:pPr>
        <w:suppressAutoHyphens/>
        <w:spacing w:line="480" w:lineRule="auto"/>
        <w:ind w:firstLine="3120" w:firstLineChars="1300"/>
        <w:rPr>
          <w:rFonts w:hint="eastAsia" w:ascii="宋体" w:hAnsi="宋体" w:eastAsia="宋体" w:cs="Times New Roman"/>
          <w:kern w:val="1"/>
          <w:sz w:val="24"/>
          <w:szCs w:val="24"/>
          <w:highlight w:val="none"/>
          <w:u w:val="single"/>
        </w:rPr>
      </w:pPr>
      <w:r>
        <w:rPr>
          <w:rFonts w:hint="eastAsia" w:ascii="宋体" w:hAnsi="宋体" w:eastAsia="宋体" w:cs="Times New Roman"/>
          <w:kern w:val="1"/>
          <w:sz w:val="24"/>
          <w:szCs w:val="24"/>
          <w:highlight w:val="none"/>
        </w:rPr>
        <w:t>身份证号码：</w:t>
      </w:r>
      <w:r>
        <w:rPr>
          <w:rFonts w:hint="eastAsia" w:ascii="宋体" w:hAnsi="宋体" w:eastAsia="宋体" w:cs="Times New Roman"/>
          <w:kern w:val="1"/>
          <w:sz w:val="24"/>
          <w:szCs w:val="24"/>
          <w:highlight w:val="none"/>
          <w:u w:val="single"/>
        </w:rPr>
        <w:t xml:space="preserve">                      </w:t>
      </w:r>
    </w:p>
    <w:p w14:paraId="0A964CC3">
      <w:pPr>
        <w:suppressAutoHyphens/>
        <w:spacing w:line="480" w:lineRule="auto"/>
        <w:ind w:firstLine="3120" w:firstLineChars="1300"/>
        <w:rPr>
          <w:rFonts w:hint="eastAsia" w:ascii="宋体" w:hAnsi="宋体" w:eastAsia="宋体" w:cs="Times New Roman"/>
          <w:kern w:val="1"/>
          <w:sz w:val="24"/>
          <w:szCs w:val="24"/>
          <w:highlight w:val="none"/>
          <w:u w:val="single"/>
        </w:rPr>
      </w:pPr>
      <w:r>
        <w:rPr>
          <w:rFonts w:hint="eastAsia" w:ascii="宋体" w:hAnsi="宋体" w:eastAsia="宋体" w:cs="Times New Roman"/>
          <w:kern w:val="1"/>
          <w:sz w:val="24"/>
          <w:szCs w:val="24"/>
          <w:highlight w:val="none"/>
        </w:rPr>
        <w:t>联系电话：</w:t>
      </w:r>
      <w:r>
        <w:rPr>
          <w:rFonts w:hint="eastAsia" w:ascii="宋体" w:hAnsi="宋体" w:eastAsia="宋体" w:cs="仿宋_GB2312"/>
          <w:kern w:val="0"/>
          <w:sz w:val="24"/>
          <w:szCs w:val="24"/>
          <w:highlight w:val="none"/>
          <w:u w:val="single"/>
        </w:rPr>
        <w:t xml:space="preserve">                  </w:t>
      </w:r>
      <w:r>
        <w:rPr>
          <w:rFonts w:hint="eastAsia" w:ascii="宋体" w:hAnsi="宋体" w:eastAsia="宋体" w:cs="Times New Roman"/>
          <w:kern w:val="1"/>
          <w:sz w:val="24"/>
          <w:szCs w:val="24"/>
          <w:highlight w:val="none"/>
          <w:u w:val="single"/>
        </w:rPr>
        <w:t xml:space="preserve">      </w:t>
      </w:r>
    </w:p>
    <w:p w14:paraId="430B7E33">
      <w:pPr>
        <w:suppressAutoHyphens/>
        <w:spacing w:line="360" w:lineRule="auto"/>
        <w:ind w:firstLine="3120" w:firstLineChars="1300"/>
        <w:rPr>
          <w:rFonts w:hint="eastAsia" w:ascii="宋体" w:hAnsi="宋体" w:eastAsia="宋体" w:cs="Times New Roman"/>
          <w:kern w:val="1"/>
          <w:sz w:val="24"/>
          <w:szCs w:val="24"/>
          <w:highlight w:val="none"/>
        </w:rPr>
      </w:pPr>
    </w:p>
    <w:p w14:paraId="2AF54E8F">
      <w:pPr>
        <w:suppressAutoHyphens/>
        <w:spacing w:line="360" w:lineRule="auto"/>
        <w:ind w:firstLine="4920" w:firstLineChars="2050"/>
        <w:rPr>
          <w:rFonts w:hint="eastAsia" w:ascii="宋体" w:hAnsi="宋体" w:eastAsia="宋体" w:cs="Times New Roman"/>
          <w:kern w:val="1"/>
          <w:sz w:val="24"/>
          <w:szCs w:val="24"/>
          <w:highlight w:val="none"/>
        </w:rPr>
      </w:pP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年</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月</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日</w:t>
      </w:r>
    </w:p>
    <w:p w14:paraId="1FD38A3C">
      <w:pPr>
        <w:widowControl/>
        <w:jc w:val="left"/>
        <w:rPr>
          <w:rFonts w:hint="eastAsia" w:ascii="宋体" w:hAnsi="宋体" w:eastAsia="宋体" w:cs="Times New Roman"/>
          <w:kern w:val="0"/>
          <w:sz w:val="24"/>
          <w:szCs w:val="24"/>
          <w:highlight w:val="none"/>
        </w:rPr>
      </w:pPr>
      <w:r>
        <w:rPr>
          <w:rFonts w:hint="eastAsia" w:ascii="宋体" w:hAnsi="宋体" w:eastAsia="宋体" w:cs="Times New Roman"/>
          <w:kern w:val="0"/>
          <w:sz w:val="24"/>
          <w:szCs w:val="24"/>
          <w:highlight w:val="none"/>
        </w:rPr>
        <w:t xml:space="preserve"> </w:t>
      </w:r>
    </w:p>
    <w:p w14:paraId="116AE1D0">
      <w:pPr>
        <w:widowControl/>
        <w:jc w:val="left"/>
        <w:rPr>
          <w:rFonts w:hint="eastAsia" w:ascii="宋体" w:hAnsi="宋体" w:eastAsia="宋体" w:cs="Times New Roman"/>
          <w:kern w:val="0"/>
          <w:sz w:val="24"/>
          <w:szCs w:val="24"/>
          <w:highlight w:val="none"/>
        </w:rPr>
      </w:pPr>
      <w:r>
        <w:rPr>
          <w:rFonts w:hint="eastAsia" w:ascii="宋体" w:hAnsi="宋体" w:eastAsia="宋体" w:cs="Times New Roman"/>
          <w:kern w:val="0"/>
          <w:sz w:val="24"/>
          <w:szCs w:val="24"/>
          <w:highlight w:val="none"/>
        </w:rPr>
        <w:t xml:space="preserve"> </w:t>
      </w:r>
    </w:p>
    <w:p w14:paraId="4C659D03">
      <w:pPr>
        <w:widowControl/>
        <w:jc w:val="left"/>
        <w:rPr>
          <w:rFonts w:hint="eastAsia" w:ascii="宋体" w:hAnsi="宋体" w:eastAsia="宋体" w:cs="Times New Roman"/>
          <w:kern w:val="0"/>
          <w:sz w:val="24"/>
          <w:szCs w:val="24"/>
          <w:highlight w:val="none"/>
        </w:rPr>
      </w:pPr>
      <w:r>
        <w:rPr>
          <w:rFonts w:hint="eastAsia" w:ascii="宋体" w:hAnsi="宋体" w:eastAsia="宋体" w:cs="Times New Roman"/>
          <w:kern w:val="0"/>
          <w:sz w:val="24"/>
          <w:szCs w:val="24"/>
          <w:highlight w:val="none"/>
        </w:rPr>
        <w:t xml:space="preserve"> </w:t>
      </w:r>
    </w:p>
    <w:p w14:paraId="71455B9F">
      <w:pPr>
        <w:widowControl/>
        <w:ind w:firstLine="360"/>
        <w:jc w:val="left"/>
        <w:rPr>
          <w:rFonts w:hint="eastAsia" w:ascii="宋体" w:hAnsi="宋体" w:eastAsia="宋体" w:cs="宋体"/>
          <w:b/>
          <w:bCs/>
          <w:spacing w:val="10"/>
          <w:kern w:val="0"/>
          <w:sz w:val="24"/>
          <w:highlight w:val="none"/>
        </w:rPr>
      </w:pPr>
    </w:p>
    <w:p w14:paraId="0CD8D34F">
      <w:pPr>
        <w:spacing w:line="560" w:lineRule="exact"/>
        <w:rPr>
          <w:rFonts w:hint="eastAsia" w:asciiTheme="minorEastAsia" w:hAnsiTheme="minorEastAsia" w:cstheme="minorEastAsia"/>
          <w:b/>
          <w:bCs/>
          <w:kern w:val="0"/>
          <w:sz w:val="28"/>
          <w:szCs w:val="28"/>
          <w:highlight w:val="none"/>
        </w:rPr>
      </w:pPr>
    </w:p>
    <w:p w14:paraId="752F2A94">
      <w:pPr>
        <w:rPr>
          <w:rFonts w:hint="eastAsia" w:ascii="宋体" w:hAnsi="宋体" w:cs="宋体"/>
          <w:b/>
          <w:bCs/>
          <w:sz w:val="24"/>
          <w:highlight w:val="none"/>
        </w:rPr>
      </w:pPr>
      <w:r>
        <w:rPr>
          <w:rFonts w:hint="eastAsia" w:ascii="宋体" w:hAnsi="宋体" w:cs="宋体"/>
          <w:b/>
          <w:bCs/>
          <w:sz w:val="24"/>
          <w:highlight w:val="none"/>
        </w:rPr>
        <w:t xml:space="preserve"> </w:t>
      </w:r>
    </w:p>
    <w:p w14:paraId="2D816867">
      <w:pPr>
        <w:pStyle w:val="7"/>
        <w:jc w:val="center"/>
        <w:rPr>
          <w:highlight w:val="none"/>
        </w:rPr>
      </w:pPr>
      <w:bookmarkStart w:id="259" w:name="_Toc10352"/>
      <w:bookmarkEnd w:id="259"/>
      <w:r>
        <w:rPr>
          <w:rFonts w:hint="eastAsia" w:ascii="宋体" w:hAnsi="宋体" w:cs="宋体"/>
          <w:szCs w:val="24"/>
          <w:highlight w:val="none"/>
        </w:rPr>
        <w:br w:type="page"/>
      </w:r>
      <w:bookmarkStart w:id="260" w:name="_Toc14248"/>
      <w:r>
        <w:rPr>
          <w:rFonts w:hint="eastAsia"/>
          <w:highlight w:val="none"/>
        </w:rPr>
        <w:t>四、投标承诺函</w:t>
      </w:r>
      <w:bookmarkEnd w:id="260"/>
    </w:p>
    <w:p w14:paraId="588EFBFA">
      <w:pPr>
        <w:spacing w:line="360" w:lineRule="auto"/>
        <w:ind w:firstLine="480" w:firstLineChars="200"/>
        <w:rPr>
          <w:sz w:val="24"/>
          <w:szCs w:val="28"/>
          <w:highlight w:val="none"/>
        </w:rPr>
      </w:pPr>
      <w:r>
        <w:rPr>
          <w:rFonts w:hint="eastAsia"/>
          <w:sz w:val="24"/>
          <w:szCs w:val="28"/>
          <w:highlight w:val="none"/>
        </w:rPr>
        <w:t xml:space="preserve">致 （招标人）：                     </w:t>
      </w:r>
    </w:p>
    <w:p w14:paraId="00658762">
      <w:pPr>
        <w:spacing w:line="360" w:lineRule="auto"/>
        <w:ind w:firstLine="480" w:firstLineChars="200"/>
        <w:rPr>
          <w:sz w:val="24"/>
          <w:szCs w:val="28"/>
          <w:highlight w:val="none"/>
        </w:rPr>
      </w:pPr>
      <w:r>
        <w:rPr>
          <w:rFonts w:hint="eastAsia"/>
          <w:sz w:val="24"/>
          <w:szCs w:val="28"/>
          <w:highlight w:val="none"/>
        </w:rPr>
        <w:t>我公司作为本次采购项目的供应商，根据招标文件要求，现郑重承诺如下：</w:t>
      </w:r>
    </w:p>
    <w:p w14:paraId="52075ABF">
      <w:pPr>
        <w:spacing w:line="360" w:lineRule="auto"/>
        <w:ind w:firstLine="480" w:firstLineChars="200"/>
        <w:rPr>
          <w:sz w:val="24"/>
          <w:szCs w:val="28"/>
          <w:highlight w:val="none"/>
        </w:rPr>
      </w:pPr>
      <w:r>
        <w:rPr>
          <w:rFonts w:hint="eastAsia"/>
          <w:sz w:val="24"/>
          <w:szCs w:val="28"/>
          <w:highlight w:val="none"/>
        </w:rPr>
        <w:t>一、具备《中华人民共和国政府采购法》第二十二条第一款和本项目规定的条件：</w:t>
      </w:r>
    </w:p>
    <w:p w14:paraId="7F31284D">
      <w:pPr>
        <w:spacing w:line="360" w:lineRule="auto"/>
        <w:ind w:firstLine="480" w:firstLineChars="200"/>
        <w:rPr>
          <w:sz w:val="24"/>
          <w:szCs w:val="28"/>
          <w:highlight w:val="none"/>
        </w:rPr>
      </w:pPr>
      <w:r>
        <w:rPr>
          <w:rFonts w:hint="eastAsia"/>
          <w:sz w:val="24"/>
          <w:szCs w:val="28"/>
          <w:highlight w:val="none"/>
        </w:rPr>
        <w:t>（一）具有独立承担民事责任的能力；</w:t>
      </w:r>
    </w:p>
    <w:p w14:paraId="1BE4152D">
      <w:pPr>
        <w:spacing w:line="360" w:lineRule="auto"/>
        <w:ind w:firstLine="480" w:firstLineChars="200"/>
        <w:rPr>
          <w:sz w:val="24"/>
          <w:szCs w:val="28"/>
          <w:highlight w:val="none"/>
        </w:rPr>
      </w:pPr>
      <w:r>
        <w:rPr>
          <w:rFonts w:hint="eastAsia"/>
          <w:sz w:val="24"/>
          <w:szCs w:val="28"/>
          <w:highlight w:val="none"/>
        </w:rPr>
        <w:t>（二）具有良好的商业信誉和健全的财务会计制度；</w:t>
      </w:r>
    </w:p>
    <w:p w14:paraId="180D14ED">
      <w:pPr>
        <w:spacing w:line="360" w:lineRule="auto"/>
        <w:ind w:firstLine="480" w:firstLineChars="200"/>
        <w:rPr>
          <w:sz w:val="24"/>
          <w:szCs w:val="28"/>
          <w:highlight w:val="none"/>
        </w:rPr>
      </w:pPr>
      <w:r>
        <w:rPr>
          <w:rFonts w:hint="eastAsia"/>
          <w:sz w:val="24"/>
          <w:szCs w:val="28"/>
          <w:highlight w:val="none"/>
        </w:rPr>
        <w:t>（三）具有履行合同所必需的设备和专业技术能力；</w:t>
      </w:r>
    </w:p>
    <w:p w14:paraId="48E876B4">
      <w:pPr>
        <w:spacing w:line="360" w:lineRule="auto"/>
        <w:ind w:firstLine="480" w:firstLineChars="200"/>
        <w:rPr>
          <w:sz w:val="24"/>
          <w:szCs w:val="28"/>
          <w:highlight w:val="none"/>
        </w:rPr>
      </w:pPr>
      <w:r>
        <w:rPr>
          <w:rFonts w:hint="eastAsia"/>
          <w:sz w:val="24"/>
          <w:szCs w:val="28"/>
          <w:highlight w:val="none"/>
        </w:rPr>
        <w:t>（四）有依法缴纳税收的良好记录；</w:t>
      </w:r>
    </w:p>
    <w:p w14:paraId="191EB07C">
      <w:pPr>
        <w:spacing w:line="360" w:lineRule="auto"/>
        <w:ind w:firstLine="480" w:firstLineChars="200"/>
        <w:rPr>
          <w:sz w:val="24"/>
          <w:szCs w:val="28"/>
          <w:highlight w:val="none"/>
        </w:rPr>
      </w:pPr>
      <w:r>
        <w:rPr>
          <w:rFonts w:hint="eastAsia"/>
          <w:sz w:val="24"/>
          <w:szCs w:val="28"/>
          <w:highlight w:val="none"/>
        </w:rPr>
        <w:t>（五）参加政府采购活动前三年内，在经营活动中没有重大违法记录；</w:t>
      </w:r>
    </w:p>
    <w:p w14:paraId="49653766">
      <w:pPr>
        <w:spacing w:line="360" w:lineRule="auto"/>
        <w:ind w:firstLine="480" w:firstLineChars="200"/>
        <w:rPr>
          <w:sz w:val="24"/>
          <w:szCs w:val="28"/>
          <w:highlight w:val="none"/>
        </w:rPr>
      </w:pPr>
      <w:r>
        <w:rPr>
          <w:rFonts w:hint="eastAsia"/>
          <w:sz w:val="24"/>
          <w:szCs w:val="28"/>
          <w:highlight w:val="none"/>
        </w:rPr>
        <w:t>（六）法律、行政法规规定的其他条件；</w:t>
      </w:r>
    </w:p>
    <w:p w14:paraId="4B0B204B">
      <w:pPr>
        <w:spacing w:line="360" w:lineRule="auto"/>
        <w:ind w:firstLine="480" w:firstLineChars="200"/>
        <w:rPr>
          <w:sz w:val="24"/>
          <w:szCs w:val="28"/>
          <w:highlight w:val="none"/>
        </w:rPr>
      </w:pPr>
      <w:r>
        <w:rPr>
          <w:rFonts w:hint="eastAsia"/>
          <w:sz w:val="24"/>
          <w:szCs w:val="28"/>
          <w:highlight w:val="none"/>
        </w:rPr>
        <w:t>（七）根据采购项目提出的特殊条件。</w:t>
      </w:r>
    </w:p>
    <w:p w14:paraId="04E2A7BB">
      <w:pPr>
        <w:spacing w:line="360" w:lineRule="auto"/>
        <w:ind w:firstLine="480" w:firstLineChars="200"/>
        <w:rPr>
          <w:sz w:val="24"/>
          <w:szCs w:val="28"/>
          <w:highlight w:val="none"/>
        </w:rPr>
      </w:pPr>
      <w:r>
        <w:rPr>
          <w:rFonts w:hint="eastAsia"/>
          <w:sz w:val="24"/>
          <w:szCs w:val="28"/>
          <w:highlight w:val="none"/>
        </w:rPr>
        <w:t>二、完全接受和满足本项目招标文件中规定的实质性要求，如对竞招标文件有异议，已经在投标截止时间届满前依法进行维权救济，不存在对招标文件有异议的同时又参加投标以求侥幸中标或者为实现其他非法目的的行为。</w:t>
      </w:r>
    </w:p>
    <w:p w14:paraId="0649532E">
      <w:pPr>
        <w:spacing w:line="360" w:lineRule="auto"/>
        <w:ind w:firstLine="480" w:firstLineChars="200"/>
        <w:rPr>
          <w:sz w:val="24"/>
          <w:szCs w:val="28"/>
          <w:highlight w:val="none"/>
        </w:rPr>
      </w:pPr>
      <w:r>
        <w:rPr>
          <w:rFonts w:hint="eastAsia"/>
          <w:sz w:val="24"/>
          <w:szCs w:val="28"/>
          <w:highlight w:val="none"/>
        </w:rPr>
        <w:t>三、参加本次招标采购活动，不存在与单位负责人为同一人或者存在直接控股、管理关系的其他供应商参与同一合同项下的政府采购活动的行为。</w:t>
      </w:r>
    </w:p>
    <w:p w14:paraId="4608BF90">
      <w:pPr>
        <w:spacing w:line="360" w:lineRule="auto"/>
        <w:ind w:firstLine="480" w:firstLineChars="200"/>
        <w:rPr>
          <w:sz w:val="24"/>
          <w:szCs w:val="28"/>
          <w:highlight w:val="none"/>
        </w:rPr>
      </w:pPr>
      <w:r>
        <w:rPr>
          <w:rFonts w:hint="eastAsia"/>
          <w:sz w:val="24"/>
          <w:szCs w:val="28"/>
          <w:highlight w:val="none"/>
        </w:rPr>
        <w:t>四、参加本次招标采购活动，不存在为采购项目提供整体设计、规范编制或者项目管理、监理、检测等服务的行为。</w:t>
      </w:r>
    </w:p>
    <w:p w14:paraId="58A9C576">
      <w:pPr>
        <w:spacing w:line="360" w:lineRule="auto"/>
        <w:ind w:firstLine="480" w:firstLineChars="200"/>
        <w:rPr>
          <w:sz w:val="24"/>
          <w:szCs w:val="28"/>
          <w:highlight w:val="none"/>
        </w:rPr>
      </w:pPr>
      <w:r>
        <w:rPr>
          <w:rFonts w:hint="eastAsia"/>
          <w:sz w:val="24"/>
          <w:szCs w:val="28"/>
          <w:highlight w:val="none"/>
        </w:rPr>
        <w:t>五、参加本次招标采购活动，不存在和其他供应商在同一合同项下的采购项目中，同时委托同一个自然人、同一家庭的人员、同一单位的人员作为代理人的行为。</w:t>
      </w:r>
    </w:p>
    <w:p w14:paraId="04092B05">
      <w:pPr>
        <w:spacing w:line="360" w:lineRule="auto"/>
        <w:ind w:firstLine="480" w:firstLineChars="200"/>
        <w:rPr>
          <w:sz w:val="24"/>
          <w:szCs w:val="28"/>
          <w:highlight w:val="none"/>
        </w:rPr>
      </w:pPr>
      <w:r>
        <w:rPr>
          <w:rFonts w:hint="eastAsia"/>
          <w:sz w:val="24"/>
          <w:szCs w:val="28"/>
          <w:highlight w:val="none"/>
        </w:rPr>
        <w:t>六、供应商参加本次政府采购活动要求在近三年内供应商和其法定代表人没有行贿犯罪行为。</w:t>
      </w:r>
    </w:p>
    <w:p w14:paraId="6EC4088D">
      <w:pPr>
        <w:spacing w:line="360" w:lineRule="auto"/>
        <w:ind w:firstLine="480" w:firstLineChars="200"/>
        <w:rPr>
          <w:sz w:val="24"/>
          <w:szCs w:val="28"/>
          <w:highlight w:val="none"/>
        </w:rPr>
      </w:pPr>
      <w:r>
        <w:rPr>
          <w:rFonts w:hint="eastAsia"/>
          <w:sz w:val="24"/>
          <w:szCs w:val="28"/>
          <w:highlight w:val="none"/>
        </w:rPr>
        <w:t>七、参加本次招标采购活动，不存在联合体投标。</w:t>
      </w:r>
    </w:p>
    <w:p w14:paraId="7188E9BA">
      <w:pPr>
        <w:spacing w:line="360" w:lineRule="auto"/>
        <w:ind w:firstLine="480" w:firstLineChars="200"/>
        <w:rPr>
          <w:sz w:val="24"/>
          <w:szCs w:val="28"/>
          <w:highlight w:val="none"/>
        </w:rPr>
      </w:pPr>
      <w:r>
        <w:rPr>
          <w:rFonts w:hint="eastAsia"/>
          <w:sz w:val="24"/>
          <w:szCs w:val="28"/>
          <w:highlight w:val="none"/>
        </w:rPr>
        <w:t>八、投标文件中提供的能够给予我公司带来优惠、好处的任何材料资料和技术、服务、商务等响应承诺情况都是真实的、有效的、合法的。</w:t>
      </w:r>
    </w:p>
    <w:p w14:paraId="2C7B82FA">
      <w:pPr>
        <w:spacing w:line="360" w:lineRule="auto"/>
        <w:ind w:firstLine="480" w:firstLineChars="200"/>
        <w:rPr>
          <w:sz w:val="24"/>
          <w:szCs w:val="28"/>
          <w:highlight w:val="none"/>
        </w:rPr>
      </w:pPr>
      <w:r>
        <w:rPr>
          <w:rFonts w:hint="eastAsia"/>
          <w:sz w:val="24"/>
          <w:szCs w:val="28"/>
          <w:highlight w:val="none"/>
        </w:rPr>
        <w:t>九、如本项目评标过程中需要提供样品，则我公司提供的样品即为中标后将要提供的中标产品，我公司对提供样品的性能和质量负责，因样品存在缺陷或者不符合招标文件导致未能中标的，我公司愿意承担相应不利后果。（如提供样品）</w:t>
      </w:r>
    </w:p>
    <w:p w14:paraId="195C74C8">
      <w:pPr>
        <w:spacing w:line="360" w:lineRule="auto"/>
        <w:ind w:firstLine="480" w:firstLineChars="200"/>
        <w:rPr>
          <w:sz w:val="24"/>
          <w:szCs w:val="28"/>
          <w:highlight w:val="none"/>
        </w:rPr>
      </w:pPr>
      <w:r>
        <w:rPr>
          <w:rFonts w:hint="eastAsia"/>
          <w:sz w:val="24"/>
          <w:szCs w:val="28"/>
          <w:highlight w:val="none"/>
        </w:rPr>
        <w:t>十、存在以下行为之一的愿意接受相关部门的处理：</w:t>
      </w:r>
    </w:p>
    <w:p w14:paraId="0AF8ECD5">
      <w:pPr>
        <w:spacing w:line="360" w:lineRule="auto"/>
        <w:ind w:firstLine="480" w:firstLineChars="200"/>
        <w:rPr>
          <w:sz w:val="24"/>
          <w:szCs w:val="28"/>
          <w:highlight w:val="none"/>
        </w:rPr>
      </w:pPr>
      <w:r>
        <w:rPr>
          <w:rFonts w:hint="eastAsia"/>
          <w:sz w:val="24"/>
          <w:szCs w:val="28"/>
          <w:highlight w:val="none"/>
        </w:rPr>
        <w:t>（一）投标有效期内撤销投标文件的；</w:t>
      </w:r>
    </w:p>
    <w:p w14:paraId="0AA2687F">
      <w:pPr>
        <w:spacing w:line="360" w:lineRule="auto"/>
        <w:ind w:firstLine="480" w:firstLineChars="200"/>
        <w:rPr>
          <w:sz w:val="24"/>
          <w:szCs w:val="28"/>
          <w:highlight w:val="none"/>
        </w:rPr>
      </w:pPr>
      <w:r>
        <w:rPr>
          <w:rFonts w:hint="eastAsia"/>
          <w:sz w:val="24"/>
          <w:szCs w:val="28"/>
          <w:highlight w:val="none"/>
        </w:rPr>
        <w:t>（二）在招标人确定中标人以前放弃中标候选资格的；</w:t>
      </w:r>
    </w:p>
    <w:p w14:paraId="138F7DB2">
      <w:pPr>
        <w:spacing w:line="360" w:lineRule="auto"/>
        <w:ind w:firstLine="480" w:firstLineChars="200"/>
        <w:rPr>
          <w:sz w:val="24"/>
          <w:szCs w:val="28"/>
          <w:highlight w:val="none"/>
        </w:rPr>
      </w:pPr>
      <w:r>
        <w:rPr>
          <w:rFonts w:hint="eastAsia"/>
          <w:sz w:val="24"/>
          <w:szCs w:val="28"/>
          <w:highlight w:val="none"/>
        </w:rPr>
        <w:t>（三）由于中标人的原因未能按照招标文件的规定与招标人签订合同；</w:t>
      </w:r>
    </w:p>
    <w:p w14:paraId="02D5D9EE">
      <w:pPr>
        <w:spacing w:line="360" w:lineRule="auto"/>
        <w:ind w:firstLine="480" w:firstLineChars="200"/>
        <w:rPr>
          <w:sz w:val="24"/>
          <w:szCs w:val="28"/>
          <w:highlight w:val="none"/>
        </w:rPr>
      </w:pPr>
      <w:r>
        <w:rPr>
          <w:rFonts w:hint="eastAsia"/>
          <w:sz w:val="24"/>
          <w:szCs w:val="28"/>
          <w:highlight w:val="none"/>
        </w:rPr>
        <w:t>（四）在投标文件中提供虚假材料谋取中标；</w:t>
      </w:r>
    </w:p>
    <w:p w14:paraId="61161EC7">
      <w:pPr>
        <w:spacing w:line="360" w:lineRule="auto"/>
        <w:ind w:firstLine="480" w:firstLineChars="200"/>
        <w:rPr>
          <w:sz w:val="24"/>
          <w:szCs w:val="28"/>
          <w:highlight w:val="none"/>
        </w:rPr>
      </w:pPr>
      <w:r>
        <w:rPr>
          <w:rFonts w:hint="eastAsia"/>
          <w:sz w:val="24"/>
          <w:szCs w:val="28"/>
          <w:highlight w:val="none"/>
        </w:rPr>
        <w:t>（五）与招标人、其他供应商或者招标代理机构恶意串通的；</w:t>
      </w:r>
    </w:p>
    <w:p w14:paraId="28A7B5A7">
      <w:pPr>
        <w:spacing w:line="360" w:lineRule="auto"/>
        <w:ind w:firstLine="480" w:firstLineChars="200"/>
        <w:rPr>
          <w:sz w:val="24"/>
          <w:szCs w:val="28"/>
          <w:highlight w:val="none"/>
        </w:rPr>
      </w:pPr>
      <w:r>
        <w:rPr>
          <w:rFonts w:hint="eastAsia"/>
          <w:sz w:val="24"/>
          <w:szCs w:val="28"/>
          <w:highlight w:val="none"/>
        </w:rPr>
        <w:t>（六）投标有效期内，供应商在政府采购活动中有违法、违规、违纪行为。由此产生的一切法律后果和责任由我公司承担。我公司声明放弃对此提出任何异议和追索的权利。</w:t>
      </w:r>
    </w:p>
    <w:p w14:paraId="44F08DBA">
      <w:pPr>
        <w:spacing w:line="360" w:lineRule="auto"/>
        <w:ind w:firstLine="480" w:firstLineChars="200"/>
        <w:rPr>
          <w:sz w:val="24"/>
          <w:szCs w:val="28"/>
          <w:highlight w:val="none"/>
        </w:rPr>
      </w:pPr>
      <w:r>
        <w:rPr>
          <w:rFonts w:hint="eastAsia"/>
          <w:sz w:val="24"/>
          <w:szCs w:val="28"/>
          <w:highlight w:val="none"/>
        </w:rPr>
        <w:t>本公司对上述承诺的内容事项真实性负责。如经查实上述承诺的内容事项存在虚假，我公司愿意接受以提供虚假材料谋取中标追究法律责任。</w:t>
      </w:r>
    </w:p>
    <w:p w14:paraId="5B79EC0A">
      <w:pPr>
        <w:spacing w:line="360" w:lineRule="auto"/>
        <w:ind w:firstLine="480" w:firstLineChars="200"/>
        <w:rPr>
          <w:sz w:val="24"/>
          <w:szCs w:val="28"/>
          <w:highlight w:val="none"/>
        </w:rPr>
      </w:pPr>
    </w:p>
    <w:p w14:paraId="6F6122CE">
      <w:pPr>
        <w:spacing w:line="360" w:lineRule="auto"/>
        <w:ind w:firstLine="480" w:firstLineChars="200"/>
        <w:rPr>
          <w:sz w:val="24"/>
          <w:szCs w:val="28"/>
          <w:highlight w:val="none"/>
        </w:rPr>
      </w:pPr>
      <w:bookmarkStart w:id="261" w:name="五、磋商报价明细表"/>
      <w:bookmarkEnd w:id="261"/>
    </w:p>
    <w:p w14:paraId="7C813D9B">
      <w:pPr>
        <w:spacing w:line="360" w:lineRule="auto"/>
        <w:ind w:firstLine="480" w:firstLineChars="200"/>
        <w:rPr>
          <w:sz w:val="24"/>
          <w:szCs w:val="28"/>
          <w:highlight w:val="none"/>
        </w:rPr>
      </w:pPr>
      <w:r>
        <w:rPr>
          <w:rFonts w:hint="eastAsia"/>
          <w:sz w:val="24"/>
          <w:szCs w:val="28"/>
          <w:highlight w:val="none"/>
        </w:rPr>
        <w:t>供应商：                      （盖单位公章）</w:t>
      </w:r>
    </w:p>
    <w:p w14:paraId="05255E6B">
      <w:pPr>
        <w:spacing w:line="360" w:lineRule="auto"/>
        <w:ind w:firstLine="480" w:firstLineChars="200"/>
        <w:rPr>
          <w:sz w:val="24"/>
          <w:szCs w:val="28"/>
          <w:highlight w:val="none"/>
        </w:rPr>
      </w:pPr>
      <w:r>
        <w:rPr>
          <w:rFonts w:hint="eastAsia"/>
          <w:sz w:val="24"/>
          <w:szCs w:val="28"/>
          <w:highlight w:val="none"/>
        </w:rPr>
        <w:t>法定代表人：              （电子签章）</w:t>
      </w:r>
    </w:p>
    <w:p w14:paraId="05A3F322">
      <w:pPr>
        <w:spacing w:line="360" w:lineRule="auto"/>
        <w:ind w:firstLine="480" w:firstLineChars="200"/>
        <w:rPr>
          <w:sz w:val="24"/>
          <w:szCs w:val="28"/>
          <w:highlight w:val="none"/>
        </w:rPr>
      </w:pPr>
      <w:r>
        <w:rPr>
          <w:rFonts w:hint="eastAsia"/>
          <w:sz w:val="24"/>
          <w:szCs w:val="28"/>
          <w:highlight w:val="none"/>
        </w:rPr>
        <w:t>日期：        年      月      日</w:t>
      </w:r>
    </w:p>
    <w:p w14:paraId="7DB32508">
      <w:pPr>
        <w:pStyle w:val="7"/>
        <w:jc w:val="center"/>
        <w:rPr>
          <w:highlight w:val="none"/>
        </w:rPr>
      </w:pPr>
      <w:r>
        <w:rPr>
          <w:rFonts w:hint="eastAsia" w:ascii="宋体" w:hAnsi="宋体" w:cs="宋体"/>
          <w:szCs w:val="24"/>
          <w:highlight w:val="none"/>
        </w:rPr>
        <w:br w:type="page"/>
      </w:r>
      <w:bookmarkStart w:id="262" w:name="_Hlk3282331"/>
      <w:bookmarkEnd w:id="262"/>
      <w:bookmarkStart w:id="263" w:name="_Toc361989462"/>
      <w:bookmarkEnd w:id="263"/>
      <w:bookmarkStart w:id="264" w:name="_Toc528078071"/>
      <w:bookmarkEnd w:id="264"/>
      <w:bookmarkStart w:id="265" w:name="_Toc244934212"/>
      <w:bookmarkEnd w:id="265"/>
      <w:bookmarkStart w:id="266" w:name="_Toc22807"/>
      <w:bookmarkStart w:id="267" w:name="_Toc28663"/>
      <w:bookmarkStart w:id="268" w:name="_Toc6985"/>
      <w:bookmarkStart w:id="269" w:name="_Toc23028"/>
      <w:r>
        <w:rPr>
          <w:rFonts w:hint="eastAsia"/>
          <w:highlight w:val="none"/>
        </w:rPr>
        <w:t>五、报价明细表</w:t>
      </w:r>
      <w:bookmarkEnd w:id="266"/>
      <w:bookmarkEnd w:id="267"/>
      <w:bookmarkEnd w:id="268"/>
      <w:bookmarkEnd w:id="269"/>
    </w:p>
    <w:tbl>
      <w:tblPr>
        <w:tblStyle w:val="24"/>
        <w:tblW w:w="10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356"/>
        <w:gridCol w:w="1458"/>
        <w:gridCol w:w="852"/>
        <w:gridCol w:w="945"/>
        <w:gridCol w:w="1320"/>
        <w:gridCol w:w="1342"/>
        <w:gridCol w:w="850"/>
        <w:gridCol w:w="850"/>
        <w:gridCol w:w="850"/>
      </w:tblGrid>
      <w:tr w14:paraId="1D29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5CA0A143">
            <w:pPr>
              <w:jc w:val="center"/>
              <w:rPr>
                <w:rFonts w:hint="eastAsia" w:ascii="宋体" w:hAnsi="宋体" w:cs="宋体"/>
                <w:sz w:val="24"/>
                <w:highlight w:val="none"/>
              </w:rPr>
            </w:pPr>
            <w:r>
              <w:rPr>
                <w:rFonts w:hint="eastAsia" w:ascii="宋体" w:hAnsi="宋体" w:cs="宋体"/>
                <w:sz w:val="24"/>
                <w:highlight w:val="none"/>
              </w:rPr>
              <w:t>序号</w:t>
            </w:r>
          </w:p>
        </w:tc>
        <w:tc>
          <w:tcPr>
            <w:tcW w:w="1356" w:type="dxa"/>
            <w:tcBorders>
              <w:top w:val="single" w:color="auto" w:sz="4" w:space="0"/>
              <w:left w:val="nil"/>
              <w:bottom w:val="single" w:color="auto" w:sz="4" w:space="0"/>
              <w:right w:val="single" w:color="auto" w:sz="4" w:space="0"/>
            </w:tcBorders>
            <w:vAlign w:val="center"/>
          </w:tcPr>
          <w:p w14:paraId="19575CD6">
            <w:pPr>
              <w:rPr>
                <w:rFonts w:hint="eastAsia" w:ascii="宋体" w:hAnsi="宋体" w:cs="宋体"/>
                <w:sz w:val="24"/>
                <w:szCs w:val="24"/>
                <w:highlight w:val="none"/>
              </w:rPr>
            </w:pPr>
            <w:r>
              <w:rPr>
                <w:rFonts w:hint="eastAsia" w:ascii="宋体" w:hAnsi="宋体" w:eastAsia="宋体" w:cs="宋体"/>
                <w:sz w:val="24"/>
                <w:szCs w:val="24"/>
                <w:highlight w:val="none"/>
              </w:rPr>
              <w:t>设备名称</w:t>
            </w:r>
          </w:p>
        </w:tc>
        <w:tc>
          <w:tcPr>
            <w:tcW w:w="1458" w:type="dxa"/>
            <w:tcBorders>
              <w:top w:val="single" w:color="auto" w:sz="4" w:space="0"/>
              <w:left w:val="nil"/>
              <w:bottom w:val="single" w:color="auto" w:sz="4" w:space="0"/>
              <w:right w:val="single" w:color="auto" w:sz="4" w:space="0"/>
            </w:tcBorders>
            <w:vAlign w:val="center"/>
          </w:tcPr>
          <w:p w14:paraId="47913AE2">
            <w:pPr>
              <w:jc w:val="center"/>
              <w:rPr>
                <w:rFonts w:hint="eastAsia" w:ascii="宋体" w:hAnsi="宋体" w:cs="宋体"/>
                <w:sz w:val="24"/>
                <w:szCs w:val="24"/>
                <w:highlight w:val="none"/>
              </w:rPr>
            </w:pPr>
            <w:r>
              <w:rPr>
                <w:rFonts w:hint="eastAsia" w:ascii="宋体" w:hAnsi="宋体" w:cs="宋体"/>
                <w:sz w:val="24"/>
                <w:highlight w:val="none"/>
              </w:rPr>
              <w:t>型号</w:t>
            </w:r>
          </w:p>
        </w:tc>
        <w:tc>
          <w:tcPr>
            <w:tcW w:w="852" w:type="dxa"/>
            <w:tcBorders>
              <w:top w:val="single" w:color="auto" w:sz="4" w:space="0"/>
              <w:left w:val="nil"/>
              <w:bottom w:val="single" w:color="auto" w:sz="4" w:space="0"/>
              <w:right w:val="single" w:color="auto" w:sz="4" w:space="0"/>
            </w:tcBorders>
            <w:vAlign w:val="center"/>
          </w:tcPr>
          <w:p w14:paraId="298CD256">
            <w:pPr>
              <w:jc w:val="center"/>
              <w:rPr>
                <w:rFonts w:hint="eastAsia" w:ascii="宋体" w:hAnsi="宋体" w:cs="宋体"/>
                <w:sz w:val="24"/>
                <w:highlight w:val="none"/>
              </w:rPr>
            </w:pPr>
            <w:r>
              <w:rPr>
                <w:rFonts w:hint="eastAsia" w:ascii="宋体" w:hAnsi="宋体" w:cs="宋体"/>
                <w:sz w:val="24"/>
                <w:highlight w:val="none"/>
              </w:rPr>
              <w:t>品牌</w:t>
            </w:r>
          </w:p>
        </w:tc>
        <w:tc>
          <w:tcPr>
            <w:tcW w:w="945" w:type="dxa"/>
            <w:tcBorders>
              <w:top w:val="single" w:color="auto" w:sz="4" w:space="0"/>
              <w:left w:val="nil"/>
              <w:bottom w:val="single" w:color="auto" w:sz="4" w:space="0"/>
              <w:right w:val="single" w:color="auto" w:sz="4" w:space="0"/>
            </w:tcBorders>
            <w:vAlign w:val="center"/>
          </w:tcPr>
          <w:p w14:paraId="1A6DE5BE">
            <w:pPr>
              <w:jc w:val="center"/>
              <w:rPr>
                <w:rFonts w:hint="eastAsia" w:ascii="宋体" w:hAnsi="宋体" w:cs="宋体"/>
                <w:sz w:val="24"/>
                <w:highlight w:val="none"/>
              </w:rPr>
            </w:pPr>
            <w:r>
              <w:rPr>
                <w:rFonts w:hint="eastAsia" w:ascii="宋体" w:hAnsi="宋体" w:cs="宋体"/>
                <w:sz w:val="24"/>
                <w:highlight w:val="none"/>
              </w:rPr>
              <w:t>制造商</w:t>
            </w:r>
          </w:p>
        </w:tc>
        <w:tc>
          <w:tcPr>
            <w:tcW w:w="1320" w:type="dxa"/>
            <w:tcBorders>
              <w:top w:val="single" w:color="auto" w:sz="4" w:space="0"/>
              <w:left w:val="nil"/>
              <w:bottom w:val="single" w:color="auto" w:sz="4" w:space="0"/>
              <w:right w:val="single" w:color="auto" w:sz="4" w:space="0"/>
            </w:tcBorders>
            <w:vAlign w:val="center"/>
          </w:tcPr>
          <w:p w14:paraId="05135BDB">
            <w:pPr>
              <w:jc w:val="center"/>
              <w:rPr>
                <w:rFonts w:hint="eastAsia" w:ascii="宋体" w:hAnsi="宋体" w:cs="宋体"/>
                <w:sz w:val="24"/>
                <w:highlight w:val="none"/>
              </w:rPr>
            </w:pPr>
            <w:r>
              <w:rPr>
                <w:rFonts w:hint="eastAsia" w:ascii="宋体" w:hAnsi="宋体" w:cs="宋体"/>
                <w:sz w:val="24"/>
                <w:highlight w:val="none"/>
              </w:rPr>
              <w:t>单位</w:t>
            </w:r>
          </w:p>
        </w:tc>
        <w:tc>
          <w:tcPr>
            <w:tcW w:w="1342" w:type="dxa"/>
            <w:tcBorders>
              <w:top w:val="single" w:color="auto" w:sz="4" w:space="0"/>
              <w:left w:val="nil"/>
              <w:bottom w:val="single" w:color="auto" w:sz="4" w:space="0"/>
              <w:right w:val="single" w:color="auto" w:sz="4" w:space="0"/>
            </w:tcBorders>
            <w:vAlign w:val="center"/>
          </w:tcPr>
          <w:p w14:paraId="52B78C04">
            <w:pPr>
              <w:jc w:val="center"/>
              <w:rPr>
                <w:rFonts w:hint="eastAsia" w:ascii="宋体" w:hAnsi="宋体" w:cs="宋体"/>
                <w:sz w:val="24"/>
                <w:highlight w:val="none"/>
              </w:rPr>
            </w:pPr>
            <w:r>
              <w:rPr>
                <w:rFonts w:hint="eastAsia" w:ascii="宋体" w:hAnsi="宋体" w:cs="宋体"/>
                <w:sz w:val="24"/>
                <w:highlight w:val="none"/>
              </w:rPr>
              <w:t>数量</w:t>
            </w:r>
          </w:p>
        </w:tc>
        <w:tc>
          <w:tcPr>
            <w:tcW w:w="850" w:type="dxa"/>
            <w:tcBorders>
              <w:top w:val="single" w:color="auto" w:sz="4" w:space="0"/>
              <w:left w:val="nil"/>
              <w:bottom w:val="single" w:color="auto" w:sz="4" w:space="0"/>
              <w:right w:val="single" w:color="auto" w:sz="4" w:space="0"/>
            </w:tcBorders>
            <w:vAlign w:val="center"/>
          </w:tcPr>
          <w:p w14:paraId="66835CC7">
            <w:pPr>
              <w:jc w:val="center"/>
              <w:rPr>
                <w:rFonts w:hint="eastAsia" w:ascii="宋体" w:hAnsi="宋体" w:cs="宋体"/>
                <w:sz w:val="24"/>
                <w:highlight w:val="none"/>
              </w:rPr>
            </w:pPr>
            <w:r>
              <w:rPr>
                <w:rFonts w:hint="eastAsia" w:ascii="宋体" w:hAnsi="宋体" w:cs="宋体"/>
                <w:sz w:val="24"/>
                <w:highlight w:val="none"/>
              </w:rPr>
              <w:t>单价（元）</w:t>
            </w:r>
          </w:p>
        </w:tc>
        <w:tc>
          <w:tcPr>
            <w:tcW w:w="850" w:type="dxa"/>
            <w:tcBorders>
              <w:top w:val="single" w:color="auto" w:sz="4" w:space="0"/>
              <w:left w:val="nil"/>
              <w:bottom w:val="single" w:color="auto" w:sz="4" w:space="0"/>
              <w:right w:val="single" w:color="auto" w:sz="4" w:space="0"/>
            </w:tcBorders>
            <w:vAlign w:val="center"/>
          </w:tcPr>
          <w:p w14:paraId="588B2AA3">
            <w:pPr>
              <w:jc w:val="center"/>
              <w:rPr>
                <w:rFonts w:hint="eastAsia" w:ascii="宋体" w:hAnsi="宋体" w:cs="宋体"/>
                <w:sz w:val="24"/>
                <w:highlight w:val="none"/>
              </w:rPr>
            </w:pPr>
            <w:r>
              <w:rPr>
                <w:rFonts w:hint="eastAsia" w:ascii="宋体" w:hAnsi="宋体" w:cs="宋体"/>
                <w:sz w:val="24"/>
                <w:highlight w:val="none"/>
              </w:rPr>
              <w:t>合价（元）</w:t>
            </w:r>
          </w:p>
        </w:tc>
        <w:tc>
          <w:tcPr>
            <w:tcW w:w="850" w:type="dxa"/>
            <w:tcBorders>
              <w:top w:val="single" w:color="auto" w:sz="4" w:space="0"/>
              <w:left w:val="nil"/>
              <w:bottom w:val="single" w:color="auto" w:sz="4" w:space="0"/>
              <w:right w:val="single" w:color="auto" w:sz="4" w:space="0"/>
            </w:tcBorders>
            <w:vAlign w:val="center"/>
          </w:tcPr>
          <w:p w14:paraId="6DEFA214">
            <w:pPr>
              <w:jc w:val="center"/>
              <w:rPr>
                <w:rFonts w:hint="eastAsia" w:ascii="宋体" w:hAnsi="宋体" w:cs="宋体"/>
                <w:sz w:val="24"/>
                <w:highlight w:val="none"/>
              </w:rPr>
            </w:pPr>
            <w:r>
              <w:rPr>
                <w:rFonts w:hint="eastAsia" w:ascii="宋体" w:hAnsi="宋体" w:cs="宋体"/>
                <w:sz w:val="24"/>
                <w:highlight w:val="none"/>
              </w:rPr>
              <w:t>备注</w:t>
            </w:r>
          </w:p>
        </w:tc>
      </w:tr>
      <w:tr w14:paraId="14984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6666A658">
            <w:pPr>
              <w:jc w:val="center"/>
              <w:rPr>
                <w:rFonts w:hint="eastAsia" w:ascii="宋体" w:hAnsi="宋体" w:cs="宋体"/>
                <w:sz w:val="24"/>
                <w:highlight w:val="none"/>
              </w:rPr>
            </w:pPr>
            <w:r>
              <w:rPr>
                <w:rFonts w:hint="eastAsia" w:ascii="宋体" w:hAnsi="宋体" w:cs="宋体"/>
                <w:sz w:val="24"/>
                <w:highlight w:val="none"/>
              </w:rPr>
              <w:t>1</w:t>
            </w:r>
          </w:p>
        </w:tc>
        <w:tc>
          <w:tcPr>
            <w:tcW w:w="1356" w:type="dxa"/>
            <w:tcBorders>
              <w:top w:val="single" w:color="auto" w:sz="4" w:space="0"/>
              <w:left w:val="nil"/>
              <w:bottom w:val="single" w:color="auto" w:sz="4" w:space="0"/>
              <w:right w:val="single" w:color="auto" w:sz="4" w:space="0"/>
            </w:tcBorders>
            <w:vAlign w:val="center"/>
          </w:tcPr>
          <w:p w14:paraId="0B087C9A">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5FA0D25F">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37B369B8">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78EB7E33">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7D5559DE">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4E6596DA">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2A59171E">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6D89F48">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2F636EA4">
            <w:pPr>
              <w:jc w:val="center"/>
              <w:rPr>
                <w:rFonts w:hint="eastAsia" w:ascii="宋体" w:hAnsi="宋体" w:cs="宋体"/>
                <w:sz w:val="24"/>
                <w:highlight w:val="none"/>
              </w:rPr>
            </w:pPr>
          </w:p>
        </w:tc>
      </w:tr>
      <w:tr w14:paraId="3147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3139DEF0">
            <w:pPr>
              <w:jc w:val="center"/>
              <w:rPr>
                <w:rFonts w:hint="eastAsia" w:ascii="宋体" w:hAnsi="宋体" w:cs="宋体"/>
                <w:sz w:val="24"/>
                <w:highlight w:val="none"/>
              </w:rPr>
            </w:pPr>
            <w:r>
              <w:rPr>
                <w:rFonts w:hint="eastAsia" w:ascii="宋体" w:hAnsi="宋体" w:cs="宋体"/>
                <w:sz w:val="24"/>
                <w:highlight w:val="none"/>
              </w:rPr>
              <w:t>2</w:t>
            </w:r>
          </w:p>
        </w:tc>
        <w:tc>
          <w:tcPr>
            <w:tcW w:w="1356" w:type="dxa"/>
            <w:tcBorders>
              <w:top w:val="single" w:color="auto" w:sz="4" w:space="0"/>
              <w:left w:val="nil"/>
              <w:bottom w:val="single" w:color="auto" w:sz="4" w:space="0"/>
              <w:right w:val="single" w:color="auto" w:sz="4" w:space="0"/>
            </w:tcBorders>
            <w:vAlign w:val="center"/>
          </w:tcPr>
          <w:p w14:paraId="142A6B44">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3A61CD85">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55163B89">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50F6D6E7">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289F377B">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F20422C">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3977FAF">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60A0D0E">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AA39991">
            <w:pPr>
              <w:jc w:val="center"/>
              <w:rPr>
                <w:rFonts w:hint="eastAsia" w:ascii="宋体" w:hAnsi="宋体" w:cs="宋体"/>
                <w:sz w:val="24"/>
                <w:highlight w:val="none"/>
              </w:rPr>
            </w:pPr>
          </w:p>
        </w:tc>
      </w:tr>
      <w:tr w14:paraId="7A47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13B42BBF">
            <w:pPr>
              <w:jc w:val="center"/>
              <w:rPr>
                <w:rFonts w:hint="eastAsia" w:ascii="宋体" w:hAnsi="宋体" w:cs="宋体"/>
                <w:sz w:val="24"/>
                <w:highlight w:val="none"/>
              </w:rPr>
            </w:pPr>
            <w:r>
              <w:rPr>
                <w:rFonts w:hint="eastAsia" w:ascii="宋体" w:hAnsi="宋体" w:cs="宋体"/>
                <w:sz w:val="24"/>
                <w:highlight w:val="none"/>
              </w:rPr>
              <w:t>3</w:t>
            </w:r>
          </w:p>
        </w:tc>
        <w:tc>
          <w:tcPr>
            <w:tcW w:w="1356" w:type="dxa"/>
            <w:tcBorders>
              <w:top w:val="single" w:color="auto" w:sz="4" w:space="0"/>
              <w:left w:val="nil"/>
              <w:bottom w:val="single" w:color="auto" w:sz="4" w:space="0"/>
              <w:right w:val="single" w:color="auto" w:sz="4" w:space="0"/>
            </w:tcBorders>
            <w:vAlign w:val="center"/>
          </w:tcPr>
          <w:p w14:paraId="01FEFD8E">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2E51E8C9">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175C2358">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44C4938D">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445D64FC">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4DF7EC71">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B367D2C">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46CDDD2">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F869D27">
            <w:pPr>
              <w:jc w:val="center"/>
              <w:rPr>
                <w:rFonts w:hint="eastAsia" w:ascii="宋体" w:hAnsi="宋体" w:cs="宋体"/>
                <w:sz w:val="24"/>
                <w:highlight w:val="none"/>
              </w:rPr>
            </w:pPr>
          </w:p>
        </w:tc>
      </w:tr>
      <w:tr w14:paraId="5D4F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2B17E1D5">
            <w:pPr>
              <w:jc w:val="center"/>
              <w:rPr>
                <w:rFonts w:hint="eastAsia" w:ascii="宋体" w:hAnsi="宋体" w:cs="宋体"/>
                <w:sz w:val="24"/>
                <w:highlight w:val="none"/>
              </w:rPr>
            </w:pPr>
            <w:r>
              <w:rPr>
                <w:rFonts w:hint="eastAsia" w:ascii="宋体" w:hAnsi="宋体" w:cs="宋体"/>
                <w:sz w:val="24"/>
                <w:highlight w:val="none"/>
              </w:rPr>
              <w:t>4</w:t>
            </w:r>
          </w:p>
        </w:tc>
        <w:tc>
          <w:tcPr>
            <w:tcW w:w="1356" w:type="dxa"/>
            <w:tcBorders>
              <w:top w:val="single" w:color="auto" w:sz="4" w:space="0"/>
              <w:left w:val="nil"/>
              <w:bottom w:val="single" w:color="auto" w:sz="4" w:space="0"/>
              <w:right w:val="single" w:color="auto" w:sz="4" w:space="0"/>
            </w:tcBorders>
            <w:vAlign w:val="center"/>
          </w:tcPr>
          <w:p w14:paraId="4E3F80B8">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7539F299">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4B1CDD07">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2D5842B7">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2E0432E9">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221D29C">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6998CD5">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BBC790F">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287CF856">
            <w:pPr>
              <w:jc w:val="center"/>
              <w:rPr>
                <w:rFonts w:hint="eastAsia" w:ascii="宋体" w:hAnsi="宋体" w:cs="宋体"/>
                <w:sz w:val="24"/>
                <w:highlight w:val="none"/>
              </w:rPr>
            </w:pPr>
          </w:p>
        </w:tc>
      </w:tr>
      <w:tr w14:paraId="58432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58303503">
            <w:pPr>
              <w:jc w:val="center"/>
              <w:rPr>
                <w:rFonts w:hint="eastAsia" w:ascii="宋体" w:hAnsi="宋体" w:cs="宋体"/>
                <w:sz w:val="24"/>
                <w:highlight w:val="none"/>
              </w:rPr>
            </w:pPr>
            <w:r>
              <w:rPr>
                <w:rFonts w:hint="eastAsia" w:ascii="宋体" w:hAnsi="宋体" w:cs="宋体"/>
                <w:sz w:val="24"/>
                <w:highlight w:val="none"/>
              </w:rPr>
              <w:t>5</w:t>
            </w:r>
          </w:p>
        </w:tc>
        <w:tc>
          <w:tcPr>
            <w:tcW w:w="1356" w:type="dxa"/>
            <w:tcBorders>
              <w:top w:val="single" w:color="auto" w:sz="4" w:space="0"/>
              <w:left w:val="nil"/>
              <w:bottom w:val="single" w:color="auto" w:sz="4" w:space="0"/>
              <w:right w:val="single" w:color="auto" w:sz="4" w:space="0"/>
            </w:tcBorders>
            <w:vAlign w:val="center"/>
          </w:tcPr>
          <w:p w14:paraId="4C6E87A2">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47563FFF">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52E1F3ED">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4157A037">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59AA4501">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4262E32">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77C73783">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0A98677">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72985007">
            <w:pPr>
              <w:jc w:val="center"/>
              <w:rPr>
                <w:rFonts w:hint="eastAsia" w:ascii="宋体" w:hAnsi="宋体" w:cs="宋体"/>
                <w:sz w:val="24"/>
                <w:highlight w:val="none"/>
              </w:rPr>
            </w:pPr>
          </w:p>
        </w:tc>
      </w:tr>
      <w:tr w14:paraId="28DF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22BDF109">
            <w:pPr>
              <w:jc w:val="center"/>
              <w:rPr>
                <w:rFonts w:hint="eastAsia" w:ascii="宋体" w:hAnsi="宋体" w:cs="宋体"/>
                <w:sz w:val="24"/>
                <w:highlight w:val="none"/>
              </w:rPr>
            </w:pPr>
            <w:r>
              <w:rPr>
                <w:rFonts w:hint="eastAsia" w:ascii="宋体" w:hAnsi="宋体" w:cs="宋体"/>
                <w:sz w:val="24"/>
                <w:highlight w:val="none"/>
              </w:rPr>
              <w:t>6</w:t>
            </w:r>
          </w:p>
        </w:tc>
        <w:tc>
          <w:tcPr>
            <w:tcW w:w="1356" w:type="dxa"/>
            <w:tcBorders>
              <w:top w:val="single" w:color="auto" w:sz="4" w:space="0"/>
              <w:left w:val="nil"/>
              <w:bottom w:val="single" w:color="auto" w:sz="4" w:space="0"/>
              <w:right w:val="single" w:color="auto" w:sz="4" w:space="0"/>
            </w:tcBorders>
            <w:vAlign w:val="center"/>
          </w:tcPr>
          <w:p w14:paraId="6BD499AB">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56182630">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777DDD05">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32950400">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19C73F28">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0BCE9C21">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048531E">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1A9510F">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79777E8">
            <w:pPr>
              <w:jc w:val="center"/>
              <w:rPr>
                <w:rFonts w:hint="eastAsia" w:ascii="宋体" w:hAnsi="宋体" w:cs="宋体"/>
                <w:sz w:val="24"/>
                <w:highlight w:val="none"/>
              </w:rPr>
            </w:pPr>
          </w:p>
        </w:tc>
      </w:tr>
      <w:tr w14:paraId="2766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285833F8">
            <w:pPr>
              <w:jc w:val="center"/>
              <w:rPr>
                <w:rFonts w:hint="eastAsia" w:ascii="宋体" w:hAnsi="宋体" w:cs="宋体"/>
                <w:sz w:val="24"/>
                <w:highlight w:val="none"/>
              </w:rPr>
            </w:pPr>
            <w:r>
              <w:rPr>
                <w:rFonts w:hint="eastAsia" w:ascii="宋体" w:hAnsi="宋体" w:cs="宋体"/>
                <w:sz w:val="24"/>
                <w:highlight w:val="none"/>
              </w:rPr>
              <w:t>7</w:t>
            </w:r>
          </w:p>
        </w:tc>
        <w:tc>
          <w:tcPr>
            <w:tcW w:w="1356" w:type="dxa"/>
            <w:tcBorders>
              <w:top w:val="single" w:color="auto" w:sz="4" w:space="0"/>
              <w:left w:val="nil"/>
              <w:bottom w:val="single" w:color="auto" w:sz="4" w:space="0"/>
              <w:right w:val="single" w:color="auto" w:sz="4" w:space="0"/>
            </w:tcBorders>
            <w:vAlign w:val="center"/>
          </w:tcPr>
          <w:p w14:paraId="5ACE841D">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3FAF3044">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3EDB717A">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039D27D2">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3F0D563E">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DB24FC7">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CAB7B88">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9AEDC29">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6440DCDF">
            <w:pPr>
              <w:jc w:val="center"/>
              <w:rPr>
                <w:rFonts w:hint="eastAsia" w:ascii="宋体" w:hAnsi="宋体" w:cs="宋体"/>
                <w:sz w:val="24"/>
                <w:highlight w:val="none"/>
              </w:rPr>
            </w:pPr>
          </w:p>
        </w:tc>
      </w:tr>
      <w:tr w14:paraId="50C1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177B20B7">
            <w:pPr>
              <w:jc w:val="center"/>
              <w:rPr>
                <w:rFonts w:hint="eastAsia" w:ascii="宋体" w:hAnsi="宋体" w:cs="宋体"/>
                <w:sz w:val="24"/>
                <w:highlight w:val="none"/>
              </w:rPr>
            </w:pPr>
            <w:r>
              <w:rPr>
                <w:rFonts w:hint="eastAsia" w:ascii="宋体" w:hAnsi="宋体" w:cs="宋体"/>
                <w:sz w:val="24"/>
                <w:highlight w:val="none"/>
              </w:rPr>
              <w:t>8</w:t>
            </w:r>
          </w:p>
        </w:tc>
        <w:tc>
          <w:tcPr>
            <w:tcW w:w="1356" w:type="dxa"/>
            <w:tcBorders>
              <w:top w:val="single" w:color="auto" w:sz="4" w:space="0"/>
              <w:left w:val="nil"/>
              <w:bottom w:val="single" w:color="auto" w:sz="4" w:space="0"/>
              <w:right w:val="single" w:color="auto" w:sz="4" w:space="0"/>
            </w:tcBorders>
            <w:vAlign w:val="center"/>
          </w:tcPr>
          <w:p w14:paraId="69A2BBC2">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2309F2EC">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4FB8FB5C">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068FD809">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575F7C0D">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0526F410">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26DCE86">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0998B3D0">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236F0D4">
            <w:pPr>
              <w:jc w:val="center"/>
              <w:rPr>
                <w:rFonts w:hint="eastAsia" w:ascii="宋体" w:hAnsi="宋体" w:cs="宋体"/>
                <w:sz w:val="24"/>
                <w:highlight w:val="none"/>
              </w:rPr>
            </w:pPr>
          </w:p>
        </w:tc>
      </w:tr>
      <w:tr w14:paraId="282C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35D61CFB">
            <w:pPr>
              <w:jc w:val="center"/>
              <w:rPr>
                <w:highlight w:val="none"/>
              </w:rPr>
            </w:pPr>
            <w:r>
              <w:rPr>
                <w:rFonts w:hint="eastAsia"/>
                <w:highlight w:val="none"/>
              </w:rPr>
              <w:t>...</w:t>
            </w:r>
          </w:p>
          <w:p w14:paraId="7222A6FE">
            <w:pPr>
              <w:jc w:val="center"/>
              <w:rPr>
                <w:highlight w:val="none"/>
              </w:rPr>
            </w:pPr>
            <w:r>
              <w:rPr>
                <w:rFonts w:hint="eastAsia" w:ascii="宋体" w:hAnsi="宋体" w:eastAsia="宋体" w:cs="宋体"/>
                <w:sz w:val="24"/>
                <w:szCs w:val="24"/>
                <w:highlight w:val="none"/>
              </w:rPr>
              <w:t>自行补充</w:t>
            </w:r>
          </w:p>
        </w:tc>
        <w:tc>
          <w:tcPr>
            <w:tcW w:w="1356" w:type="dxa"/>
            <w:tcBorders>
              <w:top w:val="single" w:color="auto" w:sz="4" w:space="0"/>
              <w:left w:val="nil"/>
              <w:bottom w:val="single" w:color="auto" w:sz="4" w:space="0"/>
              <w:right w:val="single" w:color="auto" w:sz="4" w:space="0"/>
            </w:tcBorders>
            <w:vAlign w:val="center"/>
          </w:tcPr>
          <w:p w14:paraId="366D4800">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196FE6DE">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74F89555">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7F85D10A">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4BB173E1">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1B75354">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2104C07E">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E5968BB">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5713A84C">
            <w:pPr>
              <w:jc w:val="center"/>
              <w:rPr>
                <w:rFonts w:hint="eastAsia" w:ascii="宋体" w:hAnsi="宋体" w:cs="宋体"/>
                <w:sz w:val="24"/>
                <w:highlight w:val="none"/>
              </w:rPr>
            </w:pPr>
          </w:p>
        </w:tc>
      </w:tr>
      <w:tr w14:paraId="747E8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101" w:type="dxa"/>
            <w:gridSpan w:val="2"/>
            <w:tcBorders>
              <w:top w:val="single" w:color="auto" w:sz="4" w:space="0"/>
              <w:left w:val="single" w:color="auto" w:sz="4" w:space="0"/>
              <w:bottom w:val="single" w:color="auto" w:sz="4" w:space="0"/>
              <w:right w:val="single" w:color="auto" w:sz="4" w:space="0"/>
            </w:tcBorders>
            <w:vAlign w:val="center"/>
          </w:tcPr>
          <w:p w14:paraId="45C75A92">
            <w:pPr>
              <w:jc w:val="center"/>
              <w:rPr>
                <w:rFonts w:hint="eastAsia" w:ascii="宋体" w:hAnsi="宋体" w:cs="宋体"/>
                <w:sz w:val="24"/>
                <w:highlight w:val="none"/>
              </w:rPr>
            </w:pPr>
            <w:r>
              <w:rPr>
                <w:rFonts w:hint="eastAsia" w:ascii="宋体" w:hAnsi="宋体" w:cs="宋体"/>
                <w:sz w:val="24"/>
                <w:highlight w:val="none"/>
              </w:rPr>
              <w:t>总价</w:t>
            </w:r>
          </w:p>
        </w:tc>
        <w:tc>
          <w:tcPr>
            <w:tcW w:w="6767" w:type="dxa"/>
            <w:gridSpan w:val="6"/>
            <w:tcBorders>
              <w:top w:val="single" w:color="auto" w:sz="4" w:space="0"/>
              <w:left w:val="nil"/>
              <w:bottom w:val="single" w:color="auto" w:sz="4" w:space="0"/>
              <w:right w:val="single" w:color="auto" w:sz="4" w:space="0"/>
            </w:tcBorders>
            <w:vAlign w:val="center"/>
          </w:tcPr>
          <w:p w14:paraId="0BEA63E4">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A06D4EE">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32383A8">
            <w:pPr>
              <w:jc w:val="center"/>
              <w:rPr>
                <w:rFonts w:hint="eastAsia" w:ascii="宋体" w:hAnsi="宋体" w:cs="宋体"/>
                <w:sz w:val="24"/>
                <w:highlight w:val="none"/>
              </w:rPr>
            </w:pPr>
          </w:p>
        </w:tc>
      </w:tr>
    </w:tbl>
    <w:p w14:paraId="35C0C51C">
      <w:pPr>
        <w:spacing w:line="480" w:lineRule="exact"/>
        <w:outlineLvl w:val="2"/>
        <w:rPr>
          <w:rFonts w:hint="eastAsia" w:ascii="宋体" w:hAnsi="宋体" w:cs="宋体"/>
          <w:b/>
          <w:bCs/>
          <w:sz w:val="24"/>
          <w:highlight w:val="none"/>
        </w:rPr>
      </w:pPr>
      <w:r>
        <w:rPr>
          <w:rFonts w:hint="eastAsia" w:ascii="宋体" w:hAnsi="宋体" w:cs="宋体"/>
          <w:b/>
          <w:bCs/>
          <w:sz w:val="24"/>
          <w:highlight w:val="none"/>
        </w:rPr>
        <w:t xml:space="preserve"> </w:t>
      </w:r>
      <w:bookmarkStart w:id="270" w:name="_Toc17942"/>
      <w:r>
        <w:rPr>
          <w:rFonts w:hint="eastAsia" w:ascii="宋体" w:hAnsi="宋体" w:cs="宋体"/>
          <w:b/>
          <w:bCs/>
          <w:sz w:val="24"/>
          <w:highlight w:val="none"/>
        </w:rPr>
        <w:t>注：1.供应商根据需要可在本表中自行增加更为详细的报价说明</w:t>
      </w:r>
      <w:bookmarkEnd w:id="270"/>
    </w:p>
    <w:p w14:paraId="3F56A09C">
      <w:pPr>
        <w:spacing w:line="480" w:lineRule="exact"/>
        <w:rPr>
          <w:rFonts w:hint="eastAsia" w:ascii="宋体" w:hAnsi="宋体" w:cs="宋体"/>
          <w:b/>
          <w:bCs/>
          <w:sz w:val="24"/>
          <w:highlight w:val="none"/>
        </w:rPr>
      </w:pPr>
      <w:r>
        <w:rPr>
          <w:rFonts w:hint="eastAsia" w:ascii="宋体" w:hAnsi="宋体" w:cs="宋体"/>
          <w:b/>
          <w:bCs/>
          <w:sz w:val="24"/>
          <w:highlight w:val="none"/>
        </w:rPr>
        <w:t>包含设备价、备品备件价、包装费、装卸费、运输费、税金（含关税、增值税）、安装费、检测验收费、培训费及其他所有费用，均包含在投标报价中。</w:t>
      </w:r>
    </w:p>
    <w:p w14:paraId="795C478D">
      <w:pPr>
        <w:spacing w:line="480" w:lineRule="exact"/>
        <w:rPr>
          <w:rFonts w:hint="eastAsia" w:ascii="宋体" w:hAnsi="宋体" w:cs="宋体"/>
          <w:sz w:val="24"/>
          <w:highlight w:val="none"/>
        </w:rPr>
      </w:pPr>
      <w:r>
        <w:rPr>
          <w:rFonts w:hint="eastAsia" w:ascii="宋体" w:hAnsi="宋体" w:cs="宋体"/>
          <w:sz w:val="24"/>
          <w:highlight w:val="none"/>
        </w:rPr>
        <w:t>供应商名称（电子签章）：</w:t>
      </w:r>
      <w:bookmarkStart w:id="271" w:name="_Hlk522286805"/>
      <w:bookmarkEnd w:id="271"/>
    </w:p>
    <w:p w14:paraId="6431E5FB">
      <w:pPr>
        <w:spacing w:line="480" w:lineRule="exact"/>
        <w:rPr>
          <w:rFonts w:hint="eastAsia" w:ascii="宋体" w:hAnsi="宋体" w:cs="宋体"/>
          <w:sz w:val="24"/>
          <w:highlight w:val="none"/>
        </w:rPr>
      </w:pPr>
      <w:r>
        <w:rPr>
          <w:rFonts w:hint="eastAsia" w:ascii="宋体" w:hAnsi="宋体" w:cs="宋体"/>
          <w:sz w:val="24"/>
          <w:highlight w:val="none"/>
        </w:rPr>
        <w:t>法定代表人（电子签章）：</w:t>
      </w:r>
    </w:p>
    <w:p w14:paraId="6950AE77">
      <w:pPr>
        <w:spacing w:line="480" w:lineRule="exact"/>
        <w:rPr>
          <w:rFonts w:hint="eastAsia" w:ascii="宋体" w:hAnsi="宋体" w:cs="宋体"/>
          <w:sz w:val="24"/>
          <w:highlight w:val="none"/>
        </w:rPr>
      </w:pPr>
      <w:r>
        <w:rPr>
          <w:rFonts w:hint="eastAsia" w:ascii="宋体" w:hAnsi="宋体" w:cs="宋体"/>
          <w:sz w:val="24"/>
          <w:highlight w:val="none"/>
        </w:rPr>
        <w:t>日期：年 月 日</w:t>
      </w:r>
    </w:p>
    <w:p w14:paraId="5741F4BA">
      <w:pPr>
        <w:pStyle w:val="7"/>
        <w:jc w:val="center"/>
        <w:rPr>
          <w:highlight w:val="none"/>
        </w:rPr>
      </w:pPr>
      <w:bookmarkStart w:id="272" w:name="_Toc244934213"/>
      <w:bookmarkEnd w:id="272"/>
      <w:bookmarkStart w:id="273" w:name="_Toc361989463"/>
      <w:bookmarkEnd w:id="273"/>
      <w:bookmarkStart w:id="274" w:name="_Toc25298"/>
      <w:bookmarkStart w:id="275" w:name="_Toc10655"/>
      <w:bookmarkStart w:id="276" w:name="_Toc17010"/>
      <w:r>
        <w:rPr>
          <w:rFonts w:ascii="宋体" w:hAnsi="宋体" w:cs="宋体"/>
          <w:szCs w:val="24"/>
          <w:highlight w:val="none"/>
        </w:rPr>
        <w:br w:type="page"/>
      </w:r>
      <w:bookmarkStart w:id="277" w:name="_Toc11113"/>
      <w:r>
        <w:rPr>
          <w:rFonts w:hint="eastAsia"/>
          <w:highlight w:val="none"/>
        </w:rPr>
        <w:t>六、技术规格偏离表</w:t>
      </w:r>
      <w:bookmarkEnd w:id="277"/>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1805"/>
        <w:gridCol w:w="2348"/>
        <w:gridCol w:w="1585"/>
        <w:gridCol w:w="1182"/>
        <w:gridCol w:w="900"/>
      </w:tblGrid>
      <w:tr w14:paraId="1CDC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18567A2F">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序号</w:t>
            </w:r>
          </w:p>
        </w:tc>
        <w:tc>
          <w:tcPr>
            <w:tcW w:w="1805" w:type="dxa"/>
            <w:tcBorders>
              <w:top w:val="single" w:color="auto" w:sz="4" w:space="0"/>
              <w:left w:val="nil"/>
              <w:bottom w:val="single" w:color="auto" w:sz="4" w:space="0"/>
              <w:right w:val="single" w:color="auto" w:sz="4" w:space="0"/>
            </w:tcBorders>
            <w:vAlign w:val="center"/>
          </w:tcPr>
          <w:p w14:paraId="489A2528">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货物名称</w:t>
            </w:r>
          </w:p>
        </w:tc>
        <w:tc>
          <w:tcPr>
            <w:tcW w:w="2348" w:type="dxa"/>
            <w:tcBorders>
              <w:top w:val="single" w:color="auto" w:sz="4" w:space="0"/>
              <w:left w:val="nil"/>
              <w:bottom w:val="single" w:color="auto" w:sz="4" w:space="0"/>
              <w:right w:val="single" w:color="auto" w:sz="4" w:space="0"/>
            </w:tcBorders>
            <w:vAlign w:val="center"/>
          </w:tcPr>
          <w:p w14:paraId="5C903F54">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竞争性磋商文件要求规格或参数</w:t>
            </w:r>
          </w:p>
        </w:tc>
        <w:tc>
          <w:tcPr>
            <w:tcW w:w="1585" w:type="dxa"/>
            <w:tcBorders>
              <w:top w:val="single" w:color="auto" w:sz="4" w:space="0"/>
              <w:left w:val="nil"/>
              <w:bottom w:val="single" w:color="auto" w:sz="4" w:space="0"/>
              <w:right w:val="single" w:color="auto" w:sz="4" w:space="0"/>
            </w:tcBorders>
            <w:vAlign w:val="center"/>
          </w:tcPr>
          <w:p w14:paraId="24DA6484">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响应货物规格或参数</w:t>
            </w:r>
          </w:p>
        </w:tc>
        <w:tc>
          <w:tcPr>
            <w:tcW w:w="1182" w:type="dxa"/>
            <w:tcBorders>
              <w:top w:val="single" w:color="auto" w:sz="4" w:space="0"/>
              <w:left w:val="nil"/>
              <w:bottom w:val="single" w:color="auto" w:sz="4" w:space="0"/>
              <w:right w:val="single" w:color="auto" w:sz="4" w:space="0"/>
            </w:tcBorders>
            <w:vAlign w:val="center"/>
          </w:tcPr>
          <w:p w14:paraId="694EDE1D">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偏离</w:t>
            </w:r>
          </w:p>
          <w:p w14:paraId="11ABE74A">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(正/负)</w:t>
            </w:r>
          </w:p>
        </w:tc>
        <w:tc>
          <w:tcPr>
            <w:tcW w:w="900" w:type="dxa"/>
            <w:tcBorders>
              <w:top w:val="single" w:color="auto" w:sz="4" w:space="0"/>
              <w:left w:val="nil"/>
              <w:bottom w:val="single" w:color="auto" w:sz="4" w:space="0"/>
              <w:right w:val="single" w:color="auto" w:sz="4" w:space="0"/>
            </w:tcBorders>
            <w:vAlign w:val="center"/>
          </w:tcPr>
          <w:p w14:paraId="0AD4B2D1">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说明</w:t>
            </w:r>
          </w:p>
        </w:tc>
      </w:tr>
      <w:tr w14:paraId="2B7B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5705CDD3">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1</w:t>
            </w:r>
          </w:p>
        </w:tc>
        <w:tc>
          <w:tcPr>
            <w:tcW w:w="1805" w:type="dxa"/>
            <w:tcBorders>
              <w:top w:val="single" w:color="auto" w:sz="4" w:space="0"/>
              <w:left w:val="nil"/>
              <w:bottom w:val="single" w:color="auto" w:sz="4" w:space="0"/>
              <w:right w:val="single" w:color="auto" w:sz="4" w:space="0"/>
            </w:tcBorders>
            <w:vAlign w:val="center"/>
          </w:tcPr>
          <w:p w14:paraId="14B5FF82">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2517C843">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1C6A885C">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3DFDF8FB">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53457A91">
            <w:pPr>
              <w:spacing w:line="360" w:lineRule="auto"/>
              <w:jc w:val="center"/>
              <w:rPr>
                <w:rFonts w:hint="eastAsia" w:ascii="宋体" w:hAnsi="宋体" w:eastAsia="宋体" w:cs="宋体"/>
                <w:sz w:val="24"/>
                <w:szCs w:val="20"/>
                <w:highlight w:val="none"/>
              </w:rPr>
            </w:pPr>
          </w:p>
        </w:tc>
      </w:tr>
      <w:tr w14:paraId="6A5A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4C6C5A6F">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2</w:t>
            </w:r>
          </w:p>
        </w:tc>
        <w:tc>
          <w:tcPr>
            <w:tcW w:w="1805" w:type="dxa"/>
            <w:tcBorders>
              <w:top w:val="single" w:color="auto" w:sz="4" w:space="0"/>
              <w:left w:val="nil"/>
              <w:bottom w:val="single" w:color="auto" w:sz="4" w:space="0"/>
              <w:right w:val="single" w:color="auto" w:sz="4" w:space="0"/>
            </w:tcBorders>
            <w:vAlign w:val="center"/>
          </w:tcPr>
          <w:p w14:paraId="73D62F5C">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7AE3D0DB">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10D06C41">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26D5B57C">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6FA00E8A">
            <w:pPr>
              <w:spacing w:line="360" w:lineRule="auto"/>
              <w:jc w:val="center"/>
              <w:rPr>
                <w:rFonts w:hint="eastAsia" w:ascii="宋体" w:hAnsi="宋体" w:eastAsia="宋体" w:cs="宋体"/>
                <w:sz w:val="24"/>
                <w:szCs w:val="20"/>
                <w:highlight w:val="none"/>
              </w:rPr>
            </w:pPr>
          </w:p>
        </w:tc>
      </w:tr>
      <w:tr w14:paraId="0EB4B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36EBABD6">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3</w:t>
            </w:r>
          </w:p>
        </w:tc>
        <w:tc>
          <w:tcPr>
            <w:tcW w:w="1805" w:type="dxa"/>
            <w:tcBorders>
              <w:top w:val="single" w:color="auto" w:sz="4" w:space="0"/>
              <w:left w:val="nil"/>
              <w:bottom w:val="single" w:color="auto" w:sz="4" w:space="0"/>
              <w:right w:val="single" w:color="auto" w:sz="4" w:space="0"/>
            </w:tcBorders>
            <w:vAlign w:val="center"/>
          </w:tcPr>
          <w:p w14:paraId="0A2BF8AD">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53EFC6B5">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30A700FF">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11DDF80D">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0B81D428">
            <w:pPr>
              <w:spacing w:line="360" w:lineRule="auto"/>
              <w:jc w:val="center"/>
              <w:rPr>
                <w:rFonts w:hint="eastAsia" w:ascii="宋体" w:hAnsi="宋体" w:eastAsia="宋体" w:cs="宋体"/>
                <w:sz w:val="24"/>
                <w:szCs w:val="20"/>
                <w:highlight w:val="none"/>
              </w:rPr>
            </w:pPr>
          </w:p>
        </w:tc>
      </w:tr>
      <w:tr w14:paraId="4072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45C2BBE2">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w:t>
            </w:r>
          </w:p>
        </w:tc>
        <w:tc>
          <w:tcPr>
            <w:tcW w:w="1805" w:type="dxa"/>
            <w:tcBorders>
              <w:top w:val="single" w:color="auto" w:sz="4" w:space="0"/>
              <w:left w:val="nil"/>
              <w:bottom w:val="single" w:color="auto" w:sz="4" w:space="0"/>
              <w:right w:val="single" w:color="auto" w:sz="4" w:space="0"/>
            </w:tcBorders>
            <w:vAlign w:val="center"/>
          </w:tcPr>
          <w:p w14:paraId="5AAE9601">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76BD9A72">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62DB11CE">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0946F890">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02BA4EEF">
            <w:pPr>
              <w:spacing w:line="360" w:lineRule="auto"/>
              <w:jc w:val="center"/>
              <w:rPr>
                <w:rFonts w:hint="eastAsia" w:ascii="宋体" w:hAnsi="宋体" w:eastAsia="宋体" w:cs="宋体"/>
                <w:sz w:val="24"/>
                <w:szCs w:val="20"/>
                <w:highlight w:val="none"/>
              </w:rPr>
            </w:pPr>
          </w:p>
        </w:tc>
      </w:tr>
      <w:tr w14:paraId="1249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10B4D315">
            <w:pPr>
              <w:spacing w:line="360" w:lineRule="auto"/>
              <w:jc w:val="center"/>
              <w:rPr>
                <w:rFonts w:hint="eastAsia" w:ascii="宋体" w:hAnsi="宋体" w:eastAsia="宋体" w:cs="宋体"/>
                <w:sz w:val="24"/>
                <w:szCs w:val="20"/>
                <w:highlight w:val="none"/>
              </w:rPr>
            </w:pPr>
          </w:p>
        </w:tc>
        <w:tc>
          <w:tcPr>
            <w:tcW w:w="1805" w:type="dxa"/>
            <w:tcBorders>
              <w:top w:val="single" w:color="auto" w:sz="4" w:space="0"/>
              <w:left w:val="nil"/>
              <w:bottom w:val="single" w:color="auto" w:sz="4" w:space="0"/>
              <w:right w:val="single" w:color="auto" w:sz="4" w:space="0"/>
            </w:tcBorders>
            <w:vAlign w:val="center"/>
          </w:tcPr>
          <w:p w14:paraId="041283EE">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555BF6E2">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441B297F">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6113CE78">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4FE4A98F">
            <w:pPr>
              <w:spacing w:line="360" w:lineRule="auto"/>
              <w:jc w:val="center"/>
              <w:rPr>
                <w:rFonts w:hint="eastAsia" w:ascii="宋体" w:hAnsi="宋体" w:eastAsia="宋体" w:cs="宋体"/>
                <w:sz w:val="24"/>
                <w:szCs w:val="20"/>
                <w:highlight w:val="none"/>
              </w:rPr>
            </w:pPr>
          </w:p>
        </w:tc>
      </w:tr>
      <w:tr w14:paraId="4704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30E0C2C3">
            <w:pPr>
              <w:spacing w:line="360" w:lineRule="auto"/>
              <w:jc w:val="center"/>
              <w:rPr>
                <w:rFonts w:hint="eastAsia" w:ascii="宋体" w:hAnsi="宋体" w:eastAsia="宋体" w:cs="宋体"/>
                <w:sz w:val="24"/>
                <w:szCs w:val="20"/>
                <w:highlight w:val="none"/>
              </w:rPr>
            </w:pPr>
          </w:p>
        </w:tc>
        <w:tc>
          <w:tcPr>
            <w:tcW w:w="1805" w:type="dxa"/>
            <w:tcBorders>
              <w:top w:val="single" w:color="auto" w:sz="4" w:space="0"/>
              <w:left w:val="nil"/>
              <w:bottom w:val="single" w:color="auto" w:sz="4" w:space="0"/>
              <w:right w:val="single" w:color="auto" w:sz="4" w:space="0"/>
            </w:tcBorders>
            <w:vAlign w:val="center"/>
          </w:tcPr>
          <w:p w14:paraId="399C77B3">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42A8E518">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6469A61A">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44163239">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22919B70">
            <w:pPr>
              <w:spacing w:line="360" w:lineRule="auto"/>
              <w:jc w:val="center"/>
              <w:rPr>
                <w:rFonts w:hint="eastAsia" w:ascii="宋体" w:hAnsi="宋体" w:eastAsia="宋体" w:cs="宋体"/>
                <w:sz w:val="24"/>
                <w:szCs w:val="20"/>
                <w:highlight w:val="none"/>
              </w:rPr>
            </w:pPr>
          </w:p>
        </w:tc>
      </w:tr>
      <w:tr w14:paraId="603E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7"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1E1DF9FE">
            <w:pPr>
              <w:spacing w:line="360" w:lineRule="auto"/>
              <w:jc w:val="center"/>
              <w:rPr>
                <w:rFonts w:hint="eastAsia" w:ascii="宋体" w:hAnsi="宋体" w:eastAsia="宋体" w:cs="宋体"/>
                <w:sz w:val="24"/>
                <w:szCs w:val="20"/>
                <w:highlight w:val="none"/>
              </w:rPr>
            </w:pPr>
          </w:p>
        </w:tc>
        <w:tc>
          <w:tcPr>
            <w:tcW w:w="1805" w:type="dxa"/>
            <w:tcBorders>
              <w:top w:val="single" w:color="auto" w:sz="4" w:space="0"/>
              <w:left w:val="nil"/>
              <w:bottom w:val="single" w:color="auto" w:sz="4" w:space="0"/>
              <w:right w:val="single" w:color="auto" w:sz="4" w:space="0"/>
            </w:tcBorders>
            <w:vAlign w:val="center"/>
          </w:tcPr>
          <w:p w14:paraId="7F0C4735">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1514B677">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56A8B098">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208BAE5B">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29ACAB8E">
            <w:pPr>
              <w:spacing w:line="360" w:lineRule="auto"/>
              <w:jc w:val="center"/>
              <w:rPr>
                <w:rFonts w:hint="eastAsia" w:ascii="宋体" w:hAnsi="宋体" w:eastAsia="宋体" w:cs="宋体"/>
                <w:sz w:val="24"/>
                <w:szCs w:val="20"/>
                <w:highlight w:val="none"/>
              </w:rPr>
            </w:pPr>
          </w:p>
        </w:tc>
      </w:tr>
    </w:tbl>
    <w:p w14:paraId="4F26482D">
      <w:pPr>
        <w:spacing w:line="360" w:lineRule="auto"/>
        <w:rPr>
          <w:rFonts w:hint="eastAsia" w:ascii="宋体" w:hAnsi="宋体" w:eastAsia="宋体" w:cs="宋体"/>
          <w:b/>
          <w:bCs/>
          <w:sz w:val="24"/>
          <w:szCs w:val="20"/>
          <w:highlight w:val="none"/>
        </w:rPr>
      </w:pPr>
      <w:r>
        <w:rPr>
          <w:rFonts w:hint="eastAsia" w:ascii="宋体" w:hAnsi="宋体" w:eastAsia="宋体" w:cs="宋体"/>
          <w:b/>
          <w:bCs/>
          <w:sz w:val="24"/>
          <w:szCs w:val="20"/>
          <w:highlight w:val="none"/>
        </w:rPr>
        <w:t>注：响应人应对照竞争性磋商文件技术规格要求，反映所提供货物和服务对竞争性磋商文件的技术规格要求的全部正/负偏离（优于竞争性磋商文件要求的为正偏离、低于竞争性磋商文件要求得为负偏离）情况。未在本表中做出偏离说明的项目，视为与竞争性磋商文件要求一致；在本表中做出偏离说明的项目，响应人必须提供所投设备的具体参数值，并在技术标中提供详细资料。</w:t>
      </w:r>
    </w:p>
    <w:p w14:paraId="0AABB63A">
      <w:pPr>
        <w:spacing w:line="360" w:lineRule="auto"/>
        <w:ind w:firstLine="3360" w:firstLineChars="1400"/>
        <w:rPr>
          <w:rFonts w:hint="eastAsia" w:ascii="宋体" w:hAnsi="宋体" w:eastAsia="宋体" w:cs="宋体"/>
          <w:sz w:val="24"/>
          <w:szCs w:val="20"/>
          <w:highlight w:val="none"/>
        </w:rPr>
      </w:pPr>
    </w:p>
    <w:p w14:paraId="787A744E">
      <w:pPr>
        <w:spacing w:line="360" w:lineRule="auto"/>
        <w:ind w:firstLine="3360" w:firstLineChars="1400"/>
        <w:rPr>
          <w:rFonts w:hint="eastAsia" w:ascii="宋体" w:hAnsi="宋体" w:eastAsia="宋体" w:cs="宋体"/>
          <w:sz w:val="24"/>
          <w:szCs w:val="20"/>
          <w:highlight w:val="none"/>
          <w:u w:val="single"/>
        </w:rPr>
      </w:pPr>
      <w:r>
        <w:rPr>
          <w:rFonts w:hint="eastAsia" w:ascii="宋体" w:hAnsi="宋体" w:eastAsia="宋体" w:cs="宋体"/>
          <w:sz w:val="24"/>
          <w:szCs w:val="20"/>
          <w:highlight w:val="none"/>
        </w:rPr>
        <w:t>供应商名称：</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（盖单位章）</w:t>
      </w:r>
    </w:p>
    <w:p w14:paraId="0CCCDF1B">
      <w:pPr>
        <w:spacing w:line="360" w:lineRule="auto"/>
        <w:ind w:right="-340" w:rightChars="-162" w:firstLine="3360" w:firstLineChars="1400"/>
        <w:rPr>
          <w:rFonts w:hint="eastAsia" w:ascii="宋体" w:hAnsi="宋体" w:eastAsia="宋体" w:cs="宋体"/>
          <w:sz w:val="24"/>
          <w:szCs w:val="20"/>
          <w:highlight w:val="none"/>
        </w:rPr>
      </w:pPr>
      <w:r>
        <w:rPr>
          <w:rFonts w:hint="eastAsia" w:ascii="宋体" w:hAnsi="宋体" w:eastAsia="宋体" w:cs="宋体"/>
          <w:sz w:val="24"/>
          <w:szCs w:val="20"/>
          <w:highlight w:val="none"/>
        </w:rPr>
        <w:t>日    期：</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年</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月</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日</w:t>
      </w:r>
    </w:p>
    <w:p w14:paraId="2A97D192">
      <w:pPr>
        <w:widowControl/>
        <w:jc w:val="left"/>
        <w:rPr>
          <w:rFonts w:hint="eastAsia" w:ascii="宋体" w:hAnsi="宋体" w:cs="宋体"/>
          <w:szCs w:val="24"/>
          <w:highlight w:val="none"/>
        </w:rPr>
      </w:pPr>
    </w:p>
    <w:p w14:paraId="1D4FA1D0">
      <w:pPr>
        <w:widowControl/>
        <w:jc w:val="left"/>
        <w:rPr>
          <w:highlight w:val="none"/>
        </w:rPr>
      </w:pPr>
      <w:r>
        <w:rPr>
          <w:highlight w:val="none"/>
        </w:rPr>
        <w:br w:type="page"/>
      </w:r>
    </w:p>
    <w:p w14:paraId="12FF5EE3">
      <w:pPr>
        <w:pStyle w:val="7"/>
        <w:jc w:val="center"/>
        <w:rPr>
          <w:highlight w:val="none"/>
        </w:rPr>
      </w:pPr>
      <w:bookmarkStart w:id="278" w:name="_Toc21996"/>
      <w:r>
        <w:rPr>
          <w:rFonts w:hint="eastAsia"/>
          <w:highlight w:val="none"/>
        </w:rPr>
        <w:t>七、技术标部分</w:t>
      </w:r>
      <w:bookmarkEnd w:id="274"/>
      <w:bookmarkEnd w:id="275"/>
      <w:bookmarkEnd w:id="276"/>
      <w:bookmarkEnd w:id="278"/>
    </w:p>
    <w:p w14:paraId="69E7F863">
      <w:pPr>
        <w:spacing w:line="500" w:lineRule="exact"/>
        <w:jc w:val="center"/>
        <w:rPr>
          <w:rFonts w:hint="eastAsia" w:ascii="宋体" w:hAnsi="宋体" w:cs="宋体"/>
          <w:sz w:val="22"/>
          <w:highlight w:val="none"/>
        </w:rPr>
      </w:pPr>
      <w:r>
        <w:rPr>
          <w:rFonts w:hint="eastAsia" w:ascii="宋体" w:hAnsi="宋体" w:cs="宋体"/>
          <w:sz w:val="22"/>
          <w:highlight w:val="none"/>
        </w:rPr>
        <w:t>（格式自拟）</w:t>
      </w:r>
    </w:p>
    <w:p w14:paraId="0330EA93">
      <w:pPr>
        <w:rPr>
          <w:highlight w:val="none"/>
        </w:rPr>
      </w:pPr>
      <w:bookmarkStart w:id="279" w:name="_Toc12073"/>
      <w:bookmarkEnd w:id="279"/>
      <w:r>
        <w:rPr>
          <w:rFonts w:hint="eastAsia"/>
          <w:highlight w:val="none"/>
        </w:rPr>
        <w:br w:type="page"/>
      </w:r>
      <w:bookmarkStart w:id="280" w:name="_Toc2770"/>
      <w:bookmarkEnd w:id="280"/>
      <w:bookmarkStart w:id="281" w:name="_Toc20210"/>
      <w:bookmarkStart w:id="282" w:name="_Toc4724"/>
    </w:p>
    <w:p w14:paraId="06A3BF81">
      <w:pPr>
        <w:pStyle w:val="7"/>
        <w:jc w:val="center"/>
        <w:rPr>
          <w:highlight w:val="none"/>
        </w:rPr>
      </w:pPr>
      <w:bookmarkStart w:id="283" w:name="_Toc26781"/>
      <w:r>
        <w:rPr>
          <w:rFonts w:hint="eastAsia"/>
          <w:highlight w:val="none"/>
        </w:rPr>
        <w:t>八、供应商资格证明</w:t>
      </w:r>
      <w:bookmarkEnd w:id="281"/>
      <w:bookmarkEnd w:id="282"/>
      <w:r>
        <w:rPr>
          <w:rFonts w:hint="eastAsia"/>
          <w:highlight w:val="none"/>
        </w:rPr>
        <w:t>材料</w:t>
      </w:r>
      <w:bookmarkEnd w:id="283"/>
    </w:p>
    <w:p w14:paraId="52F670E3">
      <w:pPr>
        <w:jc w:val="center"/>
        <w:rPr>
          <w:rFonts w:hint="eastAsia" w:ascii="宋体" w:hAnsi="宋体" w:cs="宋体"/>
          <w:sz w:val="24"/>
          <w:highlight w:val="none"/>
        </w:rPr>
      </w:pPr>
      <w:bookmarkStart w:id="284" w:name="_Toc361989464"/>
      <w:bookmarkEnd w:id="284"/>
      <w:r>
        <w:rPr>
          <w:rFonts w:hint="eastAsia" w:ascii="宋体" w:hAnsi="宋体" w:cs="宋体"/>
          <w:sz w:val="24"/>
          <w:highlight w:val="none"/>
        </w:rPr>
        <w:br w:type="page"/>
      </w:r>
      <w:bookmarkStart w:id="285" w:name="_Toc234213567"/>
      <w:bookmarkEnd w:id="285"/>
      <w:bookmarkStart w:id="286" w:name="_Toc361989466"/>
      <w:bookmarkEnd w:id="286"/>
      <w:bookmarkStart w:id="287" w:name="_Toc244934216"/>
      <w:bookmarkEnd w:id="287"/>
      <w:bookmarkStart w:id="288" w:name="_Toc528078075"/>
      <w:bookmarkEnd w:id="288"/>
      <w:bookmarkStart w:id="289" w:name="_Toc361989467"/>
      <w:bookmarkEnd w:id="289"/>
      <w:bookmarkStart w:id="290" w:name="_Toc7868"/>
    </w:p>
    <w:p w14:paraId="535587B3">
      <w:pPr>
        <w:pStyle w:val="7"/>
        <w:jc w:val="center"/>
        <w:rPr>
          <w:highlight w:val="none"/>
        </w:rPr>
      </w:pPr>
      <w:bookmarkStart w:id="291" w:name="_Toc21708"/>
      <w:r>
        <w:rPr>
          <w:rFonts w:hint="eastAsia"/>
          <w:highlight w:val="none"/>
        </w:rPr>
        <w:t>九、</w:t>
      </w:r>
      <w:bookmarkEnd w:id="290"/>
      <w:r>
        <w:rPr>
          <w:rFonts w:hint="eastAsia"/>
          <w:highlight w:val="none"/>
        </w:rPr>
        <w:t>商务标部分</w:t>
      </w:r>
      <w:bookmarkEnd w:id="291"/>
    </w:p>
    <w:p w14:paraId="1343C761">
      <w:pPr>
        <w:jc w:val="center"/>
        <w:outlineLvl w:val="2"/>
        <w:rPr>
          <w:rFonts w:hint="eastAsia" w:ascii="宋体" w:hAnsi="宋体" w:cs="宋体"/>
          <w:b/>
          <w:bCs/>
          <w:sz w:val="24"/>
          <w:highlight w:val="none"/>
        </w:rPr>
      </w:pPr>
      <w:bookmarkStart w:id="292" w:name="_Toc21162"/>
      <w:r>
        <w:rPr>
          <w:rFonts w:hint="eastAsia" w:ascii="宋体" w:hAnsi="宋体" w:cs="宋体"/>
          <w:b/>
          <w:bCs/>
          <w:sz w:val="24"/>
          <w:highlight w:val="none"/>
        </w:rPr>
        <w:t>（格式自拟）</w:t>
      </w:r>
      <w:bookmarkEnd w:id="292"/>
    </w:p>
    <w:p w14:paraId="2A44968D">
      <w:pPr>
        <w:jc w:val="center"/>
        <w:rPr>
          <w:rFonts w:hint="eastAsia" w:ascii="宋体" w:hAnsi="宋体" w:cs="宋体"/>
          <w:b/>
          <w:bCs/>
          <w:sz w:val="24"/>
          <w:highlight w:val="none"/>
        </w:rPr>
      </w:pPr>
      <w:r>
        <w:rPr>
          <w:rFonts w:hint="eastAsia" w:ascii="宋体" w:hAnsi="宋体" w:cs="宋体"/>
          <w:b/>
          <w:bCs/>
          <w:sz w:val="24"/>
          <w:highlight w:val="none"/>
        </w:rPr>
        <w:br w:type="page"/>
      </w:r>
    </w:p>
    <w:p w14:paraId="24506F8C">
      <w:pPr>
        <w:ind w:firstLine="420"/>
        <w:jc w:val="center"/>
        <w:rPr>
          <w:rFonts w:hint="eastAsia" w:ascii="宋体" w:hAnsi="宋体" w:cs="宋体"/>
          <w:b/>
          <w:bCs/>
          <w:sz w:val="24"/>
          <w:highlight w:val="none"/>
        </w:rPr>
      </w:pPr>
    </w:p>
    <w:p w14:paraId="3CD41CE9">
      <w:pPr>
        <w:pStyle w:val="7"/>
        <w:jc w:val="center"/>
        <w:rPr>
          <w:highlight w:val="none"/>
        </w:rPr>
      </w:pPr>
      <w:bookmarkStart w:id="293" w:name="_Toc528078076"/>
      <w:bookmarkEnd w:id="293"/>
      <w:bookmarkStart w:id="294" w:name="_Toc361989468"/>
      <w:bookmarkEnd w:id="294"/>
      <w:bookmarkStart w:id="295" w:name="_Toc244934217"/>
      <w:bookmarkEnd w:id="295"/>
      <w:bookmarkStart w:id="296" w:name="_Toc17473"/>
      <w:bookmarkStart w:id="297" w:name="_Toc23775"/>
      <w:r>
        <w:rPr>
          <w:rFonts w:hint="eastAsia"/>
          <w:highlight w:val="none"/>
        </w:rPr>
        <w:t>十、其他资料</w:t>
      </w:r>
      <w:bookmarkEnd w:id="296"/>
      <w:bookmarkEnd w:id="297"/>
    </w:p>
    <w:p w14:paraId="3065E253">
      <w:pPr>
        <w:jc w:val="center"/>
        <w:rPr>
          <w:rFonts w:hint="eastAsia" w:ascii="宋体" w:hAnsi="宋体" w:cs="宋体"/>
          <w:b/>
          <w:bCs/>
          <w:sz w:val="24"/>
          <w:highlight w:val="none"/>
        </w:rPr>
      </w:pPr>
    </w:p>
    <w:p w14:paraId="4FA84F29">
      <w:pPr>
        <w:jc w:val="center"/>
        <w:outlineLvl w:val="0"/>
        <w:rPr>
          <w:rFonts w:hint="eastAsia" w:ascii="宋体" w:hAnsi="宋体" w:cs="宋体"/>
          <w:b/>
          <w:bCs/>
          <w:sz w:val="24"/>
          <w:highlight w:val="none"/>
        </w:rPr>
      </w:pPr>
      <w:bookmarkStart w:id="298" w:name="_Toc22165"/>
      <w:bookmarkStart w:id="299" w:name="_Toc9253"/>
      <w:bookmarkStart w:id="300" w:name="_Toc24855"/>
      <w:bookmarkStart w:id="301" w:name="_Toc30780"/>
      <w:bookmarkStart w:id="302" w:name="_Toc5157"/>
      <w:bookmarkStart w:id="303" w:name="_Toc21993"/>
      <w:r>
        <w:rPr>
          <w:rFonts w:hint="eastAsia" w:ascii="宋体" w:hAnsi="宋体" w:cs="宋体"/>
          <w:b/>
          <w:bCs/>
          <w:sz w:val="24"/>
          <w:highlight w:val="none"/>
        </w:rPr>
        <w:t>（供应商认为应该提交的资料）</w:t>
      </w:r>
      <w:bookmarkEnd w:id="298"/>
      <w:bookmarkEnd w:id="299"/>
      <w:bookmarkEnd w:id="300"/>
      <w:bookmarkEnd w:id="301"/>
      <w:bookmarkEnd w:id="302"/>
      <w:bookmarkEnd w:id="303"/>
    </w:p>
    <w:p w14:paraId="06F1BCE7">
      <w:pPr>
        <w:jc w:val="center"/>
        <w:rPr>
          <w:rFonts w:hint="eastAsia" w:ascii="宋体" w:hAnsi="宋体" w:cs="宋体"/>
          <w:b/>
          <w:bCs/>
          <w:sz w:val="24"/>
          <w:highlight w:val="none"/>
        </w:rPr>
      </w:pPr>
    </w:p>
    <w:p w14:paraId="02E897B4">
      <w:pPr>
        <w:rPr>
          <w:rFonts w:hint="eastAsia" w:ascii="宋体" w:hAnsi="宋体" w:cs="宋体"/>
          <w:b/>
          <w:bCs/>
          <w:sz w:val="24"/>
          <w:highlight w:val="none"/>
        </w:rPr>
      </w:pPr>
      <w:r>
        <w:rPr>
          <w:rFonts w:hint="eastAsia" w:ascii="宋体" w:hAnsi="宋体" w:cs="宋体"/>
          <w:b/>
          <w:bCs/>
          <w:sz w:val="24"/>
          <w:highlight w:val="none"/>
        </w:rPr>
        <w:t xml:space="preserve"> </w:t>
      </w:r>
    </w:p>
    <w:p w14:paraId="30108731">
      <w:pPr>
        <w:rPr>
          <w:rFonts w:hint="eastAsia" w:ascii="宋体" w:hAnsi="宋体" w:cs="宋体"/>
          <w:b/>
          <w:bCs/>
          <w:sz w:val="24"/>
          <w:highlight w:val="none"/>
        </w:rPr>
      </w:pPr>
      <w:r>
        <w:rPr>
          <w:rFonts w:hint="eastAsia" w:ascii="宋体" w:hAnsi="宋体" w:cs="宋体"/>
          <w:b/>
          <w:bCs/>
          <w:sz w:val="24"/>
          <w:highlight w:val="none"/>
        </w:rPr>
        <w:t xml:space="preserve"> </w:t>
      </w:r>
    </w:p>
    <w:p w14:paraId="051F427E">
      <w:pPr>
        <w:rPr>
          <w:rFonts w:hint="eastAsia" w:ascii="宋体" w:hAnsi="宋体" w:cs="宋体"/>
          <w:b/>
          <w:bCs/>
          <w:sz w:val="24"/>
          <w:highlight w:val="none"/>
        </w:rPr>
      </w:pPr>
      <w:r>
        <w:rPr>
          <w:rFonts w:hint="eastAsia" w:ascii="宋体" w:hAnsi="宋体" w:cs="宋体"/>
          <w:b/>
          <w:bCs/>
          <w:sz w:val="24"/>
          <w:highlight w:val="none"/>
        </w:rPr>
        <w:t xml:space="preserve"> </w:t>
      </w:r>
    </w:p>
    <w:p w14:paraId="1B467E2B">
      <w:pPr>
        <w:rPr>
          <w:rFonts w:hint="eastAsia" w:ascii="宋体" w:hAnsi="宋体" w:cs="宋体"/>
          <w:b/>
          <w:bCs/>
          <w:sz w:val="24"/>
          <w:highlight w:val="none"/>
        </w:rPr>
      </w:pPr>
      <w:r>
        <w:rPr>
          <w:rFonts w:hint="eastAsia" w:ascii="宋体" w:hAnsi="宋体" w:cs="宋体"/>
          <w:b/>
          <w:bCs/>
          <w:sz w:val="24"/>
          <w:highlight w:val="none"/>
        </w:rPr>
        <w:t xml:space="preserve"> </w:t>
      </w:r>
    </w:p>
    <w:p w14:paraId="7A62F968">
      <w:pPr>
        <w:rPr>
          <w:rFonts w:hint="eastAsia" w:ascii="宋体" w:hAnsi="宋体" w:cs="宋体"/>
          <w:b/>
          <w:bCs/>
          <w:sz w:val="24"/>
          <w:highlight w:val="none"/>
        </w:rPr>
      </w:pPr>
      <w:r>
        <w:rPr>
          <w:rFonts w:hint="eastAsia" w:ascii="宋体" w:hAnsi="宋体" w:cs="宋体"/>
          <w:b/>
          <w:bCs/>
          <w:sz w:val="24"/>
          <w:highlight w:val="none"/>
        </w:rPr>
        <w:t xml:space="preserve"> </w:t>
      </w:r>
    </w:p>
    <w:p w14:paraId="4206F70E">
      <w:pPr>
        <w:rPr>
          <w:rFonts w:hint="eastAsia" w:ascii="宋体" w:hAnsi="宋体" w:cs="宋体"/>
          <w:b/>
          <w:bCs/>
          <w:sz w:val="24"/>
          <w:highlight w:val="none"/>
        </w:rPr>
      </w:pPr>
      <w:r>
        <w:rPr>
          <w:rFonts w:hint="eastAsia" w:ascii="宋体" w:hAnsi="宋体" w:cs="宋体"/>
          <w:b/>
          <w:bCs/>
          <w:sz w:val="24"/>
          <w:highlight w:val="none"/>
        </w:rPr>
        <w:t xml:space="preserve"> </w:t>
      </w:r>
    </w:p>
    <w:p w14:paraId="204099B2">
      <w:pPr>
        <w:rPr>
          <w:rFonts w:hint="eastAsia" w:ascii="宋体" w:hAnsi="宋体" w:cs="宋体"/>
          <w:b/>
          <w:bCs/>
          <w:sz w:val="24"/>
          <w:highlight w:val="none"/>
        </w:rPr>
      </w:pPr>
      <w:r>
        <w:rPr>
          <w:rFonts w:hint="eastAsia" w:ascii="宋体" w:hAnsi="宋体" w:cs="宋体"/>
          <w:b/>
          <w:bCs/>
          <w:sz w:val="24"/>
          <w:highlight w:val="none"/>
        </w:rPr>
        <w:t xml:space="preserve"> </w:t>
      </w:r>
    </w:p>
    <w:p w14:paraId="695511AF">
      <w:pPr>
        <w:rPr>
          <w:rFonts w:hint="eastAsia" w:ascii="宋体" w:hAnsi="宋体" w:cs="宋体"/>
          <w:b/>
          <w:bCs/>
          <w:sz w:val="24"/>
          <w:highlight w:val="none"/>
        </w:rPr>
      </w:pPr>
      <w:r>
        <w:rPr>
          <w:rFonts w:hint="eastAsia" w:ascii="宋体" w:hAnsi="宋体" w:cs="宋体"/>
          <w:b/>
          <w:bCs/>
          <w:sz w:val="24"/>
          <w:highlight w:val="none"/>
        </w:rPr>
        <w:t xml:space="preserve"> </w:t>
      </w:r>
    </w:p>
    <w:p w14:paraId="7F946679">
      <w:pPr>
        <w:rPr>
          <w:rFonts w:hint="eastAsia" w:ascii="宋体" w:hAnsi="宋体" w:cs="宋体"/>
          <w:b/>
          <w:bCs/>
          <w:sz w:val="24"/>
          <w:highlight w:val="none"/>
        </w:rPr>
      </w:pPr>
      <w:r>
        <w:rPr>
          <w:rFonts w:hint="eastAsia" w:ascii="宋体" w:hAnsi="宋体" w:cs="宋体"/>
          <w:b/>
          <w:bCs/>
          <w:sz w:val="24"/>
          <w:highlight w:val="none"/>
        </w:rPr>
        <w:t xml:space="preserve"> </w:t>
      </w:r>
    </w:p>
    <w:p w14:paraId="7B2C327B">
      <w:pPr>
        <w:rPr>
          <w:rFonts w:hint="eastAsia" w:ascii="宋体" w:hAnsi="宋体" w:cs="宋体"/>
          <w:sz w:val="24"/>
          <w:highlight w:val="none"/>
        </w:rPr>
      </w:pPr>
      <w:r>
        <w:rPr>
          <w:rFonts w:hint="eastAsia" w:ascii="宋体" w:hAnsi="宋体" w:cs="宋体"/>
          <w:sz w:val="24"/>
          <w:highlight w:val="none"/>
        </w:rPr>
        <w:t xml:space="preserve"> </w:t>
      </w:r>
    </w:p>
    <w:p w14:paraId="699982B4">
      <w:pPr>
        <w:rPr>
          <w:rFonts w:hint="eastAsia" w:ascii="宋体" w:hAnsi="宋体" w:cs="宋体"/>
          <w:sz w:val="24"/>
          <w:highlight w:val="none"/>
        </w:rPr>
      </w:pPr>
      <w:r>
        <w:rPr>
          <w:rFonts w:hint="eastAsia" w:ascii="宋体" w:hAnsi="宋体" w:cs="宋体"/>
          <w:sz w:val="24"/>
          <w:highlight w:val="none"/>
        </w:rPr>
        <w:t xml:space="preserve"> </w:t>
      </w:r>
    </w:p>
    <w:p w14:paraId="4138347E">
      <w:pPr>
        <w:rPr>
          <w:rFonts w:hint="eastAsia" w:ascii="宋体" w:hAnsi="宋体" w:cs="宋体"/>
          <w:sz w:val="24"/>
          <w:highlight w:val="none"/>
        </w:rPr>
      </w:pPr>
    </w:p>
    <w:p w14:paraId="24429E57">
      <w:pPr>
        <w:rPr>
          <w:rFonts w:hint="eastAsia" w:ascii="宋体" w:hAnsi="宋体" w:cs="宋体"/>
          <w:sz w:val="24"/>
          <w:highlight w:val="none"/>
        </w:rPr>
      </w:pPr>
    </w:p>
    <w:p w14:paraId="2AC13DE8">
      <w:pPr>
        <w:rPr>
          <w:rFonts w:hint="eastAsia" w:ascii="宋体" w:hAnsi="宋体" w:cs="宋体"/>
          <w:sz w:val="24"/>
          <w:highlight w:val="none"/>
        </w:rPr>
      </w:pPr>
    </w:p>
    <w:p w14:paraId="5270C000">
      <w:pPr>
        <w:rPr>
          <w:rFonts w:hint="eastAsia" w:ascii="宋体" w:hAnsi="宋体" w:eastAsia="宋体" w:cs="宋体"/>
          <w:sz w:val="24"/>
          <w:szCs w:val="24"/>
          <w:highlight w:val="none"/>
        </w:rPr>
      </w:pPr>
    </w:p>
    <w:p w14:paraId="4A82AE38">
      <w:pPr>
        <w:widowControl/>
        <w:jc w:val="left"/>
        <w:rPr>
          <w:highlight w:val="none"/>
        </w:rPr>
      </w:pPr>
      <w:r>
        <w:rPr>
          <w:highlight w:val="none"/>
        </w:rPr>
        <w:br w:type="page"/>
      </w:r>
    </w:p>
    <w:p w14:paraId="704E08A0">
      <w:pPr>
        <w:rPr>
          <w:rFonts w:asciiTheme="minorEastAsia" w:hAnsiTheme="minorEastAsia" w:cstheme="minorEastAsia"/>
          <w:b/>
          <w:bCs/>
          <w:sz w:val="24"/>
          <w:szCs w:val="24"/>
        </w:rPr>
      </w:pPr>
      <w:bookmarkStart w:id="304" w:name="_Toc16496"/>
      <w:bookmarkStart w:id="305" w:name="_Toc12352"/>
      <w:bookmarkStart w:id="306" w:name="_Toc30800"/>
      <w:bookmarkStart w:id="307" w:name="_Toc5971"/>
      <w:bookmarkStart w:id="308" w:name="_Toc17134"/>
      <w:bookmarkStart w:id="309" w:name="_Toc224"/>
      <w:r>
        <w:rPr>
          <w:rFonts w:hint="eastAsia" w:asciiTheme="minorEastAsia" w:hAnsiTheme="minorEastAsia" w:cstheme="minorEastAsia"/>
          <w:b/>
          <w:bCs/>
          <w:sz w:val="24"/>
          <w:szCs w:val="24"/>
        </w:rPr>
        <w:t>附件</w:t>
      </w:r>
      <w:r>
        <w:rPr>
          <w:rFonts w:hint="eastAsia" w:asciiTheme="minorEastAsia" w:hAnsiTheme="minorEastAsia" w:cstheme="minorEastAsia"/>
          <w:b/>
          <w:bCs/>
          <w:sz w:val="24"/>
          <w:szCs w:val="24"/>
          <w:lang w:val="en-US" w:eastAsia="zh-CN"/>
        </w:rPr>
        <w:t>1</w:t>
      </w:r>
      <w:r>
        <w:rPr>
          <w:rFonts w:hint="eastAsia" w:asciiTheme="minorEastAsia" w:hAnsiTheme="minorEastAsia" w:cstheme="minorEastAsia"/>
          <w:b/>
          <w:bCs/>
          <w:sz w:val="24"/>
          <w:szCs w:val="24"/>
        </w:rPr>
        <w:t>：关于符合本国产品标准的声明函</w:t>
      </w:r>
    </w:p>
    <w:p w14:paraId="3D12D42E">
      <w:pPr>
        <w:spacing w:line="360" w:lineRule="auto"/>
        <w:jc w:val="center"/>
        <w:rPr>
          <w:rFonts w:ascii="宋体" w:hAnsi="宋体" w:eastAsia="宋体" w:cs="宋体"/>
          <w:b/>
          <w:kern w:val="0"/>
          <w:sz w:val="28"/>
          <w:szCs w:val="28"/>
        </w:rPr>
      </w:pPr>
      <w:r>
        <w:rPr>
          <w:rFonts w:hint="eastAsia" w:ascii="宋体" w:hAnsi="宋体" w:eastAsia="宋体" w:cs="宋体"/>
          <w:b/>
          <w:kern w:val="0"/>
          <w:sz w:val="28"/>
          <w:szCs w:val="28"/>
        </w:rPr>
        <w:t>关于符合本国产品标准的声明函</w:t>
      </w:r>
    </w:p>
    <w:p w14:paraId="2983CD38">
      <w:pPr>
        <w:wordWrap w:val="0"/>
        <w:topLinePunct/>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本公司（单位）郑重声明，根据《国务院办公厅关于在政府采购中实施本国产品标准及相关政策的通知》（国办发〔2025〕34号）的规定，本公司（单位）提供的以下产品属于本国产品。具体情况如下：</w:t>
      </w:r>
    </w:p>
    <w:p w14:paraId="7174CCBE">
      <w:pPr>
        <w:wordWrap w:val="0"/>
        <w:topLinePunct/>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1.（产品名称1），生产厂为（厂名），厂址为（生产厂址）。（产品名称1）的中国境内生产的组件成本占比≥（规定比例）。（产品名称1）的（关键组件）在中国境内生产。（产品名称1）的（关键工序）在中国境内完成。</w:t>
      </w:r>
    </w:p>
    <w:p w14:paraId="11167EE9">
      <w:pPr>
        <w:wordWrap w:val="0"/>
        <w:topLinePunct/>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2.（产品名称2），生产厂为（厂名），厂址为（生产厂址）。（产品名称2）的中国境内生产的组件成本占比≥（规定比例）。（产品名称2）的（关键组件）在中国境内生产。（产品名称2）的（关键工序）在中国境内完成。</w:t>
      </w:r>
    </w:p>
    <w:p w14:paraId="09F2A505">
      <w:pPr>
        <w:wordWrap w:val="0"/>
        <w:topLinePunct/>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w:t>
      </w:r>
    </w:p>
    <w:p w14:paraId="452FC669">
      <w:pPr>
        <w:wordWrap w:val="0"/>
        <w:topLinePunct/>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本公司（单位）对上述声明内容的真实性负责。如有虚假，愿承担相应法律责任。</w:t>
      </w:r>
    </w:p>
    <w:p w14:paraId="01F065C0">
      <w:pPr>
        <w:widowControl/>
        <w:shd w:val="clear" w:color="auto" w:fill="FFFFFF"/>
        <w:spacing w:before="30" w:after="30"/>
        <w:ind w:firstLine="480"/>
        <w:jc w:val="left"/>
        <w:rPr>
          <w:rFonts w:ascii="宋体" w:hAnsi="宋体"/>
          <w:sz w:val="24"/>
          <w:szCs w:val="24"/>
        </w:rPr>
      </w:pPr>
    </w:p>
    <w:p w14:paraId="60EA1177">
      <w:pPr>
        <w:widowControl/>
        <w:shd w:val="clear" w:color="auto" w:fill="FFFFFF"/>
        <w:spacing w:before="30" w:after="30"/>
        <w:ind w:firstLine="3698" w:firstLineChars="1535"/>
        <w:jc w:val="right"/>
        <w:rPr>
          <w:rFonts w:ascii="宋体" w:hAnsi="宋体" w:cs="宋体"/>
          <w:b/>
          <w:color w:val="333333"/>
          <w:kern w:val="0"/>
          <w:sz w:val="24"/>
          <w:szCs w:val="24"/>
        </w:rPr>
      </w:pPr>
      <w:r>
        <w:rPr>
          <w:rFonts w:hint="eastAsia" w:ascii="宋体" w:hAnsi="宋体" w:cs="宋体"/>
          <w:b/>
          <w:color w:val="333333"/>
          <w:kern w:val="0"/>
          <w:sz w:val="24"/>
          <w:szCs w:val="24"/>
        </w:rPr>
        <w:t>公司（单位）名称（盖章）：　        </w:t>
      </w:r>
    </w:p>
    <w:p w14:paraId="48976A41">
      <w:pPr>
        <w:widowControl/>
        <w:shd w:val="clear" w:color="auto" w:fill="FFFFFF"/>
        <w:ind w:firstLine="3698" w:firstLineChars="1535"/>
        <w:jc w:val="right"/>
        <w:rPr>
          <w:rFonts w:ascii="宋体" w:hAnsi="宋体" w:cs="宋体"/>
          <w:b/>
          <w:color w:val="333333"/>
          <w:kern w:val="0"/>
          <w:sz w:val="24"/>
          <w:szCs w:val="24"/>
        </w:rPr>
      </w:pPr>
      <w:r>
        <w:rPr>
          <w:rFonts w:hint="eastAsia" w:ascii="宋体" w:hAnsi="宋体" w:cs="宋体"/>
          <w:b/>
          <w:color w:val="333333"/>
          <w:kern w:val="0"/>
          <w:sz w:val="24"/>
          <w:szCs w:val="24"/>
        </w:rPr>
        <w:t>日期： 年  月　日         </w:t>
      </w:r>
    </w:p>
    <w:p w14:paraId="543F80A0">
      <w:pPr>
        <w:widowControl/>
        <w:shd w:val="clear" w:color="auto" w:fill="FFFFFF"/>
        <w:spacing w:before="30" w:after="30"/>
        <w:ind w:firstLine="480"/>
        <w:jc w:val="left"/>
        <w:rPr>
          <w:rFonts w:ascii="宋体" w:hAnsi="宋体" w:cs="宋体"/>
          <w:b/>
          <w:color w:val="333333"/>
          <w:kern w:val="0"/>
          <w:sz w:val="24"/>
          <w:szCs w:val="24"/>
        </w:rPr>
      </w:pPr>
    </w:p>
    <w:p w14:paraId="5C15AEF1">
      <w:pPr>
        <w:widowControl/>
        <w:shd w:val="clear" w:color="auto" w:fill="FFFFFF"/>
        <w:spacing w:before="30" w:after="30"/>
        <w:ind w:firstLine="480"/>
        <w:jc w:val="left"/>
        <w:rPr>
          <w:rFonts w:hint="eastAsia" w:ascii="宋体" w:hAnsi="宋体"/>
          <w:szCs w:val="21"/>
        </w:rPr>
      </w:pPr>
    </w:p>
    <w:p w14:paraId="39BDAA05">
      <w:pPr>
        <w:widowControl/>
        <w:shd w:val="clear" w:color="auto" w:fill="FFFFFF"/>
        <w:spacing w:before="30" w:after="30"/>
        <w:ind w:firstLine="480"/>
        <w:jc w:val="left"/>
        <w:rPr>
          <w:rFonts w:hint="eastAsia" w:ascii="宋体" w:hAnsi="宋体"/>
          <w:szCs w:val="21"/>
        </w:rPr>
      </w:pPr>
    </w:p>
    <w:p w14:paraId="32A85F56">
      <w:pPr>
        <w:widowControl/>
        <w:shd w:val="clear" w:color="auto" w:fill="FFFFFF"/>
        <w:spacing w:before="30" w:after="30"/>
        <w:ind w:firstLine="480"/>
        <w:jc w:val="left"/>
        <w:rPr>
          <w:rFonts w:hint="eastAsia" w:ascii="宋体" w:hAnsi="宋体"/>
          <w:szCs w:val="21"/>
        </w:rPr>
      </w:pPr>
    </w:p>
    <w:p w14:paraId="3C96B6A1">
      <w:pPr>
        <w:widowControl/>
        <w:shd w:val="clear" w:color="auto" w:fill="FFFFFF"/>
        <w:spacing w:before="30" w:after="30"/>
        <w:ind w:firstLine="480"/>
        <w:jc w:val="left"/>
        <w:rPr>
          <w:rFonts w:ascii="宋体" w:hAnsi="宋体"/>
          <w:szCs w:val="21"/>
        </w:rPr>
      </w:pPr>
      <w:r>
        <w:rPr>
          <w:rFonts w:hint="eastAsia" w:ascii="宋体" w:hAnsi="宋体"/>
          <w:szCs w:val="21"/>
        </w:rPr>
        <w:t>1.产品如有型号，请在“产品名称”栏一并填写。</w:t>
      </w:r>
    </w:p>
    <w:p w14:paraId="326F9246">
      <w:pPr>
        <w:widowControl/>
        <w:shd w:val="clear" w:color="auto" w:fill="FFFFFF"/>
        <w:spacing w:before="30" w:after="30"/>
        <w:ind w:firstLine="480"/>
        <w:jc w:val="left"/>
        <w:rPr>
          <w:rFonts w:ascii="宋体" w:hAnsi="宋体"/>
          <w:szCs w:val="21"/>
        </w:rPr>
      </w:pPr>
      <w:r>
        <w:rPr>
          <w:rFonts w:hint="eastAsia" w:ascii="宋体" w:hAnsi="宋体"/>
          <w:szCs w:val="21"/>
        </w:rPr>
        <w:t>2.生产厂名与厂址应与生产厂营业执照载明的相关信息保持一致。</w:t>
      </w:r>
    </w:p>
    <w:p w14:paraId="6D82F6FD">
      <w:pPr>
        <w:widowControl/>
        <w:shd w:val="clear" w:color="auto" w:fill="FFFFFF"/>
        <w:spacing w:before="30" w:after="30"/>
        <w:ind w:firstLine="480"/>
        <w:jc w:val="left"/>
        <w:rPr>
          <w:rFonts w:ascii="宋体" w:hAnsi="宋体"/>
          <w:szCs w:val="21"/>
        </w:rPr>
      </w:pPr>
      <w:r>
        <w:rPr>
          <w:rFonts w:hint="eastAsia" w:ascii="宋体" w:hAnsi="宋体"/>
          <w:szCs w:val="21"/>
        </w:rPr>
        <w:t>3.该产品的中国境内生产的组件成本占比相关要求实施前，“规定比例”栏可不填，下同。</w:t>
      </w:r>
    </w:p>
    <w:p w14:paraId="49F59E3D">
      <w:pPr>
        <w:widowControl/>
        <w:shd w:val="clear" w:color="auto" w:fill="FFFFFF"/>
        <w:spacing w:before="30" w:after="30"/>
        <w:ind w:firstLine="480"/>
        <w:jc w:val="left"/>
        <w:rPr>
          <w:rFonts w:ascii="宋体" w:hAnsi="宋体"/>
          <w:szCs w:val="21"/>
        </w:rPr>
      </w:pPr>
      <w:r>
        <w:rPr>
          <w:rFonts w:hint="eastAsia" w:ascii="宋体" w:hAnsi="宋体"/>
          <w:szCs w:val="21"/>
        </w:rPr>
        <w:t>4.该产品的关键组件要求实施前，“关键组件”栏可不填，下同。</w:t>
      </w:r>
    </w:p>
    <w:p w14:paraId="0D678124">
      <w:pPr>
        <w:widowControl/>
        <w:shd w:val="clear" w:color="auto" w:fill="FFFFFF"/>
        <w:spacing w:before="30" w:after="30"/>
        <w:ind w:firstLine="480"/>
        <w:jc w:val="left"/>
        <w:rPr>
          <w:rFonts w:ascii="宋体" w:hAnsi="宋体"/>
          <w:szCs w:val="21"/>
        </w:rPr>
      </w:pPr>
      <w:r>
        <w:rPr>
          <w:rFonts w:hint="eastAsia" w:ascii="宋体" w:hAnsi="宋体"/>
          <w:szCs w:val="21"/>
        </w:rPr>
        <w:t>5.该产品的关键工序要求实施前，“关键工序”栏可不填，下同。</w:t>
      </w:r>
    </w:p>
    <w:p w14:paraId="676328B3">
      <w:pPr>
        <w:widowControl/>
        <w:shd w:val="clear" w:color="auto" w:fill="FFFFFF"/>
        <w:spacing w:before="30" w:after="30"/>
        <w:ind w:firstLine="480"/>
        <w:jc w:val="left"/>
        <w:rPr>
          <w:rFonts w:ascii="宋体" w:hAnsi="宋体"/>
          <w:szCs w:val="21"/>
        </w:rPr>
      </w:pPr>
      <w:r>
        <w:rPr>
          <w:rFonts w:hint="eastAsia" w:ascii="宋体" w:hAnsi="宋体"/>
          <w:szCs w:val="21"/>
        </w:rPr>
        <w:t>6.产品在中国境内生产的组件成本，一般按照其二级组件的相关成本进行核算。按照产品的一级组件进行成本核算能够满足中国境内生产的组件成本判定需求的，</w:t>
      </w:r>
    </w:p>
    <w:p w14:paraId="7D5B2F8A">
      <w:pPr>
        <w:widowControl/>
        <w:shd w:val="clear" w:color="auto" w:fill="FFFFFF"/>
        <w:spacing w:before="30" w:after="30"/>
        <w:ind w:firstLine="480"/>
        <w:jc w:val="left"/>
        <w:rPr>
          <w:rFonts w:ascii="宋体" w:hAnsi="宋体"/>
          <w:szCs w:val="21"/>
        </w:rPr>
      </w:pPr>
      <w:r>
        <w:rPr>
          <w:rFonts w:hint="eastAsia" w:ascii="宋体" w:hAnsi="宋体"/>
          <w:szCs w:val="21"/>
        </w:rPr>
        <w:t>可以按照一级组件的相关成本进行核算。</w:t>
      </w:r>
    </w:p>
    <w:p w14:paraId="0636667F">
      <w:pPr>
        <w:widowControl/>
        <w:shd w:val="clear" w:color="auto" w:fill="FFFFFF"/>
        <w:spacing w:before="30" w:after="30"/>
        <w:ind w:firstLine="480"/>
        <w:jc w:val="left"/>
        <w:rPr>
          <w:rFonts w:ascii="宋体" w:hAnsi="宋体"/>
          <w:szCs w:val="21"/>
        </w:rPr>
      </w:pPr>
      <w:r>
        <w:rPr>
          <w:rFonts w:hint="eastAsia" w:ascii="宋体" w:hAnsi="宋体"/>
          <w:szCs w:val="21"/>
        </w:rPr>
        <w:t>一、产品的一级组件是指直接组成产品的组件。产品的二级组件是指直接组成产品一级组件的组件。一级组件不可分解的，视同二级组件。</w:t>
      </w:r>
    </w:p>
    <w:p w14:paraId="39ADF148">
      <w:pPr>
        <w:widowControl/>
        <w:shd w:val="clear" w:color="auto" w:fill="FFFFFF"/>
        <w:spacing w:before="30" w:after="30"/>
        <w:ind w:firstLine="480"/>
        <w:jc w:val="left"/>
        <w:rPr>
          <w:rFonts w:ascii="宋体" w:hAnsi="宋体"/>
          <w:szCs w:val="21"/>
        </w:rPr>
      </w:pPr>
      <w:r>
        <w:rPr>
          <w:rFonts w:hint="eastAsia" w:ascii="宋体" w:hAnsi="宋体"/>
          <w:szCs w:val="21"/>
        </w:rPr>
        <w:t>二、二级组件在中国境内生产的，其全部成本计入中国境内生产的组件成本;二级组件不在中国境内生产的，其成本不计入中国境内生产的组件成本。</w:t>
      </w:r>
    </w:p>
    <w:p w14:paraId="12DBC241">
      <w:pPr>
        <w:widowControl/>
        <w:shd w:val="clear" w:color="auto" w:fill="FFFFFF"/>
        <w:spacing w:before="30" w:after="30"/>
        <w:ind w:firstLine="480"/>
        <w:jc w:val="left"/>
        <w:rPr>
          <w:rFonts w:ascii="宋体" w:hAnsi="宋体"/>
          <w:szCs w:val="21"/>
        </w:rPr>
      </w:pPr>
      <w:r>
        <w:rPr>
          <w:rFonts w:hint="eastAsia" w:ascii="宋体" w:hAnsi="宋体"/>
          <w:szCs w:val="21"/>
        </w:rPr>
        <w:t>三、产品总成本和组件成本以相关会计核算数据、采购合同、进货记录等为基础进行计算。</w:t>
      </w:r>
    </w:p>
    <w:p w14:paraId="7D1956A9">
      <w:pPr>
        <w:widowControl/>
        <w:shd w:val="clear" w:color="auto" w:fill="FFFFFF"/>
        <w:spacing w:before="30" w:after="30"/>
        <w:ind w:firstLine="480"/>
        <w:jc w:val="left"/>
        <w:rPr>
          <w:rFonts w:ascii="宋体" w:hAnsi="宋体"/>
          <w:b/>
          <w:sz w:val="24"/>
          <w:szCs w:val="24"/>
        </w:rPr>
      </w:pPr>
      <w:r>
        <w:rPr>
          <w:rFonts w:hint="eastAsia" w:ascii="宋体" w:hAnsi="宋体"/>
          <w:szCs w:val="21"/>
        </w:rPr>
        <w:t>四、需要对成本核算规则予以进一步明确的其他有关事项，由财政部会同有关部门另行规定。</w:t>
      </w:r>
      <w:r>
        <w:rPr>
          <w:rFonts w:hint="eastAsia" w:ascii="宋体" w:hAnsi="宋体"/>
          <w:b/>
          <w:sz w:val="24"/>
          <w:szCs w:val="24"/>
        </w:rPr>
        <w:br w:type="page"/>
      </w:r>
    </w:p>
    <w:p w14:paraId="12627B9B">
      <w:pPr>
        <w:wordWrap w:val="0"/>
        <w:topLinePunct/>
        <w:outlineLvl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附件</w:t>
      </w:r>
      <w:bookmarkEnd w:id="304"/>
      <w:bookmarkEnd w:id="305"/>
      <w:bookmarkEnd w:id="306"/>
      <w:bookmarkEnd w:id="307"/>
      <w:bookmarkEnd w:id="308"/>
      <w:bookmarkEnd w:id="309"/>
      <w:r>
        <w:rPr>
          <w:rFonts w:hint="eastAsia" w:ascii="宋体" w:hAnsi="宋体" w:eastAsia="宋体" w:cs="宋体"/>
          <w:sz w:val="24"/>
          <w:szCs w:val="24"/>
          <w:highlight w:val="none"/>
          <w:lang w:val="en-US" w:eastAsia="zh-CN"/>
        </w:rPr>
        <w:t>2</w:t>
      </w:r>
    </w:p>
    <w:p w14:paraId="672C93F1">
      <w:pPr>
        <w:wordWrap w:val="0"/>
        <w:topLinePunct/>
        <w:adjustRightInd w:val="0"/>
        <w:spacing w:line="360" w:lineRule="auto"/>
        <w:ind w:left="63" w:leftChars="30" w:right="63" w:rightChars="30"/>
        <w:jc w:val="center"/>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中小企业声明函</w:t>
      </w:r>
    </w:p>
    <w:p w14:paraId="34346BF4">
      <w:pPr>
        <w:wordWrap w:val="0"/>
        <w:topLinePunct/>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本公司（联合体）郑重声明，根据《政府采购促进中小企业发展管理办法》（财库﹝2020﹞46 号）的规定，本公司（联合体）参加</w:t>
      </w:r>
      <w:r>
        <w:rPr>
          <w:rFonts w:hint="eastAsia" w:ascii="宋体" w:hAnsi="宋体" w:eastAsia="宋体" w:cs="宋体"/>
          <w:sz w:val="24"/>
          <w:szCs w:val="24"/>
          <w:highlight w:val="none"/>
          <w:u w:val="single"/>
        </w:rPr>
        <w:t>（单位名称）</w:t>
      </w:r>
      <w:r>
        <w:rPr>
          <w:rFonts w:hint="eastAsia" w:ascii="宋体" w:hAnsi="宋体" w:eastAsia="宋体" w:cs="宋体"/>
          <w:sz w:val="24"/>
          <w:szCs w:val="24"/>
          <w:highlight w:val="none"/>
        </w:rPr>
        <w:t>的</w:t>
      </w:r>
      <w:r>
        <w:rPr>
          <w:rFonts w:hint="eastAsia" w:ascii="宋体" w:hAnsi="宋体" w:eastAsia="宋体" w:cs="宋体"/>
          <w:sz w:val="24"/>
          <w:szCs w:val="24"/>
          <w:highlight w:val="none"/>
          <w:u w:val="single"/>
        </w:rPr>
        <w:t>（项目名称）</w:t>
      </w:r>
      <w:r>
        <w:rPr>
          <w:rFonts w:hint="eastAsia" w:ascii="宋体" w:hAnsi="宋体" w:eastAsia="宋体" w:cs="宋体"/>
          <w:sz w:val="24"/>
          <w:szCs w:val="24"/>
          <w:highlight w:val="none"/>
        </w:rPr>
        <w:t>采购活动，提供的货物全部为符合政策要求的中小企业。相关企业（含联合体中的中小企业、签订分包意向协议的中小企业）的具体情况如下：</w:t>
      </w:r>
    </w:p>
    <w:p w14:paraId="5A1E3C97">
      <w:pPr>
        <w:wordWrap w:val="0"/>
        <w:topLinePunct/>
        <w:adjustRightInd w:val="0"/>
        <w:snapToGrid w:val="0"/>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 xml:space="preserve"> （采购文件中明确的所属行业）</w:t>
      </w:r>
      <w:r>
        <w:rPr>
          <w:rFonts w:hint="eastAsia" w:ascii="宋体" w:hAnsi="宋体" w:eastAsia="宋体" w:cs="宋体"/>
          <w:sz w:val="24"/>
          <w:szCs w:val="24"/>
          <w:highlight w:val="none"/>
        </w:rPr>
        <w:t>；制造商为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w:t>
      </w:r>
      <w:r>
        <w:rPr>
          <w:rFonts w:hint="eastAsia" w:ascii="宋体" w:hAnsi="宋体" w:eastAsia="宋体" w:cs="宋体"/>
          <w:sz w:val="24"/>
          <w:szCs w:val="24"/>
          <w:highlight w:val="none"/>
          <w:vertAlign w:val="superscript"/>
        </w:rPr>
        <w:t>1</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w:t>
      </w:r>
    </w:p>
    <w:p w14:paraId="55075B99">
      <w:pPr>
        <w:wordWrap w:val="0"/>
        <w:topLinePunct/>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 xml:space="preserve"> （采购文件中明确的所属行业）</w:t>
      </w:r>
      <w:r>
        <w:rPr>
          <w:rFonts w:hint="eastAsia" w:ascii="宋体" w:hAnsi="宋体" w:eastAsia="宋体" w:cs="宋体"/>
          <w:sz w:val="24"/>
          <w:szCs w:val="24"/>
          <w:highlight w:val="none"/>
        </w:rPr>
        <w:t>；制造商为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w:t>
      </w:r>
    </w:p>
    <w:p w14:paraId="1651E842">
      <w:pPr>
        <w:wordWrap w:val="0"/>
        <w:topLinePunct/>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p>
    <w:p w14:paraId="5F47E020">
      <w:pPr>
        <w:wordWrap w:val="0"/>
        <w:topLinePunct/>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以上企业，不属于大企业的分支机构，不存在控股股东为大企业的情形，也不存在与大企业的负责人为同一人的情形。</w:t>
      </w:r>
    </w:p>
    <w:p w14:paraId="636E15A6">
      <w:pPr>
        <w:wordWrap w:val="0"/>
        <w:topLinePunct/>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本企业对上述声明内容的真实性负责。如有虚假，将依法承担相应责任。</w:t>
      </w:r>
    </w:p>
    <w:p w14:paraId="11415BF9">
      <w:pPr>
        <w:wordWrap w:val="0"/>
        <w:topLinePunct/>
        <w:spacing w:after="120" w:line="360" w:lineRule="auto"/>
        <w:ind w:left="420" w:leftChars="200" w:firstLine="480" w:firstLineChars="200"/>
        <w:rPr>
          <w:rFonts w:hint="eastAsia" w:ascii="宋体" w:hAnsi="宋体" w:eastAsia="宋体" w:cs="宋体"/>
          <w:sz w:val="24"/>
          <w:szCs w:val="24"/>
          <w:highlight w:val="none"/>
        </w:rPr>
      </w:pPr>
    </w:p>
    <w:p w14:paraId="13720AB2">
      <w:pPr>
        <w:wordWrap w:val="0"/>
        <w:topLinePunct/>
        <w:adjustRightInd w:val="0"/>
        <w:snapToGrid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企业名称（盖章）：</w:t>
      </w:r>
    </w:p>
    <w:p w14:paraId="1910FAB9">
      <w:pPr>
        <w:wordWrap w:val="0"/>
        <w:topLinePunct/>
        <w:adjustRightInd w:val="0"/>
        <w:snapToGrid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日          期：</w:t>
      </w:r>
    </w:p>
    <w:p w14:paraId="3B6F5D8E">
      <w:pPr>
        <w:wordWrap w:val="0"/>
        <w:topLinePunct/>
        <w:spacing w:after="120" w:line="360" w:lineRule="auto"/>
        <w:ind w:left="420" w:leftChars="200" w:firstLine="480" w:firstLineChars="200"/>
        <w:rPr>
          <w:rFonts w:hint="eastAsia" w:ascii="宋体" w:hAnsi="宋体" w:eastAsia="宋体" w:cs="宋体"/>
          <w:sz w:val="24"/>
          <w:szCs w:val="24"/>
          <w:highlight w:val="none"/>
        </w:rPr>
      </w:pPr>
    </w:p>
    <w:p w14:paraId="3A64DBF7">
      <w:pPr>
        <w:wordWrap w:val="0"/>
        <w:topLinePunct/>
        <w:adjustRightInd w:val="0"/>
        <w:snapToGrid w:val="0"/>
        <w:spacing w:line="360" w:lineRule="auto"/>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说明：</w:t>
      </w:r>
    </w:p>
    <w:p w14:paraId="4A57623B">
      <w:pPr>
        <w:spacing w:line="360" w:lineRule="auto"/>
        <w:ind w:firstLine="168" w:firstLineChars="67"/>
        <w:rPr>
          <w:rFonts w:hint="eastAsia" w:ascii="宋体" w:hAnsi="宋体" w:cs="仿宋"/>
          <w:sz w:val="24"/>
          <w:szCs w:val="24"/>
          <w:highlight w:val="none"/>
        </w:rPr>
      </w:pPr>
      <w:r>
        <w:rPr>
          <w:rFonts w:hint="eastAsia" w:ascii="宋体" w:hAnsi="宋体" w:eastAsia="宋体" w:cs="宋体"/>
          <w:spacing w:val="6"/>
          <w:sz w:val="24"/>
          <w:szCs w:val="24"/>
          <w:highlight w:val="none"/>
        </w:rPr>
        <w:t>1、从业人员、营业收入、资产总额填报上一年度数据，无上一年度数据的新成立企业可不填报。</w:t>
      </w:r>
      <w:r>
        <w:rPr>
          <w:rFonts w:hint="eastAsia" w:ascii="宋体" w:hAnsi="宋体" w:cs="仿宋"/>
          <w:sz w:val="24"/>
          <w:szCs w:val="24"/>
          <w:highlight w:val="none"/>
        </w:rPr>
        <w:t>（属于中小微企业的填写，不属于的无需填写此项内容）</w:t>
      </w:r>
    </w:p>
    <w:p w14:paraId="15604090">
      <w:pPr>
        <w:wordWrap w:val="0"/>
        <w:topLinePunct/>
        <w:adjustRightInd w:val="0"/>
        <w:snapToGrid w:val="0"/>
        <w:spacing w:line="360" w:lineRule="auto"/>
        <w:rPr>
          <w:rFonts w:hint="eastAsia" w:ascii="宋体" w:hAnsi="宋体" w:eastAsia="宋体" w:cs="宋体"/>
          <w:spacing w:val="6"/>
          <w:sz w:val="24"/>
          <w:szCs w:val="24"/>
          <w:highlight w:val="none"/>
        </w:rPr>
      </w:pPr>
    </w:p>
    <w:p w14:paraId="28998099">
      <w:pPr>
        <w:widowControl/>
        <w:jc w:val="left"/>
        <w:rPr>
          <w:rFonts w:hint="eastAsia" w:ascii="宋体" w:hAnsi="宋体" w:eastAsia="宋体" w:cs="宋体"/>
          <w:sz w:val="24"/>
          <w:szCs w:val="24"/>
          <w:highlight w:val="none"/>
        </w:rPr>
      </w:pPr>
      <w:r>
        <w:rPr>
          <w:rFonts w:ascii="宋体" w:hAnsi="宋体" w:eastAsia="宋体" w:cs="宋体"/>
          <w:sz w:val="24"/>
          <w:szCs w:val="24"/>
          <w:highlight w:val="none"/>
        </w:rPr>
        <w:br w:type="page"/>
      </w:r>
    </w:p>
    <w:p w14:paraId="23E72E79">
      <w:pPr>
        <w:wordWrap w:val="0"/>
        <w:topLinePunct/>
        <w:spacing w:after="120" w:line="360" w:lineRule="auto"/>
        <w:outlineLvl w:val="0"/>
        <w:rPr>
          <w:rFonts w:hint="eastAsia" w:ascii="宋体" w:hAnsi="宋体" w:eastAsia="宋体" w:cs="宋体"/>
          <w:sz w:val="24"/>
          <w:szCs w:val="24"/>
          <w:highlight w:val="none"/>
          <w:lang w:eastAsia="zh-CN"/>
        </w:rPr>
      </w:pPr>
      <w:bookmarkStart w:id="310" w:name="_Toc2102"/>
      <w:bookmarkStart w:id="311" w:name="_Toc28455"/>
      <w:bookmarkStart w:id="312" w:name="_Toc6392"/>
      <w:bookmarkStart w:id="313" w:name="_Toc4122"/>
      <w:bookmarkStart w:id="314" w:name="_Toc24444"/>
      <w:bookmarkStart w:id="315" w:name="_Toc11019"/>
      <w:r>
        <w:rPr>
          <w:rFonts w:hint="eastAsia" w:ascii="宋体" w:hAnsi="宋体" w:eastAsia="宋体" w:cs="宋体"/>
          <w:sz w:val="24"/>
          <w:szCs w:val="24"/>
          <w:highlight w:val="none"/>
        </w:rPr>
        <w:t>附件</w:t>
      </w:r>
      <w:bookmarkEnd w:id="310"/>
      <w:bookmarkEnd w:id="311"/>
      <w:bookmarkEnd w:id="312"/>
      <w:bookmarkEnd w:id="313"/>
      <w:bookmarkEnd w:id="314"/>
      <w:bookmarkEnd w:id="315"/>
      <w:r>
        <w:rPr>
          <w:rFonts w:hint="eastAsia" w:ascii="宋体" w:hAnsi="宋体" w:eastAsia="宋体" w:cs="宋体"/>
          <w:sz w:val="24"/>
          <w:szCs w:val="24"/>
          <w:highlight w:val="none"/>
          <w:lang w:val="en-US" w:eastAsia="zh-CN"/>
        </w:rPr>
        <w:t>3</w:t>
      </w:r>
    </w:p>
    <w:p w14:paraId="76EE96F8">
      <w:pPr>
        <w:wordWrap w:val="0"/>
        <w:topLinePunct/>
        <w:adjustRightInd w:val="0"/>
        <w:snapToGrid w:val="0"/>
        <w:ind w:firstLine="480" w:firstLineChars="200"/>
        <w:rPr>
          <w:rFonts w:hint="eastAsia" w:ascii="宋体" w:hAnsi="宋体" w:eastAsia="宋体" w:cs="宋体"/>
          <w:sz w:val="24"/>
          <w:szCs w:val="24"/>
          <w:highlight w:val="none"/>
        </w:rPr>
      </w:pPr>
    </w:p>
    <w:p w14:paraId="3A229F15">
      <w:pPr>
        <w:wordWrap w:val="0"/>
        <w:topLinePunct/>
        <w:adjustRightInd w:val="0"/>
        <w:snapToGrid w:val="0"/>
        <w:ind w:firstLine="360" w:firstLineChars="150"/>
        <w:rPr>
          <w:rFonts w:hint="eastAsia" w:ascii="宋体" w:hAnsi="宋体" w:eastAsia="宋体" w:cs="宋体"/>
          <w:sz w:val="24"/>
          <w:szCs w:val="24"/>
          <w:highlight w:val="none"/>
        </w:rPr>
      </w:pPr>
    </w:p>
    <w:p w14:paraId="5D3DAD30">
      <w:pPr>
        <w:keepNext/>
        <w:keepLines/>
        <w:tabs>
          <w:tab w:val="left" w:pos="840"/>
        </w:tabs>
        <w:wordWrap w:val="0"/>
        <w:topLinePunct/>
        <w:spacing w:line="412" w:lineRule="auto"/>
        <w:jc w:val="center"/>
        <w:outlineLvl w:val="0"/>
        <w:rPr>
          <w:rFonts w:hint="eastAsia" w:ascii="宋体" w:hAnsi="宋体" w:eastAsia="宋体" w:cs="宋体"/>
          <w:b/>
          <w:bCs/>
          <w:sz w:val="24"/>
          <w:szCs w:val="24"/>
          <w:highlight w:val="none"/>
          <w:lang w:val="zh-CN"/>
        </w:rPr>
      </w:pPr>
      <w:bookmarkStart w:id="316" w:name="_Toc14760"/>
      <w:bookmarkStart w:id="317" w:name="_Toc30785"/>
      <w:bookmarkStart w:id="318" w:name="_Toc24165"/>
      <w:bookmarkStart w:id="319" w:name="_Toc13308"/>
      <w:bookmarkStart w:id="320" w:name="_Toc20491"/>
      <w:bookmarkStart w:id="321" w:name="_Toc4731"/>
      <w:r>
        <w:rPr>
          <w:rFonts w:hint="eastAsia" w:ascii="宋体" w:hAnsi="宋体" w:eastAsia="宋体" w:cs="宋体"/>
          <w:b/>
          <w:bCs/>
          <w:sz w:val="24"/>
          <w:szCs w:val="24"/>
          <w:highlight w:val="none"/>
          <w:lang w:val="zh-CN"/>
        </w:rPr>
        <w:t>监狱企业证明文件</w:t>
      </w:r>
      <w:bookmarkEnd w:id="316"/>
      <w:bookmarkEnd w:id="317"/>
      <w:bookmarkEnd w:id="318"/>
      <w:bookmarkEnd w:id="319"/>
      <w:bookmarkEnd w:id="320"/>
      <w:bookmarkEnd w:id="321"/>
    </w:p>
    <w:p w14:paraId="2229EBFF">
      <w:pPr>
        <w:wordWrap w:val="0"/>
        <w:topLinePunct/>
        <w:jc w:val="center"/>
        <w:rPr>
          <w:rFonts w:hint="eastAsia" w:ascii="宋体" w:hAnsi="宋体" w:eastAsia="宋体" w:cs="宋体"/>
          <w:b/>
          <w:bCs/>
          <w:sz w:val="24"/>
          <w:szCs w:val="24"/>
          <w:highlight w:val="none"/>
        </w:rPr>
      </w:pPr>
    </w:p>
    <w:p w14:paraId="3D4F5C25">
      <w:pPr>
        <w:wordWrap w:val="0"/>
        <w:topLinePunct/>
        <w:spacing w:line="500" w:lineRule="exact"/>
        <w:rPr>
          <w:rFonts w:hint="eastAsia" w:ascii="宋体" w:hAnsi="宋体" w:eastAsia="宋体" w:cs="宋体"/>
          <w:spacing w:val="6"/>
          <w:sz w:val="24"/>
          <w:szCs w:val="24"/>
          <w:highlight w:val="none"/>
        </w:rPr>
      </w:pPr>
    </w:p>
    <w:p w14:paraId="288ECE5C">
      <w:pPr>
        <w:wordWrap w:val="0"/>
        <w:topLinePunct/>
        <w:spacing w:line="500" w:lineRule="exact"/>
        <w:ind w:firstLine="420"/>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（监狱企业参加政府采购活动时，应当提供由省级以上监狱管理局、戒毒管理局(含新疆生产建设兵团)出具的属于监狱企业的证明文件。</w:t>
      </w:r>
    </w:p>
    <w:p w14:paraId="098F6DE0">
      <w:pPr>
        <w:wordWrap w:val="0"/>
        <w:topLinePunct/>
        <w:spacing w:line="500" w:lineRule="exact"/>
        <w:ind w:firstLine="504" w:firstLineChars="200"/>
        <w:rPr>
          <w:rFonts w:hint="eastAsia" w:ascii="宋体" w:hAnsi="宋体" w:eastAsia="宋体" w:cs="宋体"/>
          <w:spacing w:val="6"/>
          <w:sz w:val="24"/>
          <w:szCs w:val="24"/>
          <w:highlight w:val="none"/>
        </w:rPr>
      </w:pPr>
    </w:p>
    <w:p w14:paraId="5E76E4AB">
      <w:pPr>
        <w:wordWrap w:val="0"/>
        <w:topLinePunct/>
        <w:spacing w:line="500" w:lineRule="exact"/>
        <w:ind w:firstLine="504" w:firstLineChars="200"/>
        <w:rPr>
          <w:rFonts w:hint="eastAsia" w:ascii="宋体" w:hAnsi="宋体" w:eastAsia="宋体" w:cs="宋体"/>
          <w:spacing w:val="6"/>
          <w:sz w:val="24"/>
          <w:szCs w:val="24"/>
          <w:highlight w:val="none"/>
        </w:rPr>
      </w:pPr>
    </w:p>
    <w:p w14:paraId="122F5A1A">
      <w:pPr>
        <w:wordWrap w:val="0"/>
        <w:topLinePunct/>
        <w:spacing w:line="500" w:lineRule="exact"/>
        <w:ind w:firstLine="504" w:firstLineChars="200"/>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注：在投标文件中附扫描件</w:t>
      </w:r>
    </w:p>
    <w:p w14:paraId="3DA05317">
      <w:pPr>
        <w:wordWrap w:val="0"/>
        <w:topLinePunct/>
        <w:spacing w:line="500" w:lineRule="exact"/>
        <w:rPr>
          <w:rFonts w:hint="eastAsia" w:ascii="宋体" w:hAnsi="宋体" w:eastAsia="宋体" w:cs="宋体"/>
          <w:sz w:val="24"/>
          <w:szCs w:val="24"/>
          <w:highlight w:val="none"/>
        </w:rPr>
      </w:pPr>
    </w:p>
    <w:p w14:paraId="4AA0634F">
      <w:pPr>
        <w:wordWrap w:val="0"/>
        <w:topLinePunct/>
        <w:spacing w:after="120"/>
        <w:ind w:left="1470" w:leftChars="700" w:right="1470" w:rightChars="700"/>
        <w:rPr>
          <w:rFonts w:hint="eastAsia" w:ascii="宋体" w:hAnsi="宋体" w:eastAsia="宋体" w:cs="宋体"/>
          <w:b/>
          <w:bCs/>
          <w:kern w:val="36"/>
          <w:sz w:val="24"/>
          <w:szCs w:val="24"/>
          <w:highlight w:val="none"/>
        </w:rPr>
      </w:pPr>
    </w:p>
    <w:p w14:paraId="060EB242">
      <w:pPr>
        <w:wordWrap w:val="0"/>
        <w:topLinePunct/>
        <w:spacing w:after="120"/>
        <w:ind w:left="1470" w:leftChars="700" w:right="1470" w:rightChars="700"/>
        <w:rPr>
          <w:rFonts w:hint="eastAsia" w:ascii="宋体" w:hAnsi="宋体" w:eastAsia="宋体" w:cs="宋体"/>
          <w:b/>
          <w:bCs/>
          <w:kern w:val="36"/>
          <w:sz w:val="24"/>
          <w:szCs w:val="24"/>
          <w:highlight w:val="none"/>
        </w:rPr>
      </w:pPr>
    </w:p>
    <w:p w14:paraId="7CD9384F">
      <w:pPr>
        <w:wordWrap w:val="0"/>
        <w:topLinePunct/>
        <w:spacing w:after="120"/>
        <w:ind w:left="1470" w:leftChars="700" w:right="1470" w:rightChars="700"/>
        <w:rPr>
          <w:rFonts w:hint="eastAsia" w:ascii="宋体" w:hAnsi="宋体" w:eastAsia="宋体" w:cs="宋体"/>
          <w:b/>
          <w:bCs/>
          <w:kern w:val="36"/>
          <w:sz w:val="24"/>
          <w:szCs w:val="24"/>
          <w:highlight w:val="none"/>
        </w:rPr>
      </w:pPr>
    </w:p>
    <w:p w14:paraId="34522097">
      <w:pPr>
        <w:wordWrap w:val="0"/>
        <w:topLinePunct/>
        <w:spacing w:after="120"/>
        <w:ind w:left="1470" w:leftChars="700" w:right="1470" w:rightChars="700"/>
        <w:rPr>
          <w:rFonts w:hint="eastAsia" w:ascii="宋体" w:hAnsi="宋体" w:eastAsia="宋体" w:cs="宋体"/>
          <w:b/>
          <w:bCs/>
          <w:kern w:val="36"/>
          <w:sz w:val="24"/>
          <w:szCs w:val="24"/>
          <w:highlight w:val="none"/>
        </w:rPr>
      </w:pPr>
    </w:p>
    <w:p w14:paraId="4DB91E4A">
      <w:pPr>
        <w:wordWrap w:val="0"/>
        <w:topLinePunct/>
        <w:spacing w:after="120"/>
        <w:ind w:left="1470" w:leftChars="700" w:right="1470" w:rightChars="700"/>
        <w:rPr>
          <w:rFonts w:hint="eastAsia" w:ascii="宋体" w:hAnsi="宋体" w:eastAsia="宋体" w:cs="宋体"/>
          <w:b/>
          <w:bCs/>
          <w:kern w:val="36"/>
          <w:sz w:val="24"/>
          <w:szCs w:val="24"/>
          <w:highlight w:val="none"/>
        </w:rPr>
      </w:pPr>
    </w:p>
    <w:p w14:paraId="51CBEA21">
      <w:pPr>
        <w:wordWrap w:val="0"/>
        <w:topLinePunct/>
        <w:spacing w:after="120"/>
        <w:ind w:left="1470" w:leftChars="700" w:right="1470" w:rightChars="700"/>
        <w:rPr>
          <w:rFonts w:hint="eastAsia" w:ascii="宋体" w:hAnsi="宋体" w:eastAsia="宋体" w:cs="宋体"/>
          <w:b/>
          <w:bCs/>
          <w:kern w:val="36"/>
          <w:sz w:val="24"/>
          <w:szCs w:val="24"/>
          <w:highlight w:val="none"/>
        </w:rPr>
      </w:pPr>
    </w:p>
    <w:p w14:paraId="16E1C763">
      <w:pPr>
        <w:wordWrap w:val="0"/>
        <w:topLinePunct/>
        <w:spacing w:after="120"/>
        <w:ind w:left="1470" w:leftChars="700" w:right="1470" w:rightChars="700"/>
        <w:rPr>
          <w:rFonts w:hint="eastAsia" w:ascii="宋体" w:hAnsi="宋体" w:eastAsia="宋体" w:cs="宋体"/>
          <w:b/>
          <w:bCs/>
          <w:kern w:val="36"/>
          <w:sz w:val="24"/>
          <w:szCs w:val="24"/>
          <w:highlight w:val="none"/>
        </w:rPr>
      </w:pPr>
    </w:p>
    <w:p w14:paraId="6EAADACF">
      <w:pPr>
        <w:wordWrap w:val="0"/>
        <w:topLinePunct/>
        <w:spacing w:after="120"/>
        <w:ind w:left="1470" w:leftChars="700" w:right="1470" w:rightChars="700"/>
        <w:rPr>
          <w:rFonts w:hint="eastAsia" w:ascii="宋体" w:hAnsi="宋体" w:eastAsia="宋体" w:cs="宋体"/>
          <w:b/>
          <w:bCs/>
          <w:kern w:val="36"/>
          <w:sz w:val="24"/>
          <w:szCs w:val="24"/>
          <w:highlight w:val="none"/>
        </w:rPr>
      </w:pPr>
    </w:p>
    <w:p w14:paraId="2B9919BB">
      <w:pPr>
        <w:wordWrap w:val="0"/>
        <w:topLinePunct/>
        <w:spacing w:after="120"/>
        <w:ind w:left="1470" w:leftChars="700" w:right="1470" w:rightChars="700"/>
        <w:rPr>
          <w:rFonts w:hint="eastAsia" w:ascii="宋体" w:hAnsi="宋体" w:eastAsia="宋体" w:cs="宋体"/>
          <w:b/>
          <w:bCs/>
          <w:kern w:val="36"/>
          <w:sz w:val="24"/>
          <w:szCs w:val="24"/>
          <w:highlight w:val="none"/>
        </w:rPr>
      </w:pPr>
    </w:p>
    <w:p w14:paraId="2B7CEF61">
      <w:pPr>
        <w:wordWrap w:val="0"/>
        <w:topLinePunct/>
        <w:spacing w:after="120"/>
        <w:ind w:left="1470" w:leftChars="700" w:right="1470" w:rightChars="700"/>
        <w:rPr>
          <w:rFonts w:hint="eastAsia" w:ascii="宋体" w:hAnsi="宋体" w:eastAsia="宋体" w:cs="宋体"/>
          <w:b/>
          <w:bCs/>
          <w:kern w:val="36"/>
          <w:sz w:val="24"/>
          <w:szCs w:val="24"/>
          <w:highlight w:val="none"/>
        </w:rPr>
      </w:pPr>
    </w:p>
    <w:p w14:paraId="72F82AE9">
      <w:pPr>
        <w:wordWrap w:val="0"/>
        <w:topLinePunct/>
        <w:spacing w:after="120"/>
        <w:ind w:left="1470" w:leftChars="700" w:right="1470" w:rightChars="700"/>
        <w:rPr>
          <w:rFonts w:hint="eastAsia" w:ascii="宋体" w:hAnsi="宋体" w:eastAsia="宋体" w:cs="宋体"/>
          <w:b/>
          <w:bCs/>
          <w:kern w:val="36"/>
          <w:sz w:val="24"/>
          <w:szCs w:val="24"/>
          <w:highlight w:val="none"/>
        </w:rPr>
      </w:pPr>
    </w:p>
    <w:p w14:paraId="35932235">
      <w:pPr>
        <w:wordWrap w:val="0"/>
        <w:topLinePunct/>
        <w:spacing w:after="120"/>
        <w:ind w:left="1470" w:leftChars="700" w:right="1470" w:rightChars="700"/>
        <w:rPr>
          <w:rFonts w:hint="eastAsia" w:ascii="宋体" w:hAnsi="宋体" w:eastAsia="宋体" w:cs="宋体"/>
          <w:b/>
          <w:bCs/>
          <w:kern w:val="36"/>
          <w:sz w:val="24"/>
          <w:szCs w:val="24"/>
          <w:highlight w:val="none"/>
        </w:rPr>
      </w:pPr>
    </w:p>
    <w:p w14:paraId="689424F1">
      <w:pPr>
        <w:pageBreakBefore/>
        <w:wordWrap w:val="0"/>
        <w:topLinePunct/>
        <w:ind w:firstLine="360" w:firstLineChars="150"/>
        <w:outlineLvl w:val="0"/>
        <w:rPr>
          <w:rFonts w:hint="eastAsia" w:ascii="宋体" w:hAnsi="宋体" w:eastAsia="宋体" w:cs="宋体"/>
          <w:sz w:val="24"/>
          <w:szCs w:val="24"/>
          <w:highlight w:val="none"/>
          <w:lang w:val="en-US" w:eastAsia="zh-CN"/>
        </w:rPr>
      </w:pPr>
      <w:bookmarkStart w:id="322" w:name="_Toc6264"/>
      <w:bookmarkStart w:id="323" w:name="_Toc8392"/>
      <w:bookmarkStart w:id="324" w:name="_Toc14655"/>
      <w:bookmarkStart w:id="325" w:name="_Toc6897"/>
      <w:bookmarkStart w:id="326" w:name="_Toc11345"/>
      <w:bookmarkStart w:id="327" w:name="_Toc5906"/>
      <w:r>
        <w:rPr>
          <w:rFonts w:hint="eastAsia" w:ascii="宋体" w:hAnsi="宋体" w:eastAsia="宋体" w:cs="宋体"/>
          <w:sz w:val="24"/>
          <w:szCs w:val="24"/>
          <w:highlight w:val="none"/>
        </w:rPr>
        <w:t>附件</w:t>
      </w:r>
      <w:bookmarkEnd w:id="322"/>
      <w:bookmarkEnd w:id="323"/>
      <w:bookmarkEnd w:id="324"/>
      <w:bookmarkEnd w:id="325"/>
      <w:bookmarkEnd w:id="326"/>
      <w:bookmarkEnd w:id="327"/>
      <w:r>
        <w:rPr>
          <w:rFonts w:hint="eastAsia" w:ascii="宋体" w:hAnsi="宋体" w:eastAsia="宋体" w:cs="宋体"/>
          <w:sz w:val="24"/>
          <w:szCs w:val="24"/>
          <w:highlight w:val="none"/>
          <w:lang w:val="en-US" w:eastAsia="zh-CN"/>
        </w:rPr>
        <w:t>4</w:t>
      </w:r>
    </w:p>
    <w:p w14:paraId="165A1BA7">
      <w:pPr>
        <w:wordWrap w:val="0"/>
        <w:spacing w:after="120" w:line="480" w:lineRule="exact"/>
        <w:jc w:val="center"/>
        <w:outlineLvl w:val="0"/>
        <w:rPr>
          <w:rFonts w:hint="eastAsia" w:ascii="宋体" w:hAnsi="宋体" w:eastAsia="宋体" w:cs="宋体"/>
          <w:b/>
          <w:bCs/>
          <w:kern w:val="36"/>
          <w:sz w:val="24"/>
          <w:szCs w:val="24"/>
          <w:highlight w:val="none"/>
        </w:rPr>
      </w:pPr>
      <w:bookmarkStart w:id="328" w:name="_Toc20868"/>
      <w:bookmarkStart w:id="329" w:name="_Toc30651"/>
      <w:bookmarkStart w:id="330" w:name="_Toc23815"/>
      <w:bookmarkStart w:id="331" w:name="_Toc23906"/>
      <w:bookmarkStart w:id="332" w:name="_Toc27930"/>
      <w:bookmarkStart w:id="333" w:name="_Toc32130"/>
      <w:r>
        <w:rPr>
          <w:rFonts w:hint="eastAsia" w:ascii="宋体" w:hAnsi="宋体" w:eastAsia="宋体" w:cs="宋体"/>
          <w:b/>
          <w:bCs/>
          <w:kern w:val="36"/>
          <w:sz w:val="24"/>
          <w:szCs w:val="24"/>
          <w:highlight w:val="none"/>
        </w:rPr>
        <w:t>残疾人福利性单位声明函（如有）</w:t>
      </w:r>
      <w:bookmarkEnd w:id="328"/>
      <w:bookmarkEnd w:id="329"/>
      <w:bookmarkEnd w:id="330"/>
      <w:bookmarkEnd w:id="331"/>
      <w:bookmarkEnd w:id="332"/>
      <w:bookmarkEnd w:id="333"/>
    </w:p>
    <w:p w14:paraId="19E390F0">
      <w:pPr>
        <w:wordWrap w:val="0"/>
        <w:spacing w:after="120" w:line="480" w:lineRule="exact"/>
        <w:ind w:firstLine="480" w:firstLineChars="200"/>
        <w:rPr>
          <w:rFonts w:hint="eastAsia" w:ascii="宋体" w:hAnsi="宋体" w:eastAsia="宋体" w:cs="宋体"/>
          <w:kern w:val="36"/>
          <w:sz w:val="24"/>
          <w:szCs w:val="24"/>
          <w:highlight w:val="none"/>
        </w:rPr>
      </w:pPr>
    </w:p>
    <w:p w14:paraId="4A3C14AA">
      <w:pPr>
        <w:wordWrap w:val="0"/>
        <w:spacing w:after="120" w:line="480" w:lineRule="exact"/>
        <w:ind w:firstLine="480" w:firstLineChars="200"/>
        <w:rPr>
          <w:rFonts w:hint="eastAsia" w:ascii="宋体" w:hAnsi="宋体" w:eastAsia="宋体" w:cs="宋体"/>
          <w:kern w:val="36"/>
          <w:sz w:val="24"/>
          <w:szCs w:val="24"/>
          <w:highlight w:val="none"/>
        </w:rPr>
      </w:pPr>
      <w:r>
        <w:rPr>
          <w:rFonts w:hint="eastAsia" w:ascii="宋体" w:hAnsi="宋体" w:eastAsia="宋体" w:cs="宋体"/>
          <w:kern w:val="36"/>
          <w:sz w:val="24"/>
          <w:szCs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kern w:val="36"/>
          <w:sz w:val="24"/>
          <w:szCs w:val="24"/>
          <w:highlight w:val="none"/>
          <w:u w:val="single"/>
        </w:rPr>
        <w:t xml:space="preserve">       </w:t>
      </w:r>
      <w:r>
        <w:rPr>
          <w:rFonts w:hint="eastAsia" w:ascii="宋体" w:hAnsi="宋体" w:eastAsia="宋体" w:cs="宋体"/>
          <w:kern w:val="36"/>
          <w:sz w:val="24"/>
          <w:szCs w:val="24"/>
          <w:highlight w:val="none"/>
        </w:rPr>
        <w:t xml:space="preserve">单位的 </w:t>
      </w:r>
      <w:r>
        <w:rPr>
          <w:rFonts w:hint="eastAsia" w:ascii="宋体" w:hAnsi="宋体" w:eastAsia="宋体" w:cs="宋体"/>
          <w:kern w:val="36"/>
          <w:sz w:val="24"/>
          <w:szCs w:val="24"/>
          <w:highlight w:val="none"/>
          <w:u w:val="single"/>
        </w:rPr>
        <w:t xml:space="preserve">     </w:t>
      </w:r>
      <w:r>
        <w:rPr>
          <w:rFonts w:hint="eastAsia" w:ascii="宋体" w:hAnsi="宋体" w:eastAsia="宋体" w:cs="宋体"/>
          <w:kern w:val="36"/>
          <w:sz w:val="24"/>
          <w:szCs w:val="24"/>
          <w:highlight w:val="none"/>
        </w:rPr>
        <w:t>项目采购活动提供本单位制造的货物（由本单位承担工程/提供服务），或者提供其他残疾人福利性单位制造的货物（不包括使用非残疾人福利性单位注册商标的货物）。</w:t>
      </w:r>
    </w:p>
    <w:p w14:paraId="7DF1908D">
      <w:pPr>
        <w:wordWrap w:val="0"/>
        <w:spacing w:after="120" w:line="480" w:lineRule="exact"/>
        <w:ind w:firstLine="480" w:firstLineChars="200"/>
        <w:rPr>
          <w:rFonts w:hint="eastAsia" w:ascii="宋体" w:hAnsi="宋体" w:eastAsia="宋体" w:cs="宋体"/>
          <w:kern w:val="36"/>
          <w:sz w:val="24"/>
          <w:szCs w:val="24"/>
          <w:highlight w:val="none"/>
        </w:rPr>
      </w:pPr>
      <w:r>
        <w:rPr>
          <w:rFonts w:hint="eastAsia" w:ascii="宋体" w:hAnsi="宋体" w:eastAsia="宋体" w:cs="宋体"/>
          <w:kern w:val="36"/>
          <w:sz w:val="24"/>
          <w:szCs w:val="24"/>
          <w:highlight w:val="none"/>
        </w:rPr>
        <w:t>本单位对上述声明的真实性负责。如有虚假，将依法承担相应责任。</w:t>
      </w:r>
    </w:p>
    <w:p w14:paraId="37436669">
      <w:pPr>
        <w:wordWrap w:val="0"/>
        <w:spacing w:line="480" w:lineRule="exact"/>
        <w:ind w:firstLine="480" w:firstLineChars="200"/>
        <w:jc w:val="right"/>
        <w:rPr>
          <w:rFonts w:hint="eastAsia" w:ascii="宋体" w:hAnsi="宋体" w:eastAsia="宋体" w:cs="宋体"/>
          <w:sz w:val="24"/>
          <w:szCs w:val="24"/>
          <w:highlight w:val="none"/>
        </w:rPr>
      </w:pPr>
    </w:p>
    <w:p w14:paraId="2FBCA748">
      <w:pPr>
        <w:wordWrap w:val="0"/>
        <w:topLinePunct/>
        <w:spacing w:line="360" w:lineRule="auto"/>
        <w:rPr>
          <w:rFonts w:hint="eastAsia" w:ascii="宋体" w:hAnsi="宋体" w:eastAsia="宋体" w:cs="宋体"/>
          <w:kern w:val="0"/>
          <w:sz w:val="24"/>
          <w:szCs w:val="24"/>
          <w:highlight w:val="none"/>
        </w:rPr>
      </w:pPr>
    </w:p>
    <w:p w14:paraId="736A4687">
      <w:pPr>
        <w:wordWrap w:val="0"/>
        <w:topLinePunct/>
        <w:spacing w:line="360" w:lineRule="auto"/>
        <w:ind w:firstLine="480" w:firstLineChars="200"/>
        <w:rPr>
          <w:rFonts w:hint="eastAsia" w:ascii="宋体" w:hAnsi="宋体" w:eastAsia="宋体" w:cs="宋体"/>
          <w:sz w:val="24"/>
          <w:szCs w:val="24"/>
          <w:highlight w:val="none"/>
        </w:rPr>
      </w:pPr>
    </w:p>
    <w:p w14:paraId="4F208CEC">
      <w:pPr>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响应人（企业电子签章或盖章）：</w:t>
      </w:r>
    </w:p>
    <w:p w14:paraId="2ECB1885">
      <w:pPr>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法定代表人（个人电子签章或盖章或签字）： </w:t>
      </w:r>
    </w:p>
    <w:p w14:paraId="4078778A">
      <w:pPr>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日 期： </w:t>
      </w:r>
    </w:p>
    <w:p w14:paraId="688EBF13">
      <w:pPr>
        <w:rPr>
          <w:rFonts w:ascii="Calibri" w:hAnsi="Calibri" w:eastAsia="宋体" w:cs="Times New Roman"/>
          <w:sz w:val="22"/>
          <w:highlight w:val="none"/>
        </w:rPr>
      </w:pPr>
    </w:p>
    <w:p w14:paraId="474522DB">
      <w:pPr>
        <w:wordWrap w:val="0"/>
        <w:jc w:val="center"/>
        <w:rPr>
          <w:rFonts w:hint="eastAsia" w:ascii="宋体" w:hAnsi="宋体" w:eastAsia="宋体" w:cs="宋体"/>
          <w:b/>
          <w:bCs/>
          <w:sz w:val="24"/>
          <w:szCs w:val="24"/>
          <w:highlight w:val="none"/>
        </w:rPr>
      </w:pPr>
    </w:p>
    <w:p w14:paraId="4256F510">
      <w:pPr>
        <w:wordWrap w:val="0"/>
        <w:jc w:val="center"/>
        <w:rPr>
          <w:rFonts w:hint="eastAsia" w:ascii="宋体" w:hAnsi="宋体" w:eastAsia="宋体" w:cs="宋体"/>
          <w:b/>
          <w:bCs/>
          <w:sz w:val="24"/>
          <w:szCs w:val="24"/>
          <w:highlight w:val="none"/>
        </w:rPr>
      </w:pPr>
    </w:p>
    <w:p w14:paraId="1D0447EC">
      <w:pPr>
        <w:wordWrap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p>
    <w:p w14:paraId="4847EBCC">
      <w:pPr>
        <w:wordWrap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p>
    <w:p w14:paraId="0A2DBA65">
      <w:pPr>
        <w:wordWrap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p>
    <w:p w14:paraId="17545A88">
      <w:pPr>
        <w:wordWrap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p>
    <w:p w14:paraId="1A21E2D5">
      <w:pPr>
        <w:topLinePunct/>
        <w:jc w:val="center"/>
        <w:rPr>
          <w:rFonts w:hint="eastAsia" w:ascii="宋体" w:hAnsi="宋体" w:eastAsia="宋体" w:cs="宋体"/>
          <w:b/>
          <w:bCs/>
          <w:sz w:val="24"/>
          <w:szCs w:val="24"/>
          <w:highlight w:val="none"/>
        </w:rPr>
      </w:pPr>
    </w:p>
    <w:p w14:paraId="2107CD89">
      <w:pPr>
        <w:topLinePunct/>
        <w:jc w:val="center"/>
        <w:rPr>
          <w:rFonts w:hint="eastAsia" w:ascii="宋体" w:hAnsi="宋体" w:eastAsia="宋体" w:cs="宋体"/>
          <w:b/>
          <w:bCs/>
          <w:sz w:val="24"/>
          <w:szCs w:val="24"/>
          <w:highlight w:val="none"/>
        </w:rPr>
      </w:pPr>
    </w:p>
    <w:p w14:paraId="4364D789">
      <w:pPr>
        <w:rPr>
          <w:highlight w:val="none"/>
        </w:rPr>
      </w:pPr>
    </w:p>
    <w:sectPr>
      <w:pgSz w:w="11906" w:h="16838"/>
      <w:pgMar w:top="1440" w:right="1083" w:bottom="1440" w:left="1083" w:header="851" w:footer="850" w:gutter="0"/>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10" w:usb3="00000000" w:csb0="0004009F" w:csb1="00000000"/>
  </w:font>
  <w:font w:name="方正小标宋简体">
    <w:altName w:val="黑体"/>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BA3B7">
    <w:pPr>
      <w:rPr>
        <w:b/>
        <w:bCs/>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F109C">
    <w:pPr>
      <w:framePr w:wrap="around" w:vAnchor="text" w:hAnchor="margin" w:xAlign="right" w:y="1"/>
    </w:pPr>
    <w:r>
      <w:fldChar w:fldCharType="begin"/>
    </w:r>
    <w:r>
      <w:instrText xml:space="preserve">PAGE  </w:instrText>
    </w:r>
    <w:r>
      <w:fldChar w:fldCharType="end"/>
    </w:r>
  </w:p>
  <w:p w14:paraId="459D0EC8">
    <w:pPr>
      <w:ind w:right="360"/>
    </w:pPr>
  </w:p>
  <w:p w14:paraId="354CEDE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5C9F3">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81604">
    <w:pPr>
      <w:pStyle w:val="1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C2C30">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78C2C30">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4E92A">
    <w:pPr>
      <w:rPr>
        <w:b/>
        <w:bCs/>
        <w:sz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2C4EFA">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D2C4EFA">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17777">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9E193E">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39E193E">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2B9C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B861A">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0D7A3">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7A0F6431"/>
    <w:multiLevelType w:val="singleLevel"/>
    <w:tmpl w:val="7A0F6431"/>
    <w:lvl w:ilvl="0" w:tentative="0">
      <w:start w:val="1"/>
      <w:numFmt w:val="decimal"/>
      <w:suff w:val="space"/>
      <w:lvlText w:val="%1."/>
      <w:lvlJc w:val="left"/>
    </w:lvl>
  </w:abstractNum>
  <w:num w:numId="1">
    <w:abstractNumId w:val="6"/>
  </w:num>
  <w:num w:numId="2">
    <w:abstractNumId w:val="1"/>
  </w:num>
  <w:num w:numId="3">
    <w:abstractNumId w:val="5"/>
  </w:num>
  <w:num w:numId="4">
    <w:abstractNumId w:val="3"/>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dit="trackedChanges" w:enforcement="1" w:cryptProviderType="rsaFull" w:cryptAlgorithmClass="hash" w:cryptAlgorithmType="typeAny" w:cryptAlgorithmSid="4" w:cryptSpinCount="0" w:hash="r3sRk2FXxGDFVl+IIw9ohXM6uuY=" w:salt="K77mcaD6W1c+RLgKjEeOv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NWNmZTllMTQ2YjMwYjEwNTBhYzVlNTJjODYzNjMifQ=="/>
  </w:docVars>
  <w:rsids>
    <w:rsidRoot w:val="00152654"/>
    <w:rsid w:val="00083471"/>
    <w:rsid w:val="000A6711"/>
    <w:rsid w:val="000C6D21"/>
    <w:rsid w:val="000E2BF8"/>
    <w:rsid w:val="001430A5"/>
    <w:rsid w:val="00143CDA"/>
    <w:rsid w:val="00152654"/>
    <w:rsid w:val="001A5D99"/>
    <w:rsid w:val="001B19C9"/>
    <w:rsid w:val="001E1818"/>
    <w:rsid w:val="001F37CD"/>
    <w:rsid w:val="001F5AC8"/>
    <w:rsid w:val="002311F3"/>
    <w:rsid w:val="002320CE"/>
    <w:rsid w:val="00237A0E"/>
    <w:rsid w:val="00246FA7"/>
    <w:rsid w:val="00270D10"/>
    <w:rsid w:val="00273EE8"/>
    <w:rsid w:val="002905CA"/>
    <w:rsid w:val="002958F8"/>
    <w:rsid w:val="002C608B"/>
    <w:rsid w:val="002F7D2C"/>
    <w:rsid w:val="00312B72"/>
    <w:rsid w:val="00320DDB"/>
    <w:rsid w:val="00334A6B"/>
    <w:rsid w:val="00350C82"/>
    <w:rsid w:val="003527D7"/>
    <w:rsid w:val="003576E5"/>
    <w:rsid w:val="0039248C"/>
    <w:rsid w:val="003924B7"/>
    <w:rsid w:val="003A78E7"/>
    <w:rsid w:val="003C33C2"/>
    <w:rsid w:val="003D51E3"/>
    <w:rsid w:val="003D5CA2"/>
    <w:rsid w:val="003F1570"/>
    <w:rsid w:val="00434D18"/>
    <w:rsid w:val="004A08ED"/>
    <w:rsid w:val="004A731C"/>
    <w:rsid w:val="004C591A"/>
    <w:rsid w:val="004C731E"/>
    <w:rsid w:val="004F03E3"/>
    <w:rsid w:val="004F41BA"/>
    <w:rsid w:val="00527EDE"/>
    <w:rsid w:val="0055594D"/>
    <w:rsid w:val="00561CA7"/>
    <w:rsid w:val="005714C6"/>
    <w:rsid w:val="005759F7"/>
    <w:rsid w:val="005D3523"/>
    <w:rsid w:val="0060256A"/>
    <w:rsid w:val="00627171"/>
    <w:rsid w:val="00641D5F"/>
    <w:rsid w:val="006B26B5"/>
    <w:rsid w:val="006B45C2"/>
    <w:rsid w:val="006B6C76"/>
    <w:rsid w:val="006E5EDA"/>
    <w:rsid w:val="007172C1"/>
    <w:rsid w:val="00722D56"/>
    <w:rsid w:val="007411E3"/>
    <w:rsid w:val="00746C7B"/>
    <w:rsid w:val="00762021"/>
    <w:rsid w:val="007700BA"/>
    <w:rsid w:val="00770A93"/>
    <w:rsid w:val="00777811"/>
    <w:rsid w:val="007867EB"/>
    <w:rsid w:val="007A5C31"/>
    <w:rsid w:val="007C63AC"/>
    <w:rsid w:val="007D054B"/>
    <w:rsid w:val="00861A5B"/>
    <w:rsid w:val="0088019D"/>
    <w:rsid w:val="00881E7F"/>
    <w:rsid w:val="008B2C55"/>
    <w:rsid w:val="008C73C6"/>
    <w:rsid w:val="008F1981"/>
    <w:rsid w:val="00912FF2"/>
    <w:rsid w:val="009158BF"/>
    <w:rsid w:val="00937F8F"/>
    <w:rsid w:val="00940846"/>
    <w:rsid w:val="00977C16"/>
    <w:rsid w:val="00987A02"/>
    <w:rsid w:val="009A0796"/>
    <w:rsid w:val="009C0A65"/>
    <w:rsid w:val="009D06CA"/>
    <w:rsid w:val="00A33AAF"/>
    <w:rsid w:val="00A343A4"/>
    <w:rsid w:val="00A54C48"/>
    <w:rsid w:val="00A54ED7"/>
    <w:rsid w:val="00AC14A1"/>
    <w:rsid w:val="00AF3709"/>
    <w:rsid w:val="00AF4871"/>
    <w:rsid w:val="00AF68FB"/>
    <w:rsid w:val="00AF7AAE"/>
    <w:rsid w:val="00B17443"/>
    <w:rsid w:val="00B36E03"/>
    <w:rsid w:val="00B75DE5"/>
    <w:rsid w:val="00B96E69"/>
    <w:rsid w:val="00BC0A6F"/>
    <w:rsid w:val="00BE464E"/>
    <w:rsid w:val="00C16D48"/>
    <w:rsid w:val="00C347BA"/>
    <w:rsid w:val="00C70D23"/>
    <w:rsid w:val="00C7264B"/>
    <w:rsid w:val="00C864F7"/>
    <w:rsid w:val="00C9128B"/>
    <w:rsid w:val="00C95B56"/>
    <w:rsid w:val="00CA1BB8"/>
    <w:rsid w:val="00CD493F"/>
    <w:rsid w:val="00CE085D"/>
    <w:rsid w:val="00CF735E"/>
    <w:rsid w:val="00D04286"/>
    <w:rsid w:val="00D15D6C"/>
    <w:rsid w:val="00D16CED"/>
    <w:rsid w:val="00D17E4B"/>
    <w:rsid w:val="00D937E2"/>
    <w:rsid w:val="00D97BA9"/>
    <w:rsid w:val="00DA3138"/>
    <w:rsid w:val="00DB6584"/>
    <w:rsid w:val="00DC33B4"/>
    <w:rsid w:val="00DC7B19"/>
    <w:rsid w:val="00DF7831"/>
    <w:rsid w:val="00E260A9"/>
    <w:rsid w:val="00E261D0"/>
    <w:rsid w:val="00E368E1"/>
    <w:rsid w:val="00E67728"/>
    <w:rsid w:val="00E727FE"/>
    <w:rsid w:val="00E805B6"/>
    <w:rsid w:val="00E86C16"/>
    <w:rsid w:val="00EA6082"/>
    <w:rsid w:val="00EA72E0"/>
    <w:rsid w:val="00EC3FFE"/>
    <w:rsid w:val="00ED010A"/>
    <w:rsid w:val="00ED4A12"/>
    <w:rsid w:val="00EF645A"/>
    <w:rsid w:val="00F121E7"/>
    <w:rsid w:val="00F12EB3"/>
    <w:rsid w:val="00F4401E"/>
    <w:rsid w:val="00F53179"/>
    <w:rsid w:val="00F53A22"/>
    <w:rsid w:val="00F54035"/>
    <w:rsid w:val="00F60957"/>
    <w:rsid w:val="00F6218F"/>
    <w:rsid w:val="00FC0843"/>
    <w:rsid w:val="00FC664E"/>
    <w:rsid w:val="00FD7DD6"/>
    <w:rsid w:val="00FF6399"/>
    <w:rsid w:val="00FF6CF4"/>
    <w:rsid w:val="0120336B"/>
    <w:rsid w:val="01E70230"/>
    <w:rsid w:val="01F26FD5"/>
    <w:rsid w:val="024A7DDF"/>
    <w:rsid w:val="029A38EC"/>
    <w:rsid w:val="02CA7C11"/>
    <w:rsid w:val="032C4E8C"/>
    <w:rsid w:val="03555A65"/>
    <w:rsid w:val="03AC1DBF"/>
    <w:rsid w:val="04C06098"/>
    <w:rsid w:val="0530678A"/>
    <w:rsid w:val="05422ECB"/>
    <w:rsid w:val="059C537A"/>
    <w:rsid w:val="06223D87"/>
    <w:rsid w:val="0655382F"/>
    <w:rsid w:val="06710E08"/>
    <w:rsid w:val="072A0899"/>
    <w:rsid w:val="086E6C0F"/>
    <w:rsid w:val="0994295D"/>
    <w:rsid w:val="099B68C7"/>
    <w:rsid w:val="09B87B50"/>
    <w:rsid w:val="0B785854"/>
    <w:rsid w:val="0C470036"/>
    <w:rsid w:val="0C550DDA"/>
    <w:rsid w:val="0CA72900"/>
    <w:rsid w:val="0CF56D46"/>
    <w:rsid w:val="0DD81423"/>
    <w:rsid w:val="0E1212A0"/>
    <w:rsid w:val="0E707BF7"/>
    <w:rsid w:val="0E805BB5"/>
    <w:rsid w:val="0EA03BFE"/>
    <w:rsid w:val="0EA220E4"/>
    <w:rsid w:val="0EC62A52"/>
    <w:rsid w:val="0EE26D46"/>
    <w:rsid w:val="0FA25AF2"/>
    <w:rsid w:val="102962AF"/>
    <w:rsid w:val="10D12E24"/>
    <w:rsid w:val="10DF6CB1"/>
    <w:rsid w:val="10FE14EA"/>
    <w:rsid w:val="111927C8"/>
    <w:rsid w:val="1232386A"/>
    <w:rsid w:val="1235718D"/>
    <w:rsid w:val="124E3051"/>
    <w:rsid w:val="127546B4"/>
    <w:rsid w:val="12814D98"/>
    <w:rsid w:val="12C84F5F"/>
    <w:rsid w:val="1340403C"/>
    <w:rsid w:val="134578A4"/>
    <w:rsid w:val="1358441B"/>
    <w:rsid w:val="138403CC"/>
    <w:rsid w:val="13A46379"/>
    <w:rsid w:val="13B17F44"/>
    <w:rsid w:val="13DF53A0"/>
    <w:rsid w:val="14691370"/>
    <w:rsid w:val="15785F0B"/>
    <w:rsid w:val="159D0154"/>
    <w:rsid w:val="15B842D3"/>
    <w:rsid w:val="15CE6D77"/>
    <w:rsid w:val="161A3893"/>
    <w:rsid w:val="16454DFC"/>
    <w:rsid w:val="16E6675F"/>
    <w:rsid w:val="17147100"/>
    <w:rsid w:val="174D6D27"/>
    <w:rsid w:val="17F60AEE"/>
    <w:rsid w:val="18463EA2"/>
    <w:rsid w:val="193C23FA"/>
    <w:rsid w:val="193C34F7"/>
    <w:rsid w:val="19FE255B"/>
    <w:rsid w:val="1A3A1C2F"/>
    <w:rsid w:val="1A7F4D8D"/>
    <w:rsid w:val="1A9F789A"/>
    <w:rsid w:val="1AB62E35"/>
    <w:rsid w:val="1AEB6F83"/>
    <w:rsid w:val="1AFF6879"/>
    <w:rsid w:val="1B067919"/>
    <w:rsid w:val="1B2D5684"/>
    <w:rsid w:val="1B387CE9"/>
    <w:rsid w:val="1B5A697D"/>
    <w:rsid w:val="1B6B39BC"/>
    <w:rsid w:val="1C8A64C6"/>
    <w:rsid w:val="1CA473E9"/>
    <w:rsid w:val="1E262080"/>
    <w:rsid w:val="1E3A020F"/>
    <w:rsid w:val="1E6D3113"/>
    <w:rsid w:val="1EAA4A5F"/>
    <w:rsid w:val="1EE337DA"/>
    <w:rsid w:val="1F550E6F"/>
    <w:rsid w:val="1FA616CA"/>
    <w:rsid w:val="202B2133"/>
    <w:rsid w:val="206B33F0"/>
    <w:rsid w:val="20AA5D3B"/>
    <w:rsid w:val="210066E7"/>
    <w:rsid w:val="210C5E73"/>
    <w:rsid w:val="23BC3BC2"/>
    <w:rsid w:val="24641085"/>
    <w:rsid w:val="25423C43"/>
    <w:rsid w:val="25615736"/>
    <w:rsid w:val="26484F20"/>
    <w:rsid w:val="276A7481"/>
    <w:rsid w:val="29017971"/>
    <w:rsid w:val="29AF5108"/>
    <w:rsid w:val="29B856B6"/>
    <w:rsid w:val="2A6E7289"/>
    <w:rsid w:val="2AEB08D9"/>
    <w:rsid w:val="2B0B2D29"/>
    <w:rsid w:val="2B666272"/>
    <w:rsid w:val="2B69251F"/>
    <w:rsid w:val="2C4A70DD"/>
    <w:rsid w:val="2D543A3E"/>
    <w:rsid w:val="2DD6761F"/>
    <w:rsid w:val="2DEA60B2"/>
    <w:rsid w:val="2E132621"/>
    <w:rsid w:val="2E476DBF"/>
    <w:rsid w:val="2EE265FC"/>
    <w:rsid w:val="2EEB0EA8"/>
    <w:rsid w:val="2F4775A8"/>
    <w:rsid w:val="2FFD5AB7"/>
    <w:rsid w:val="30247BD1"/>
    <w:rsid w:val="30323310"/>
    <w:rsid w:val="30FE1366"/>
    <w:rsid w:val="311E1C0C"/>
    <w:rsid w:val="315A0567"/>
    <w:rsid w:val="319C110F"/>
    <w:rsid w:val="31F86FE0"/>
    <w:rsid w:val="32132BEF"/>
    <w:rsid w:val="32841D1E"/>
    <w:rsid w:val="329364AC"/>
    <w:rsid w:val="337748EF"/>
    <w:rsid w:val="341A53CF"/>
    <w:rsid w:val="35556E49"/>
    <w:rsid w:val="367F6029"/>
    <w:rsid w:val="37492C0F"/>
    <w:rsid w:val="374E46CA"/>
    <w:rsid w:val="37754601"/>
    <w:rsid w:val="379A790F"/>
    <w:rsid w:val="37DB4E60"/>
    <w:rsid w:val="38291776"/>
    <w:rsid w:val="38344A73"/>
    <w:rsid w:val="383C7A23"/>
    <w:rsid w:val="38F30730"/>
    <w:rsid w:val="392E030F"/>
    <w:rsid w:val="395E197D"/>
    <w:rsid w:val="399F745E"/>
    <w:rsid w:val="39A44A75"/>
    <w:rsid w:val="39D013C6"/>
    <w:rsid w:val="39D709A6"/>
    <w:rsid w:val="3A902A5A"/>
    <w:rsid w:val="3B1D688D"/>
    <w:rsid w:val="3BB61FCA"/>
    <w:rsid w:val="3CA8662A"/>
    <w:rsid w:val="3CD63197"/>
    <w:rsid w:val="3D8E5820"/>
    <w:rsid w:val="3DD358E7"/>
    <w:rsid w:val="3DE90CA8"/>
    <w:rsid w:val="3E066647"/>
    <w:rsid w:val="3E5500EC"/>
    <w:rsid w:val="3EE51F65"/>
    <w:rsid w:val="3EFC4CA0"/>
    <w:rsid w:val="3F4B7614"/>
    <w:rsid w:val="40255396"/>
    <w:rsid w:val="40371000"/>
    <w:rsid w:val="40A86BF9"/>
    <w:rsid w:val="40B97058"/>
    <w:rsid w:val="41151DB4"/>
    <w:rsid w:val="412B6973"/>
    <w:rsid w:val="426218BA"/>
    <w:rsid w:val="427462E7"/>
    <w:rsid w:val="42E87780"/>
    <w:rsid w:val="441614F2"/>
    <w:rsid w:val="444B414F"/>
    <w:rsid w:val="46160AA8"/>
    <w:rsid w:val="46274A64"/>
    <w:rsid w:val="4695726A"/>
    <w:rsid w:val="46B04A59"/>
    <w:rsid w:val="475A49C5"/>
    <w:rsid w:val="47705F96"/>
    <w:rsid w:val="47737835"/>
    <w:rsid w:val="4852044E"/>
    <w:rsid w:val="48927F3F"/>
    <w:rsid w:val="49066BB2"/>
    <w:rsid w:val="499C12C5"/>
    <w:rsid w:val="4A646878"/>
    <w:rsid w:val="4B142792"/>
    <w:rsid w:val="4B5A4F93"/>
    <w:rsid w:val="4B7C13AE"/>
    <w:rsid w:val="4B900F0A"/>
    <w:rsid w:val="4B9328A2"/>
    <w:rsid w:val="4C124DC2"/>
    <w:rsid w:val="4C267267"/>
    <w:rsid w:val="4CD90E06"/>
    <w:rsid w:val="4CEC4311"/>
    <w:rsid w:val="4D4C6EB0"/>
    <w:rsid w:val="4DB17D3F"/>
    <w:rsid w:val="4E197388"/>
    <w:rsid w:val="4F222A30"/>
    <w:rsid w:val="4F337AEB"/>
    <w:rsid w:val="4FA47389"/>
    <w:rsid w:val="4FB87BC6"/>
    <w:rsid w:val="50526B81"/>
    <w:rsid w:val="50B43398"/>
    <w:rsid w:val="51047D34"/>
    <w:rsid w:val="5266448B"/>
    <w:rsid w:val="5268268C"/>
    <w:rsid w:val="530D15CE"/>
    <w:rsid w:val="531C5933"/>
    <w:rsid w:val="53737397"/>
    <w:rsid w:val="54A3721F"/>
    <w:rsid w:val="54C87E4F"/>
    <w:rsid w:val="54CD2C7A"/>
    <w:rsid w:val="555C7B5A"/>
    <w:rsid w:val="56BF65F2"/>
    <w:rsid w:val="56E55B57"/>
    <w:rsid w:val="57083360"/>
    <w:rsid w:val="574A1868"/>
    <w:rsid w:val="575064D2"/>
    <w:rsid w:val="581B09D8"/>
    <w:rsid w:val="581D7A74"/>
    <w:rsid w:val="584875A7"/>
    <w:rsid w:val="591075D9"/>
    <w:rsid w:val="59EE16C8"/>
    <w:rsid w:val="5A8B33BB"/>
    <w:rsid w:val="5B406296"/>
    <w:rsid w:val="5B550888"/>
    <w:rsid w:val="5BD82630"/>
    <w:rsid w:val="5C802CB6"/>
    <w:rsid w:val="5D7A1F07"/>
    <w:rsid w:val="5E116979"/>
    <w:rsid w:val="5E420235"/>
    <w:rsid w:val="5E8E262A"/>
    <w:rsid w:val="5E976488"/>
    <w:rsid w:val="5F335DCF"/>
    <w:rsid w:val="5F374E01"/>
    <w:rsid w:val="5F70731B"/>
    <w:rsid w:val="602776E2"/>
    <w:rsid w:val="609D1752"/>
    <w:rsid w:val="60BA2F43"/>
    <w:rsid w:val="614671FD"/>
    <w:rsid w:val="615C44D2"/>
    <w:rsid w:val="61A11A3C"/>
    <w:rsid w:val="61A342D1"/>
    <w:rsid w:val="61AD3C17"/>
    <w:rsid w:val="622817F7"/>
    <w:rsid w:val="62650996"/>
    <w:rsid w:val="6280132C"/>
    <w:rsid w:val="629917AC"/>
    <w:rsid w:val="63012331"/>
    <w:rsid w:val="636F0D32"/>
    <w:rsid w:val="63D65B34"/>
    <w:rsid w:val="641A55C7"/>
    <w:rsid w:val="64C86FBA"/>
    <w:rsid w:val="64CC5572"/>
    <w:rsid w:val="65FC6F1B"/>
    <w:rsid w:val="66671B30"/>
    <w:rsid w:val="6727446C"/>
    <w:rsid w:val="67DB3C85"/>
    <w:rsid w:val="6822078F"/>
    <w:rsid w:val="68490412"/>
    <w:rsid w:val="688306D3"/>
    <w:rsid w:val="68B27D65"/>
    <w:rsid w:val="68D97EC3"/>
    <w:rsid w:val="69961435"/>
    <w:rsid w:val="6A7259FE"/>
    <w:rsid w:val="6AB9362D"/>
    <w:rsid w:val="6AF90805"/>
    <w:rsid w:val="6B7B1AB7"/>
    <w:rsid w:val="6CFC5A53"/>
    <w:rsid w:val="6D0D5EB2"/>
    <w:rsid w:val="6D2817E7"/>
    <w:rsid w:val="6D282CEC"/>
    <w:rsid w:val="6E8421A4"/>
    <w:rsid w:val="6FD35191"/>
    <w:rsid w:val="709B41F7"/>
    <w:rsid w:val="711A294B"/>
    <w:rsid w:val="712B62B9"/>
    <w:rsid w:val="71332887"/>
    <w:rsid w:val="715356CF"/>
    <w:rsid w:val="71A2280E"/>
    <w:rsid w:val="724D5109"/>
    <w:rsid w:val="73BA0505"/>
    <w:rsid w:val="744C447E"/>
    <w:rsid w:val="74EF17B2"/>
    <w:rsid w:val="7513403E"/>
    <w:rsid w:val="7559354D"/>
    <w:rsid w:val="75E60822"/>
    <w:rsid w:val="76C07AF1"/>
    <w:rsid w:val="770F5175"/>
    <w:rsid w:val="771A763D"/>
    <w:rsid w:val="77894387"/>
    <w:rsid w:val="77A47413"/>
    <w:rsid w:val="78085BF3"/>
    <w:rsid w:val="78F147CA"/>
    <w:rsid w:val="794D599B"/>
    <w:rsid w:val="798555D1"/>
    <w:rsid w:val="799F10C8"/>
    <w:rsid w:val="79D73ACF"/>
    <w:rsid w:val="7B4C4049"/>
    <w:rsid w:val="7B5F3D7C"/>
    <w:rsid w:val="7B837D9E"/>
    <w:rsid w:val="7B903FAB"/>
    <w:rsid w:val="7BD15BD0"/>
    <w:rsid w:val="7CD3305F"/>
    <w:rsid w:val="7DE22A43"/>
    <w:rsid w:val="7EA20CF5"/>
    <w:rsid w:val="7EC02D84"/>
    <w:rsid w:val="7ECC24A0"/>
    <w:rsid w:val="7F435763"/>
    <w:rsid w:val="7FF76C79"/>
    <w:rsid w:val="F7EBAD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autoRedefine/>
    <w:qFormat/>
    <w:uiPriority w:val="0"/>
    <w:pPr>
      <w:spacing w:before="38"/>
      <w:ind w:left="892"/>
      <w:jc w:val="center"/>
      <w:outlineLvl w:val="0"/>
    </w:pPr>
    <w:rPr>
      <w:sz w:val="32"/>
      <w:szCs w:val="32"/>
    </w:rPr>
  </w:style>
  <w:style w:type="paragraph" w:styleId="6">
    <w:name w:val="heading 2"/>
    <w:basedOn w:val="1"/>
    <w:next w:val="1"/>
    <w:link w:val="46"/>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9"/>
    <w:autoRedefine/>
    <w:unhideWhenUsed/>
    <w:qFormat/>
    <w:uiPriority w:val="9"/>
    <w:pPr>
      <w:keepNext/>
      <w:keepLines/>
      <w:spacing w:line="360" w:lineRule="auto"/>
      <w:outlineLvl w:val="2"/>
    </w:pPr>
    <w:rPr>
      <w:b/>
      <w:bCs/>
      <w:sz w:val="28"/>
      <w:szCs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3"/>
    <w:autoRedefine/>
    <w:qFormat/>
    <w:uiPriority w:val="0"/>
    <w:pPr>
      <w:spacing w:line="360" w:lineRule="auto"/>
      <w:ind w:left="1140"/>
    </w:pPr>
    <w:rPr>
      <w:rFonts w:ascii="宋体"/>
      <w:sz w:val="24"/>
      <w:szCs w:val="20"/>
    </w:rPr>
  </w:style>
  <w:style w:type="paragraph" w:styleId="3">
    <w:name w:val="Plain Text"/>
    <w:basedOn w:val="1"/>
    <w:next w:val="4"/>
    <w:autoRedefine/>
    <w:qFormat/>
    <w:uiPriority w:val="0"/>
    <w:rPr>
      <w:rFonts w:ascii="宋体" w:hAnsi="Courier New"/>
      <w:szCs w:val="20"/>
    </w:rPr>
  </w:style>
  <w:style w:type="paragraph" w:styleId="4">
    <w:name w:val="toc 5"/>
    <w:basedOn w:val="1"/>
    <w:next w:val="1"/>
    <w:qFormat/>
    <w:uiPriority w:val="0"/>
    <w:pPr>
      <w:ind w:left="400" w:leftChars="400"/>
    </w:pPr>
    <w:rPr>
      <w:rFonts w:ascii="Times New Roman" w:hAnsi="Times New Roman"/>
      <w:szCs w:val="24"/>
    </w:rPr>
  </w:style>
  <w:style w:type="paragraph" w:styleId="8">
    <w:name w:val="annotation text"/>
    <w:basedOn w:val="1"/>
    <w:unhideWhenUsed/>
    <w:qFormat/>
    <w:uiPriority w:val="99"/>
    <w:rPr>
      <w:sz w:val="20"/>
    </w:rPr>
  </w:style>
  <w:style w:type="paragraph" w:styleId="9">
    <w:name w:val="Body Text"/>
    <w:basedOn w:val="1"/>
    <w:autoRedefine/>
    <w:qFormat/>
    <w:uiPriority w:val="0"/>
    <w:pPr>
      <w:adjustRightInd w:val="0"/>
      <w:jc w:val="left"/>
      <w:textAlignment w:val="baseline"/>
    </w:pPr>
    <w:rPr>
      <w:rFonts w:ascii="楷体_GB2312" w:eastAsia="楷体_GB2312"/>
      <w:kern w:val="0"/>
      <w:sz w:val="28"/>
      <w:szCs w:val="20"/>
    </w:rPr>
  </w:style>
  <w:style w:type="paragraph" w:styleId="10">
    <w:name w:val="Body Text Indent"/>
    <w:basedOn w:val="1"/>
    <w:autoRedefine/>
    <w:qFormat/>
    <w:uiPriority w:val="0"/>
    <w:pPr>
      <w:adjustRightInd w:val="0"/>
      <w:spacing w:after="120" w:line="360" w:lineRule="atLeast"/>
      <w:ind w:left="420"/>
      <w:jc w:val="left"/>
      <w:textAlignment w:val="baseline"/>
    </w:pPr>
    <w:rPr>
      <w:rFonts w:ascii="Times New Roman" w:hAnsi="Times New Roman" w:eastAsia="宋体" w:cs="Times New Roman"/>
      <w:kern w:val="0"/>
      <w:sz w:val="24"/>
      <w:szCs w:val="28"/>
    </w:rPr>
  </w:style>
  <w:style w:type="paragraph" w:styleId="11">
    <w:name w:val="toc 3"/>
    <w:basedOn w:val="1"/>
    <w:next w:val="1"/>
    <w:semiHidden/>
    <w:unhideWhenUsed/>
    <w:qFormat/>
    <w:uiPriority w:val="39"/>
    <w:pPr>
      <w:ind w:left="840" w:leftChars="400"/>
    </w:pPr>
  </w:style>
  <w:style w:type="paragraph" w:styleId="12">
    <w:name w:val="Balloon Text"/>
    <w:basedOn w:val="1"/>
    <w:link w:val="44"/>
    <w:autoRedefine/>
    <w:semiHidden/>
    <w:unhideWhenUsed/>
    <w:qFormat/>
    <w:uiPriority w:val="99"/>
    <w:rPr>
      <w:sz w:val="18"/>
      <w:szCs w:val="18"/>
    </w:rPr>
  </w:style>
  <w:style w:type="paragraph" w:styleId="13">
    <w:name w:val="footer"/>
    <w:basedOn w:val="1"/>
    <w:link w:val="43"/>
    <w:autoRedefine/>
    <w:unhideWhenUsed/>
    <w:qFormat/>
    <w:uiPriority w:val="99"/>
    <w:pPr>
      <w:tabs>
        <w:tab w:val="center" w:pos="4153"/>
        <w:tab w:val="right" w:pos="8306"/>
      </w:tabs>
      <w:snapToGrid w:val="0"/>
      <w:jc w:val="left"/>
    </w:pPr>
    <w:rPr>
      <w:sz w:val="18"/>
      <w:szCs w:val="18"/>
    </w:rPr>
  </w:style>
  <w:style w:type="paragraph" w:styleId="14">
    <w:name w:val="envelope return"/>
    <w:basedOn w:val="1"/>
    <w:autoRedefine/>
    <w:qFormat/>
    <w:uiPriority w:val="99"/>
    <w:rPr>
      <w:rFonts w:ascii="Arial" w:hAnsi="Arial"/>
    </w:rPr>
  </w:style>
  <w:style w:type="paragraph" w:styleId="15">
    <w:name w:val="header"/>
    <w:basedOn w:val="1"/>
    <w:link w:val="4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autoRedefine/>
    <w:semiHidden/>
    <w:unhideWhenUsed/>
    <w:qFormat/>
    <w:uiPriority w:val="39"/>
  </w:style>
  <w:style w:type="paragraph" w:styleId="17">
    <w:name w:val="Subtitle"/>
    <w:basedOn w:val="1"/>
    <w:next w:val="1"/>
    <w:link w:val="49"/>
    <w:autoRedefine/>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8">
    <w:name w:val="toc 2"/>
    <w:basedOn w:val="1"/>
    <w:next w:val="1"/>
    <w:semiHidden/>
    <w:unhideWhenUsed/>
    <w:qFormat/>
    <w:uiPriority w:val="39"/>
    <w:pPr>
      <w:ind w:left="420" w:leftChars="200"/>
    </w:pPr>
  </w:style>
  <w:style w:type="paragraph" w:styleId="19">
    <w:name w:val="Body Text 2"/>
    <w:basedOn w:val="1"/>
    <w:next w:val="3"/>
    <w:autoRedefine/>
    <w:qFormat/>
    <w:uiPriority w:val="0"/>
    <w:pPr>
      <w:spacing w:line="360" w:lineRule="auto"/>
    </w:pPr>
    <w:rPr>
      <w:sz w:val="24"/>
      <w:szCs w:val="20"/>
    </w:rPr>
  </w:style>
  <w:style w:type="paragraph" w:styleId="20">
    <w:name w:val="Message Header"/>
    <w:basedOn w:val="1"/>
    <w:autoRedefine/>
    <w:qFormat/>
    <w:uiPriority w:val="0"/>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Arial" w:hAnsi="Arial" w:cs="Arial"/>
      <w:sz w:val="24"/>
      <w:szCs w:val="24"/>
    </w:rPr>
  </w:style>
  <w:style w:type="paragraph" w:styleId="21">
    <w:name w:val="Normal (Web)"/>
    <w:basedOn w:val="1"/>
    <w:autoRedefine/>
    <w:unhideWhenUsed/>
    <w:qFormat/>
    <w:uiPriority w:val="99"/>
    <w:rPr>
      <w:rFonts w:ascii="Times New Roman" w:hAnsi="Times New Roman" w:cs="Times New Roman"/>
      <w:sz w:val="24"/>
      <w:szCs w:val="24"/>
    </w:rPr>
  </w:style>
  <w:style w:type="paragraph" w:styleId="22">
    <w:name w:val="Body Text First Indent"/>
    <w:basedOn w:val="9"/>
    <w:autoRedefine/>
    <w:qFormat/>
    <w:uiPriority w:val="99"/>
    <w:pPr>
      <w:spacing w:after="120"/>
      <w:ind w:firstLine="420" w:firstLineChars="100"/>
    </w:pPr>
    <w:rPr>
      <w:rFonts w:ascii="Times New Roman" w:hAnsi="Times New Roman" w:cs="Times New Roman"/>
      <w:sz w:val="21"/>
      <w:szCs w:val="21"/>
    </w:rPr>
  </w:style>
  <w:style w:type="paragraph" w:styleId="23">
    <w:name w:val="Body Text First Indent 2"/>
    <w:basedOn w:val="10"/>
    <w:next w:val="22"/>
    <w:autoRedefine/>
    <w:unhideWhenUsed/>
    <w:qFormat/>
    <w:uiPriority w:val="99"/>
    <w:pPr>
      <w:ind w:firstLine="420" w:firstLineChars="200"/>
    </w:pPr>
  </w:style>
  <w:style w:type="table" w:styleId="25">
    <w:name w:val="Table Grid"/>
    <w:basedOn w:val="24"/>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autoRedefine/>
    <w:qFormat/>
    <w:uiPriority w:val="22"/>
    <w:rPr>
      <w:b/>
      <w:bCs/>
    </w:rPr>
  </w:style>
  <w:style w:type="character" w:styleId="28">
    <w:name w:val="FollowedHyperlink"/>
    <w:basedOn w:val="26"/>
    <w:autoRedefine/>
    <w:semiHidden/>
    <w:unhideWhenUsed/>
    <w:qFormat/>
    <w:uiPriority w:val="99"/>
    <w:rPr>
      <w:color w:val="800080"/>
      <w:u w:val="none"/>
    </w:rPr>
  </w:style>
  <w:style w:type="character" w:styleId="29">
    <w:name w:val="Emphasis"/>
    <w:basedOn w:val="26"/>
    <w:autoRedefine/>
    <w:qFormat/>
    <w:uiPriority w:val="20"/>
    <w:rPr>
      <w:b/>
      <w:bCs/>
    </w:rPr>
  </w:style>
  <w:style w:type="character" w:styleId="30">
    <w:name w:val="HTML Definition"/>
    <w:basedOn w:val="26"/>
    <w:autoRedefine/>
    <w:semiHidden/>
    <w:unhideWhenUsed/>
    <w:qFormat/>
    <w:uiPriority w:val="99"/>
  </w:style>
  <w:style w:type="character" w:styleId="31">
    <w:name w:val="HTML Typewriter"/>
    <w:basedOn w:val="26"/>
    <w:autoRedefine/>
    <w:semiHidden/>
    <w:unhideWhenUsed/>
    <w:qFormat/>
    <w:uiPriority w:val="99"/>
    <w:rPr>
      <w:rFonts w:hint="default" w:ascii="monospace" w:hAnsi="monospace" w:eastAsia="monospace" w:cs="monospace"/>
      <w:sz w:val="20"/>
    </w:rPr>
  </w:style>
  <w:style w:type="character" w:styleId="32">
    <w:name w:val="HTML Acronym"/>
    <w:basedOn w:val="26"/>
    <w:autoRedefine/>
    <w:semiHidden/>
    <w:unhideWhenUsed/>
    <w:qFormat/>
    <w:uiPriority w:val="99"/>
  </w:style>
  <w:style w:type="character" w:styleId="33">
    <w:name w:val="HTML Variable"/>
    <w:basedOn w:val="26"/>
    <w:autoRedefine/>
    <w:semiHidden/>
    <w:unhideWhenUsed/>
    <w:qFormat/>
    <w:uiPriority w:val="99"/>
  </w:style>
  <w:style w:type="character" w:styleId="34">
    <w:name w:val="Hyperlink"/>
    <w:basedOn w:val="26"/>
    <w:autoRedefine/>
    <w:unhideWhenUsed/>
    <w:qFormat/>
    <w:uiPriority w:val="99"/>
    <w:rPr>
      <w:color w:val="0000FF" w:themeColor="hyperlink"/>
      <w:u w:val="single"/>
      <w14:textFill>
        <w14:solidFill>
          <w14:schemeClr w14:val="hlink"/>
        </w14:solidFill>
      </w14:textFill>
    </w:rPr>
  </w:style>
  <w:style w:type="character" w:styleId="35">
    <w:name w:val="HTML Code"/>
    <w:basedOn w:val="26"/>
    <w:autoRedefine/>
    <w:semiHidden/>
    <w:unhideWhenUsed/>
    <w:qFormat/>
    <w:uiPriority w:val="99"/>
    <w:rPr>
      <w:rFonts w:hint="default" w:ascii="monospace" w:hAnsi="monospace" w:eastAsia="monospace" w:cs="monospace"/>
      <w:sz w:val="20"/>
    </w:rPr>
  </w:style>
  <w:style w:type="character" w:styleId="36">
    <w:name w:val="HTML Cite"/>
    <w:basedOn w:val="26"/>
    <w:autoRedefine/>
    <w:semiHidden/>
    <w:unhideWhenUsed/>
    <w:qFormat/>
    <w:uiPriority w:val="99"/>
  </w:style>
  <w:style w:type="character" w:styleId="37">
    <w:name w:val="HTML Keyboard"/>
    <w:basedOn w:val="26"/>
    <w:autoRedefine/>
    <w:semiHidden/>
    <w:unhideWhenUsed/>
    <w:qFormat/>
    <w:uiPriority w:val="99"/>
    <w:rPr>
      <w:rFonts w:hint="default" w:ascii="monospace" w:hAnsi="monospace" w:eastAsia="monospace" w:cs="monospace"/>
      <w:sz w:val="20"/>
    </w:rPr>
  </w:style>
  <w:style w:type="character" w:styleId="38">
    <w:name w:val="HTML Sample"/>
    <w:basedOn w:val="26"/>
    <w:autoRedefine/>
    <w:semiHidden/>
    <w:unhideWhenUsed/>
    <w:qFormat/>
    <w:uiPriority w:val="99"/>
    <w:rPr>
      <w:rFonts w:ascii="monospace" w:hAnsi="monospace" w:eastAsia="monospace" w:cs="monospace"/>
    </w:rPr>
  </w:style>
  <w:style w:type="character" w:customStyle="1" w:styleId="39">
    <w:name w:val="标题 3 字符"/>
    <w:basedOn w:val="26"/>
    <w:link w:val="7"/>
    <w:autoRedefine/>
    <w:qFormat/>
    <w:uiPriority w:val="9"/>
    <w:rPr>
      <w:rFonts w:asciiTheme="minorHAnsi" w:hAnsiTheme="minorHAnsi" w:eastAsiaTheme="minorEastAsia"/>
      <w:b/>
      <w:bCs/>
      <w:sz w:val="28"/>
      <w:szCs w:val="32"/>
    </w:rPr>
  </w:style>
  <w:style w:type="paragraph" w:styleId="40">
    <w:name w:val="No Spacing"/>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Default"/>
    <w:basedOn w:val="1"/>
    <w:autoRedefine/>
    <w:qFormat/>
    <w:uiPriority w:val="0"/>
    <w:pPr>
      <w:autoSpaceDE w:val="0"/>
      <w:autoSpaceDN w:val="0"/>
      <w:adjustRightInd w:val="0"/>
      <w:jc w:val="left"/>
    </w:pPr>
    <w:rPr>
      <w:rFonts w:ascii="Calibri" w:hAnsi="Calibri"/>
      <w:color w:val="000000"/>
      <w:kern w:val="0"/>
      <w:sz w:val="24"/>
      <w:szCs w:val="24"/>
    </w:rPr>
  </w:style>
  <w:style w:type="character" w:customStyle="1" w:styleId="42">
    <w:name w:val="页眉 字符"/>
    <w:basedOn w:val="26"/>
    <w:link w:val="15"/>
    <w:autoRedefine/>
    <w:qFormat/>
    <w:uiPriority w:val="99"/>
    <w:rPr>
      <w:sz w:val="18"/>
      <w:szCs w:val="18"/>
    </w:rPr>
  </w:style>
  <w:style w:type="character" w:customStyle="1" w:styleId="43">
    <w:name w:val="页脚 字符"/>
    <w:basedOn w:val="26"/>
    <w:link w:val="13"/>
    <w:autoRedefine/>
    <w:qFormat/>
    <w:uiPriority w:val="99"/>
    <w:rPr>
      <w:sz w:val="18"/>
      <w:szCs w:val="18"/>
    </w:rPr>
  </w:style>
  <w:style w:type="character" w:customStyle="1" w:styleId="44">
    <w:name w:val="批注框文本 字符"/>
    <w:basedOn w:val="26"/>
    <w:link w:val="12"/>
    <w:autoRedefine/>
    <w:semiHidden/>
    <w:qFormat/>
    <w:uiPriority w:val="99"/>
    <w:rPr>
      <w:sz w:val="18"/>
      <w:szCs w:val="18"/>
    </w:rPr>
  </w:style>
  <w:style w:type="paragraph" w:styleId="45">
    <w:name w:val="List Paragraph"/>
    <w:basedOn w:val="1"/>
    <w:autoRedefine/>
    <w:qFormat/>
    <w:uiPriority w:val="99"/>
    <w:pPr>
      <w:ind w:firstLine="420" w:firstLineChars="200"/>
    </w:pPr>
  </w:style>
  <w:style w:type="character" w:customStyle="1" w:styleId="46">
    <w:name w:val="标题 2 字符"/>
    <w:basedOn w:val="26"/>
    <w:link w:val="6"/>
    <w:autoRedefine/>
    <w:qFormat/>
    <w:uiPriority w:val="9"/>
    <w:rPr>
      <w:rFonts w:asciiTheme="majorHAnsi" w:hAnsiTheme="majorHAnsi" w:eastAsiaTheme="majorEastAsia" w:cstheme="majorBidi"/>
      <w:b/>
      <w:bCs/>
      <w:sz w:val="32"/>
      <w:szCs w:val="32"/>
    </w:rPr>
  </w:style>
  <w:style w:type="paragraph" w:customStyle="1" w:styleId="47">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48">
    <w:name w:val="列出段落1"/>
    <w:basedOn w:val="1"/>
    <w:autoRedefine/>
    <w:qFormat/>
    <w:uiPriority w:val="34"/>
    <w:pPr>
      <w:ind w:firstLine="420" w:firstLineChars="200"/>
    </w:pPr>
    <w:rPr>
      <w:szCs w:val="24"/>
    </w:rPr>
  </w:style>
  <w:style w:type="character" w:customStyle="1" w:styleId="49">
    <w:name w:val="副标题 字符"/>
    <w:basedOn w:val="26"/>
    <w:link w:val="17"/>
    <w:autoRedefine/>
    <w:qFormat/>
    <w:uiPriority w:val="11"/>
    <w:rPr>
      <w:rFonts w:eastAsia="宋体" w:asciiTheme="majorHAnsi" w:hAnsiTheme="majorHAnsi" w:cstheme="majorBidi"/>
      <w:b/>
      <w:bCs/>
      <w:kern w:val="28"/>
      <w:sz w:val="32"/>
      <w:szCs w:val="32"/>
    </w:rPr>
  </w:style>
  <w:style w:type="paragraph" w:customStyle="1" w:styleId="50">
    <w:name w:val="Table Paragraph"/>
    <w:basedOn w:val="1"/>
    <w:autoRedefine/>
    <w:qFormat/>
    <w:uiPriority w:val="1"/>
    <w:rPr>
      <w:rFonts w:hAnsi="宋体" w:cs="宋体"/>
    </w:rPr>
  </w:style>
  <w:style w:type="character" w:customStyle="1" w:styleId="51">
    <w:name w:val="font41"/>
    <w:basedOn w:val="26"/>
    <w:autoRedefine/>
    <w:qFormat/>
    <w:uiPriority w:val="0"/>
    <w:rPr>
      <w:rFonts w:hint="default" w:ascii="Times New Roman" w:hAnsi="Times New Roman" w:cs="Times New Roman"/>
      <w:color w:val="000000"/>
      <w:sz w:val="18"/>
      <w:szCs w:val="18"/>
      <w:u w:val="none"/>
    </w:rPr>
  </w:style>
  <w:style w:type="character" w:customStyle="1" w:styleId="52">
    <w:name w:val="first-child"/>
    <w:basedOn w:val="26"/>
    <w:autoRedefine/>
    <w:qFormat/>
    <w:uiPriority w:val="0"/>
  </w:style>
  <w:style w:type="character" w:customStyle="1" w:styleId="53">
    <w:name w:val="layui-layer-tabnow"/>
    <w:basedOn w:val="26"/>
    <w:autoRedefine/>
    <w:qFormat/>
    <w:uiPriority w:val="0"/>
    <w:rPr>
      <w:bdr w:val="single" w:color="CCCCCC" w:sz="6" w:space="0"/>
      <w:shd w:val="clear" w:color="auto" w:fill="FFFFFF"/>
    </w:rPr>
  </w:style>
  <w:style w:type="character" w:customStyle="1" w:styleId="54">
    <w:name w:val="hover"/>
    <w:basedOn w:val="26"/>
    <w:autoRedefine/>
    <w:qFormat/>
    <w:uiPriority w:val="0"/>
    <w:rPr>
      <w:color w:val="2590EB"/>
    </w:rPr>
  </w:style>
  <w:style w:type="character" w:customStyle="1" w:styleId="55">
    <w:name w:val="hover1"/>
    <w:basedOn w:val="26"/>
    <w:autoRedefine/>
    <w:qFormat/>
    <w:uiPriority w:val="0"/>
    <w:rPr>
      <w:color w:val="2590EB"/>
    </w:rPr>
  </w:style>
  <w:style w:type="character" w:customStyle="1" w:styleId="56">
    <w:name w:val="hover2"/>
    <w:basedOn w:val="26"/>
    <w:autoRedefine/>
    <w:qFormat/>
    <w:uiPriority w:val="0"/>
  </w:style>
  <w:style w:type="character" w:customStyle="1" w:styleId="57">
    <w:name w:val="mini-outputtext1"/>
    <w:basedOn w:val="26"/>
    <w:autoRedefine/>
    <w:qFormat/>
    <w:uiPriority w:val="0"/>
  </w:style>
  <w:style w:type="character" w:customStyle="1" w:styleId="58">
    <w:name w:val="hover3"/>
    <w:basedOn w:val="26"/>
    <w:autoRedefine/>
    <w:qFormat/>
    <w:uiPriority w:val="0"/>
  </w:style>
  <w:style w:type="paragraph" w:customStyle="1" w:styleId="59">
    <w:name w:val="WPSOffice手动目录 1"/>
    <w:autoRedefine/>
    <w:qFormat/>
    <w:uiPriority w:val="0"/>
    <w:rPr>
      <w:rFonts w:ascii="Times New Roman" w:hAnsi="Times New Roman" w:eastAsia="宋体" w:cs="Times New Roman"/>
      <w:lang w:val="en-US" w:eastAsia="zh-CN" w:bidi="ar-SA"/>
    </w:rPr>
  </w:style>
  <w:style w:type="paragraph" w:customStyle="1" w:styleId="60">
    <w:name w:val="无间隔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1">
    <w:name w:val="font11"/>
    <w:basedOn w:val="26"/>
    <w:autoRedefine/>
    <w:qFormat/>
    <w:uiPriority w:val="0"/>
    <w:rPr>
      <w:rFonts w:hint="eastAsia" w:ascii="宋体" w:hAnsi="宋体" w:eastAsia="宋体" w:cs="宋体"/>
      <w:color w:val="000000"/>
      <w:sz w:val="20"/>
      <w:szCs w:val="20"/>
      <w:u w:val="none"/>
    </w:rPr>
  </w:style>
  <w:style w:type="paragraph" w:customStyle="1" w:styleId="62">
    <w:name w:val="Table Text"/>
    <w:basedOn w:val="1"/>
    <w:semiHidden/>
    <w:qFormat/>
    <w:uiPriority w:val="0"/>
    <w:rPr>
      <w:rFonts w:ascii="宋体" w:hAnsi="宋体" w:eastAsia="宋体" w:cs="宋体"/>
      <w:sz w:val="24"/>
      <w:szCs w:val="24"/>
      <w:lang w:eastAsia="en-US"/>
    </w:rPr>
  </w:style>
  <w:style w:type="paragraph" w:customStyle="1" w:styleId="6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4">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65">
    <w:name w:val="font61"/>
    <w:basedOn w:val="26"/>
    <w:qFormat/>
    <w:uiPriority w:val="0"/>
    <w:rPr>
      <w:rFonts w:hint="eastAsia" w:ascii="宋体" w:hAnsi="宋体" w:eastAsia="宋体" w:cs="宋体"/>
      <w:color w:val="000000"/>
      <w:sz w:val="20"/>
      <w:szCs w:val="20"/>
      <w:u w:val="none"/>
    </w:rPr>
  </w:style>
  <w:style w:type="character" w:customStyle="1" w:styleId="66">
    <w:name w:val="font71"/>
    <w:basedOn w:val="26"/>
    <w:qFormat/>
    <w:uiPriority w:val="0"/>
    <w:rPr>
      <w:rFonts w:hint="eastAsia" w:ascii="宋体" w:hAnsi="宋体" w:eastAsia="宋体" w:cs="宋体"/>
      <w:color w:val="000000"/>
      <w:sz w:val="20"/>
      <w:szCs w:val="20"/>
      <w:u w:val="none"/>
    </w:rPr>
  </w:style>
  <w:style w:type="character" w:customStyle="1" w:styleId="67">
    <w:name w:val="font81"/>
    <w:basedOn w:val="26"/>
    <w:qFormat/>
    <w:uiPriority w:val="0"/>
    <w:rPr>
      <w:rFonts w:hint="eastAsia" w:ascii="宋体" w:hAnsi="宋体" w:eastAsia="宋体" w:cs="宋体"/>
      <w:color w:val="000000"/>
      <w:sz w:val="20"/>
      <w:szCs w:val="20"/>
      <w:u w:val="none"/>
    </w:rPr>
  </w:style>
  <w:style w:type="character" w:customStyle="1" w:styleId="68">
    <w:name w:val="font31"/>
    <w:basedOn w:val="26"/>
    <w:qFormat/>
    <w:uiPriority w:val="0"/>
    <w:rPr>
      <w:rFonts w:hint="default" w:ascii="Times New Roman" w:hAnsi="Times New Roman" w:cs="Times New Roman"/>
      <w:color w:val="000000"/>
      <w:sz w:val="24"/>
      <w:szCs w:val="24"/>
      <w:u w:val="none"/>
    </w:rPr>
  </w:style>
  <w:style w:type="character" w:customStyle="1" w:styleId="69">
    <w:name w:val="font01"/>
    <w:basedOn w:val="2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63</Pages>
  <Words>28900</Words>
  <Characters>30554</Characters>
  <Lines>484</Lines>
  <Paragraphs>1260</Paragraphs>
  <TotalTime>4</TotalTime>
  <ScaleCrop>false</ScaleCrop>
  <LinksUpToDate>false</LinksUpToDate>
  <CharactersWithSpaces>34303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2023-11-28T07:17:00Z</dcterms:created>
  <dc:creator>MY</dc:creator>
  <cp:lastModifiedBy>HY</cp:lastModifiedBy>
  <dcterms:modified xsi:type="dcterms:W3CDTF">2026-09-28T07:55:37Z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94C8B53FE97743AC823FC3272B78BAD3_13</vt:lpwstr>
  </property>
  <property fmtid="{D5CDD505-2E9C-101B-9397-08002B2CF9AE}" pid="4" name="KSOTemplateDocerSaveRecord">
    <vt:lpwstr>eyJoZGlkIjoiOWVjNTAyZTJmOTk5YjJjMzg5ZWM5MjdhMWFkZjhkYzQiLCJ1c2VySWQiOiI5MzE5MDc4ODgifQ==</vt:lpwstr>
  </property>
</Properties>
</file>