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BB970B">
      <w:pPr>
        <w:keepNext w:val="0"/>
        <w:keepLines w:val="0"/>
        <w:pageBreakBefore w:val="0"/>
        <w:widowControl w:val="0"/>
        <w:kinsoku/>
        <w:wordWrap/>
        <w:overflowPunct/>
        <w:topLinePunct w:val="0"/>
        <w:autoSpaceDE/>
        <w:autoSpaceDN/>
        <w:bidi w:val="0"/>
        <w:adjustRightInd/>
        <w:snapToGrid/>
        <w:spacing w:line="0" w:lineRule="atLeast"/>
        <w:ind w:firstLine="960" w:firstLineChars="200"/>
        <w:jc w:val="center"/>
        <w:textAlignment w:val="auto"/>
        <w:rPr>
          <w:rFonts w:hint="eastAsia" w:ascii="方正小标宋简体" w:hAnsi="方正小标宋简体" w:eastAsia="方正小标宋简体" w:cs="方正小标宋简体"/>
          <w:b w:val="0"/>
          <w:bCs w:val="0"/>
          <w:color w:val="auto"/>
          <w:spacing w:val="20"/>
          <w:sz w:val="44"/>
          <w:szCs w:val="44"/>
          <w:highlight w:val="none"/>
          <w:u w:val="none" w:color="auto"/>
          <w:lang w:val="en-US" w:eastAsia="zh-CN"/>
        </w:rPr>
      </w:pPr>
      <w:r>
        <w:rPr>
          <w:rFonts w:hint="eastAsia" w:ascii="方正小标宋简体" w:hAnsi="方正小标宋简体" w:eastAsia="方正小标宋简体" w:cs="方正小标宋简体"/>
          <w:b w:val="0"/>
          <w:bCs w:val="0"/>
          <w:color w:val="auto"/>
          <w:spacing w:val="20"/>
          <w:sz w:val="44"/>
          <w:szCs w:val="44"/>
          <w:highlight w:val="none"/>
          <w:u w:val="none" w:color="auto"/>
          <w:lang w:val="en-US" w:eastAsia="zh-CN"/>
        </w:rPr>
        <w:t>郑州伊斯兰教经学院教学综合楼组合家具采购项目-更正公告</w:t>
      </w:r>
    </w:p>
    <w:p w14:paraId="1B525B2E">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一、项目基本情况</w:t>
      </w:r>
    </w:p>
    <w:p w14:paraId="689FDFE6">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1、原公告的采购项目编号：豫财磋商采购-2026-895</w:t>
      </w:r>
    </w:p>
    <w:p w14:paraId="124AA2F9">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2、原公告的采购项目名称：郑州伊斯兰教经学院教学综合楼组合家具采购项目</w:t>
      </w:r>
    </w:p>
    <w:p w14:paraId="1EA6ABE4">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3、首次公告日期及发布媒介：2026年09月24日、《河南省政府采购网》《河南省公共资源交易中心网》</w:t>
      </w:r>
    </w:p>
    <w:p w14:paraId="5D717408">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4、原响应文件提交截止时间：2026年10月14日09时00分（北京时间）</w:t>
      </w:r>
    </w:p>
    <w:p w14:paraId="53994099">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二、更正信息</w:t>
      </w:r>
    </w:p>
    <w:p w14:paraId="6A6CD319">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1、公告类型： 变更公告</w:t>
      </w:r>
    </w:p>
    <w:p w14:paraId="4893A484">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2、更正事项： 采购文件</w:t>
      </w:r>
    </w:p>
    <w:p w14:paraId="405AEA17">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3、原文件获取时间：2026年09月24日 - 2026年10月20日23时59分（北京时间）</w:t>
      </w:r>
    </w:p>
    <w:p w14:paraId="4997604C">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文件获取截止时间变更为：2026年10月20日23时59分（北京时间）</w:t>
      </w:r>
    </w:p>
    <w:p w14:paraId="1CBDF53C">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4、原开标时间：2026年10月26日09时00分（北京时间）</w:t>
      </w:r>
    </w:p>
    <w:p w14:paraId="47738D41">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开标时间变更为：2026年10月26日09时00分（北京时间）</w:t>
      </w:r>
    </w:p>
    <w:p w14:paraId="34DF0947">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5、原采购信息内容</w:t>
      </w:r>
    </w:p>
    <w:p w14:paraId="2EEA9299">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32"/>
          <w:szCs w:val="32"/>
          <w:highlight w:val="none"/>
          <w:lang w:val="zh-TW" w:eastAsia="zh-CN"/>
        </w:rPr>
        <w:t>第六章 “磋商方法和标准”</w:t>
      </w:r>
      <w:r>
        <w:rPr>
          <w:rFonts w:hint="eastAsia" w:ascii="仿宋_GB2312" w:hAnsi="仿宋_GB2312" w:eastAsia="仿宋_GB2312" w:cs="仿宋_GB2312"/>
          <w:b w:val="0"/>
          <w:bCs w:val="0"/>
          <w:color w:val="auto"/>
          <w:sz w:val="32"/>
          <w:szCs w:val="32"/>
          <w:highlight w:val="none"/>
          <w:lang w:val="en-US" w:eastAsia="zh-CN"/>
        </w:rPr>
        <w:t>-“二、 评标标准（满分100分）”</w:t>
      </w:r>
    </w:p>
    <w:tbl>
      <w:tblPr>
        <w:tblStyle w:val="5"/>
        <w:tblW w:w="96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9"/>
        <w:gridCol w:w="1572"/>
        <w:gridCol w:w="5807"/>
        <w:gridCol w:w="896"/>
      </w:tblGrid>
      <w:tr w14:paraId="2D03A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1349" w:type="dxa"/>
            <w:tcBorders>
              <w:top w:val="single" w:color="auto" w:sz="4" w:space="0"/>
              <w:left w:val="single" w:color="auto" w:sz="4" w:space="0"/>
              <w:bottom w:val="single" w:color="auto" w:sz="4" w:space="0"/>
              <w:right w:val="single" w:color="auto" w:sz="4" w:space="0"/>
            </w:tcBorders>
            <w:noWrap w:val="0"/>
            <w:vAlign w:val="center"/>
          </w:tcPr>
          <w:p w14:paraId="315C57FC">
            <w:pPr>
              <w:widowControl w:val="0"/>
              <w:wordWrap w:val="0"/>
              <w:topLinePunct/>
              <w:jc w:val="center"/>
              <w:rPr>
                <w:rFonts w:ascii="Times New Roman" w:hAnsi="Times New Roman" w:eastAsia="仿宋"/>
                <w:b/>
                <w:bCs/>
                <w:sz w:val="28"/>
                <w:szCs w:val="28"/>
              </w:rPr>
            </w:pPr>
            <w:r>
              <w:rPr>
                <w:rFonts w:ascii="仿宋" w:hAnsi="仿宋" w:eastAsia="仿宋"/>
                <w:b/>
                <w:sz w:val="28"/>
                <w:szCs w:val="28"/>
              </w:rPr>
              <w:t>评分内容</w:t>
            </w:r>
          </w:p>
        </w:tc>
        <w:tc>
          <w:tcPr>
            <w:tcW w:w="1572" w:type="dxa"/>
            <w:tcBorders>
              <w:top w:val="single" w:color="auto" w:sz="4" w:space="0"/>
              <w:left w:val="nil"/>
              <w:bottom w:val="single" w:color="auto" w:sz="4" w:space="0"/>
              <w:right w:val="single" w:color="auto" w:sz="4" w:space="0"/>
            </w:tcBorders>
            <w:noWrap w:val="0"/>
            <w:vAlign w:val="center"/>
          </w:tcPr>
          <w:p w14:paraId="5B783587">
            <w:pPr>
              <w:widowControl w:val="0"/>
              <w:wordWrap w:val="0"/>
              <w:topLinePunct/>
              <w:jc w:val="center"/>
              <w:rPr>
                <w:rFonts w:ascii="Times New Roman" w:hAnsi="Times New Roman" w:eastAsia="仿宋"/>
                <w:b/>
                <w:bCs/>
                <w:sz w:val="28"/>
                <w:szCs w:val="28"/>
              </w:rPr>
            </w:pPr>
            <w:r>
              <w:rPr>
                <w:rFonts w:ascii="仿宋" w:hAnsi="仿宋" w:eastAsia="仿宋"/>
                <w:b/>
                <w:sz w:val="28"/>
                <w:szCs w:val="28"/>
              </w:rPr>
              <w:t>评分因素</w:t>
            </w:r>
          </w:p>
        </w:tc>
        <w:tc>
          <w:tcPr>
            <w:tcW w:w="5807" w:type="dxa"/>
            <w:tcBorders>
              <w:top w:val="single" w:color="auto" w:sz="4" w:space="0"/>
              <w:left w:val="nil"/>
              <w:bottom w:val="single" w:color="auto" w:sz="4" w:space="0"/>
              <w:right w:val="single" w:color="auto" w:sz="4" w:space="0"/>
            </w:tcBorders>
            <w:noWrap w:val="0"/>
            <w:vAlign w:val="center"/>
          </w:tcPr>
          <w:p w14:paraId="657804ED">
            <w:pPr>
              <w:widowControl w:val="0"/>
              <w:wordWrap w:val="0"/>
              <w:topLinePunct/>
              <w:jc w:val="center"/>
              <w:rPr>
                <w:rFonts w:ascii="Times New Roman" w:hAnsi="Times New Roman" w:eastAsia="仿宋"/>
                <w:b/>
                <w:bCs/>
                <w:sz w:val="28"/>
                <w:szCs w:val="28"/>
              </w:rPr>
            </w:pPr>
            <w:r>
              <w:rPr>
                <w:rFonts w:ascii="仿宋" w:hAnsi="仿宋" w:eastAsia="仿宋"/>
                <w:b/>
                <w:sz w:val="28"/>
                <w:szCs w:val="28"/>
              </w:rPr>
              <w:t>评分标准</w:t>
            </w:r>
          </w:p>
        </w:tc>
        <w:tc>
          <w:tcPr>
            <w:tcW w:w="896" w:type="dxa"/>
            <w:tcBorders>
              <w:top w:val="single" w:color="auto" w:sz="4" w:space="0"/>
              <w:left w:val="nil"/>
              <w:bottom w:val="single" w:color="auto" w:sz="4" w:space="0"/>
              <w:right w:val="single" w:color="auto" w:sz="4" w:space="0"/>
            </w:tcBorders>
            <w:noWrap w:val="0"/>
            <w:vAlign w:val="center"/>
          </w:tcPr>
          <w:p w14:paraId="60D792D2">
            <w:pPr>
              <w:widowControl w:val="0"/>
              <w:wordWrap w:val="0"/>
              <w:topLinePunct/>
              <w:jc w:val="center"/>
              <w:rPr>
                <w:rFonts w:ascii="Times New Roman" w:hAnsi="Times New Roman" w:eastAsia="仿宋"/>
                <w:b/>
                <w:bCs/>
                <w:sz w:val="28"/>
                <w:szCs w:val="28"/>
              </w:rPr>
            </w:pPr>
            <w:r>
              <w:rPr>
                <w:rFonts w:ascii="仿宋" w:hAnsi="仿宋" w:eastAsia="仿宋"/>
                <w:b/>
                <w:sz w:val="28"/>
                <w:szCs w:val="28"/>
              </w:rPr>
              <w:t>分值</w:t>
            </w:r>
          </w:p>
        </w:tc>
      </w:tr>
      <w:tr w14:paraId="0F6A1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1349" w:type="dxa"/>
            <w:tcBorders>
              <w:top w:val="single" w:color="auto" w:sz="4" w:space="0"/>
              <w:left w:val="single" w:color="auto" w:sz="4" w:space="0"/>
              <w:bottom w:val="single" w:color="auto" w:sz="4" w:space="0"/>
              <w:right w:val="single" w:color="auto" w:sz="4" w:space="0"/>
            </w:tcBorders>
            <w:noWrap w:val="0"/>
            <w:vAlign w:val="center"/>
          </w:tcPr>
          <w:p w14:paraId="03A9D3FF">
            <w:pPr>
              <w:widowControl w:val="0"/>
              <w:wordWrap w:val="0"/>
              <w:topLinePunct/>
              <w:jc w:val="center"/>
              <w:rPr>
                <w:rFonts w:hint="eastAsia" w:ascii="仿宋" w:hAnsi="仿宋" w:eastAsia="仿宋"/>
                <w:b/>
                <w:sz w:val="28"/>
                <w:szCs w:val="28"/>
                <w:lang w:val="en-US" w:eastAsia="zh-CN"/>
              </w:rPr>
            </w:pPr>
            <w:r>
              <w:rPr>
                <w:rFonts w:hint="eastAsia" w:ascii="仿宋" w:hAnsi="仿宋" w:eastAsia="仿宋"/>
                <w:b/>
                <w:sz w:val="28"/>
                <w:szCs w:val="28"/>
                <w:lang w:val="en-US" w:eastAsia="zh-CN"/>
              </w:rPr>
              <w:t>磋商响应报价</w:t>
            </w:r>
          </w:p>
          <w:p w14:paraId="5F4E0718">
            <w:pPr>
              <w:widowControl w:val="0"/>
              <w:wordWrap w:val="0"/>
              <w:topLinePunct/>
              <w:jc w:val="center"/>
              <w:rPr>
                <w:rFonts w:hint="eastAsia" w:ascii="仿宋" w:hAnsi="仿宋" w:eastAsia="仿宋"/>
                <w:b/>
                <w:sz w:val="28"/>
                <w:szCs w:val="28"/>
                <w:lang w:val="en-US" w:eastAsia="zh-CN"/>
              </w:rPr>
            </w:pPr>
            <w:r>
              <w:rPr>
                <w:rFonts w:hint="eastAsia" w:ascii="仿宋" w:hAnsi="仿宋" w:eastAsia="仿宋"/>
                <w:b/>
                <w:sz w:val="28"/>
                <w:szCs w:val="28"/>
                <w:lang w:val="en-US" w:eastAsia="zh-CN"/>
              </w:rPr>
              <w:t>（20分）</w:t>
            </w:r>
          </w:p>
        </w:tc>
        <w:tc>
          <w:tcPr>
            <w:tcW w:w="1572" w:type="dxa"/>
            <w:tcBorders>
              <w:top w:val="single" w:color="auto" w:sz="4" w:space="0"/>
              <w:left w:val="nil"/>
              <w:bottom w:val="single" w:color="auto" w:sz="4" w:space="0"/>
              <w:right w:val="single" w:color="auto" w:sz="4" w:space="0"/>
            </w:tcBorders>
            <w:noWrap w:val="0"/>
            <w:vAlign w:val="center"/>
          </w:tcPr>
          <w:p w14:paraId="24C01EB2">
            <w:pPr>
              <w:widowControl w:val="0"/>
              <w:wordWrap w:val="0"/>
              <w:topLinePunct/>
              <w:jc w:val="center"/>
              <w:rPr>
                <w:rFonts w:hint="eastAsia" w:ascii="仿宋" w:hAnsi="仿宋" w:eastAsia="仿宋"/>
                <w:b/>
                <w:sz w:val="28"/>
                <w:szCs w:val="28"/>
                <w:lang w:val="en-US" w:eastAsia="zh-CN"/>
              </w:rPr>
            </w:pPr>
            <w:r>
              <w:rPr>
                <w:rFonts w:hint="eastAsia" w:ascii="仿宋" w:hAnsi="仿宋" w:eastAsia="仿宋"/>
                <w:b/>
                <w:sz w:val="28"/>
                <w:szCs w:val="28"/>
                <w:lang w:val="en-US" w:eastAsia="zh-CN"/>
              </w:rPr>
              <w:t>响应报价</w:t>
            </w:r>
          </w:p>
        </w:tc>
        <w:tc>
          <w:tcPr>
            <w:tcW w:w="5807" w:type="dxa"/>
            <w:tcBorders>
              <w:top w:val="single" w:color="auto" w:sz="4" w:space="0"/>
              <w:left w:val="nil"/>
              <w:bottom w:val="single" w:color="auto" w:sz="4" w:space="0"/>
              <w:right w:val="single" w:color="auto" w:sz="4" w:space="0"/>
            </w:tcBorders>
            <w:noWrap w:val="0"/>
            <w:vAlign w:val="center"/>
          </w:tcPr>
          <w:p w14:paraId="7689B1AD">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价格分统一采用低价优先法计算，即满足磋商文件要求且最后报价最低的供应商的价格为磋商基准价，其价格分为满分。</w:t>
            </w:r>
          </w:p>
          <w:p w14:paraId="097BCC62">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其他供应商的价格分统一按照下列公式计算：磋商报价得分=（磋商基准价/最后磋商报价）×</w:t>
            </w:r>
            <w:r>
              <w:rPr>
                <w:rFonts w:hint="eastAsia" w:ascii="仿宋_GB2312" w:hAnsi="仿宋_GB2312" w:eastAsia="仿宋_GB2312" w:cs="仿宋_GB2312"/>
                <w:color w:val="auto"/>
                <w:sz w:val="28"/>
                <w:szCs w:val="28"/>
                <w:highlight w:val="none"/>
                <w:lang w:val="en-US" w:eastAsia="zh-CN"/>
              </w:rPr>
              <w:t>20</w:t>
            </w:r>
          </w:p>
        </w:tc>
        <w:tc>
          <w:tcPr>
            <w:tcW w:w="896" w:type="dxa"/>
            <w:tcBorders>
              <w:top w:val="single" w:color="auto" w:sz="4" w:space="0"/>
              <w:left w:val="nil"/>
              <w:bottom w:val="single" w:color="auto" w:sz="4" w:space="0"/>
              <w:right w:val="single" w:color="auto" w:sz="4" w:space="0"/>
            </w:tcBorders>
            <w:noWrap w:val="0"/>
            <w:vAlign w:val="center"/>
          </w:tcPr>
          <w:p w14:paraId="6BAE36CD">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20分</w:t>
            </w:r>
          </w:p>
        </w:tc>
      </w:tr>
      <w:tr w14:paraId="54F3B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1349" w:type="dxa"/>
            <w:vMerge w:val="restart"/>
            <w:tcBorders>
              <w:top w:val="single" w:color="auto" w:sz="4" w:space="0"/>
              <w:left w:val="single" w:color="auto" w:sz="4" w:space="0"/>
              <w:right w:val="single" w:color="auto" w:sz="4" w:space="0"/>
            </w:tcBorders>
            <w:noWrap w:val="0"/>
            <w:vAlign w:val="center"/>
          </w:tcPr>
          <w:p w14:paraId="21B4F60A">
            <w:pPr>
              <w:widowControl w:val="0"/>
              <w:wordWrap w:val="0"/>
              <w:topLinePunct/>
              <w:jc w:val="center"/>
              <w:rPr>
                <w:rFonts w:hint="eastAsia" w:ascii="仿宋" w:hAnsi="仿宋" w:eastAsia="仿宋"/>
                <w:b/>
                <w:sz w:val="28"/>
                <w:szCs w:val="28"/>
                <w:lang w:val="en-US" w:eastAsia="zh-CN"/>
              </w:rPr>
            </w:pPr>
            <w:r>
              <w:rPr>
                <w:rFonts w:hint="eastAsia" w:ascii="仿宋" w:hAnsi="仿宋" w:eastAsia="仿宋"/>
                <w:b/>
                <w:sz w:val="28"/>
                <w:szCs w:val="28"/>
                <w:lang w:val="en-US" w:eastAsia="zh-CN"/>
              </w:rPr>
              <w:t>技术部分</w:t>
            </w:r>
          </w:p>
          <w:p w14:paraId="3C6600BC">
            <w:pPr>
              <w:widowControl w:val="0"/>
              <w:wordWrap w:val="0"/>
              <w:topLinePunct/>
              <w:jc w:val="center"/>
              <w:rPr>
                <w:rFonts w:hint="eastAsia" w:ascii="仿宋" w:hAnsi="仿宋" w:eastAsia="仿宋"/>
                <w:b/>
                <w:sz w:val="28"/>
                <w:szCs w:val="28"/>
                <w:lang w:val="en-US" w:eastAsia="zh-CN"/>
              </w:rPr>
            </w:pPr>
            <w:r>
              <w:rPr>
                <w:rFonts w:hint="eastAsia" w:ascii="仿宋" w:hAnsi="仿宋" w:eastAsia="仿宋"/>
                <w:b/>
                <w:sz w:val="28"/>
                <w:szCs w:val="28"/>
                <w:lang w:val="en-US" w:eastAsia="zh-CN"/>
              </w:rPr>
              <w:t>（58分）</w:t>
            </w:r>
          </w:p>
        </w:tc>
        <w:tc>
          <w:tcPr>
            <w:tcW w:w="1572" w:type="dxa"/>
            <w:tcBorders>
              <w:top w:val="single" w:color="auto" w:sz="4" w:space="0"/>
              <w:left w:val="nil"/>
              <w:bottom w:val="single" w:color="auto" w:sz="4" w:space="0"/>
              <w:right w:val="single" w:color="auto" w:sz="4" w:space="0"/>
            </w:tcBorders>
            <w:noWrap w:val="0"/>
            <w:vAlign w:val="center"/>
          </w:tcPr>
          <w:p w14:paraId="4963F067">
            <w:pPr>
              <w:widowControl w:val="0"/>
              <w:wordWrap w:val="0"/>
              <w:topLinePunct/>
              <w:jc w:val="center"/>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技术指标要求</w:t>
            </w:r>
          </w:p>
          <w:p w14:paraId="43646654">
            <w:pPr>
              <w:widowControl w:val="0"/>
              <w:wordWrap w:val="0"/>
              <w:topLinePunct/>
              <w:jc w:val="center"/>
              <w:rPr>
                <w:rFonts w:ascii="仿宋" w:hAnsi="仿宋" w:eastAsia="仿宋"/>
                <w:b/>
                <w:sz w:val="28"/>
                <w:szCs w:val="28"/>
              </w:rPr>
            </w:pPr>
            <w:r>
              <w:rPr>
                <w:rFonts w:hint="eastAsia" w:ascii="仿宋_GB2312" w:hAnsi="仿宋_GB2312" w:eastAsia="仿宋_GB2312" w:cs="仿宋_GB2312"/>
                <w:b/>
                <w:bCs/>
                <w:color w:val="auto"/>
                <w:sz w:val="28"/>
                <w:szCs w:val="28"/>
                <w:lang w:val="en-US" w:eastAsia="zh-CN"/>
              </w:rPr>
              <w:t>（30分）</w:t>
            </w:r>
          </w:p>
        </w:tc>
        <w:tc>
          <w:tcPr>
            <w:tcW w:w="5807" w:type="dxa"/>
            <w:tcBorders>
              <w:top w:val="single" w:color="auto" w:sz="4" w:space="0"/>
              <w:left w:val="nil"/>
              <w:bottom w:val="single" w:color="auto" w:sz="4" w:space="0"/>
              <w:right w:val="single" w:color="auto" w:sz="4" w:space="0"/>
            </w:tcBorders>
            <w:noWrap w:val="0"/>
            <w:vAlign w:val="center"/>
          </w:tcPr>
          <w:p w14:paraId="0F64EB6B">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根据</w:t>
            </w:r>
            <w:r>
              <w:rPr>
                <w:rFonts w:hint="eastAsia" w:ascii="仿宋_GB2312" w:hAnsi="仿宋_GB2312" w:eastAsia="仿宋_GB2312" w:cs="仿宋_GB2312"/>
                <w:color w:val="auto"/>
                <w:sz w:val="28"/>
                <w:szCs w:val="28"/>
                <w:highlight w:val="none"/>
              </w:rPr>
              <w:t>磋商文件</w:t>
            </w:r>
            <w:r>
              <w:rPr>
                <w:rFonts w:hint="eastAsia" w:ascii="仿宋_GB2312" w:hAnsi="仿宋_GB2312" w:eastAsia="仿宋_GB2312" w:cs="仿宋_GB2312"/>
                <w:color w:val="auto"/>
                <w:sz w:val="28"/>
                <w:szCs w:val="28"/>
                <w:highlight w:val="none"/>
                <w:lang w:val="en-US" w:eastAsia="zh-CN"/>
              </w:rPr>
              <w:t>文件要求的产品技术参数及要求：</w:t>
            </w:r>
          </w:p>
          <w:p w14:paraId="13DD92F2">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zh-TW" w:eastAsia="zh-TW"/>
              </w:rPr>
              <w:t>技术参数及功能要求</w:t>
            </w:r>
            <w:r>
              <w:rPr>
                <w:rFonts w:hint="eastAsia" w:ascii="仿宋_GB2312" w:hAnsi="仿宋_GB2312" w:eastAsia="仿宋_GB2312" w:cs="仿宋_GB2312"/>
                <w:color w:val="auto"/>
                <w:sz w:val="28"/>
                <w:szCs w:val="28"/>
                <w:highlight w:val="none"/>
                <w:lang w:val="en-US" w:eastAsia="zh-CN"/>
              </w:rPr>
              <w:t>，</w:t>
            </w:r>
            <w:r>
              <w:rPr>
                <w:rFonts w:hint="eastAsia" w:ascii="仿宋_GB2312" w:hAnsi="仿宋_GB2312" w:eastAsia="仿宋_GB2312" w:cs="仿宋_GB2312"/>
                <w:color w:val="auto"/>
                <w:sz w:val="28"/>
                <w:szCs w:val="28"/>
                <w:highlight w:val="none"/>
                <w:lang w:val="zh-TW" w:eastAsia="zh-CN"/>
              </w:rPr>
              <w:t>一共</w:t>
            </w:r>
            <w:r>
              <w:rPr>
                <w:rFonts w:hint="eastAsia" w:ascii="仿宋_GB2312" w:hAnsi="仿宋_GB2312" w:eastAsia="仿宋_GB2312" w:cs="仿宋_GB2312"/>
                <w:color w:val="auto"/>
                <w:sz w:val="28"/>
                <w:szCs w:val="28"/>
                <w:highlight w:val="none"/>
                <w:lang w:val="en-US" w:eastAsia="zh-CN"/>
              </w:rPr>
              <w:t>150项，</w:t>
            </w:r>
            <w:r>
              <w:rPr>
                <w:rFonts w:hint="eastAsia" w:ascii="仿宋_GB2312" w:hAnsi="仿宋_GB2312" w:eastAsia="仿宋_GB2312" w:cs="仿宋_GB2312"/>
                <w:color w:val="auto"/>
                <w:sz w:val="28"/>
                <w:szCs w:val="28"/>
                <w:highlight w:val="none"/>
                <w:lang w:val="zh-TW" w:eastAsia="zh-TW"/>
              </w:rPr>
              <w:t>每有</w:t>
            </w:r>
            <w:r>
              <w:rPr>
                <w:rFonts w:hint="eastAsia" w:ascii="仿宋_GB2312" w:hAnsi="仿宋_GB2312" w:eastAsia="仿宋_GB2312" w:cs="仿宋_GB2312"/>
                <w:color w:val="auto"/>
                <w:sz w:val="28"/>
                <w:szCs w:val="28"/>
                <w:highlight w:val="none"/>
                <w:lang w:val="en-US" w:eastAsia="zh-CN"/>
              </w:rPr>
              <w:t>1</w:t>
            </w:r>
            <w:r>
              <w:rPr>
                <w:rFonts w:hint="eastAsia" w:ascii="仿宋_GB2312" w:hAnsi="仿宋_GB2312" w:eastAsia="仿宋_GB2312" w:cs="仿宋_GB2312"/>
                <w:color w:val="auto"/>
                <w:sz w:val="28"/>
                <w:szCs w:val="28"/>
                <w:highlight w:val="none"/>
                <w:lang w:val="zh-TW" w:eastAsia="zh-TW"/>
              </w:rPr>
              <w:t>条不满足扣</w:t>
            </w:r>
            <w:r>
              <w:rPr>
                <w:rFonts w:hint="eastAsia" w:ascii="仿宋_GB2312" w:hAnsi="仿宋_GB2312" w:eastAsia="仿宋_GB2312" w:cs="仿宋_GB2312"/>
                <w:color w:val="auto"/>
                <w:sz w:val="28"/>
                <w:szCs w:val="28"/>
                <w:highlight w:val="none"/>
                <w:lang w:val="en-US" w:eastAsia="zh-CN"/>
              </w:rPr>
              <w:t>0.2</w:t>
            </w:r>
            <w:r>
              <w:rPr>
                <w:rFonts w:hint="eastAsia" w:ascii="仿宋_GB2312" w:hAnsi="仿宋_GB2312" w:eastAsia="仿宋_GB2312" w:cs="仿宋_GB2312"/>
                <w:color w:val="auto"/>
                <w:sz w:val="28"/>
                <w:szCs w:val="28"/>
                <w:highlight w:val="none"/>
                <w:lang w:val="zh-TW" w:eastAsia="zh-TW"/>
              </w:rPr>
              <w:t>分</w:t>
            </w:r>
            <w:r>
              <w:rPr>
                <w:rFonts w:hint="eastAsia" w:ascii="仿宋_GB2312" w:hAnsi="仿宋_GB2312" w:eastAsia="仿宋_GB2312" w:cs="仿宋_GB2312"/>
                <w:color w:val="auto"/>
                <w:sz w:val="28"/>
                <w:szCs w:val="28"/>
                <w:highlight w:val="none"/>
                <w:lang w:val="zh-TW" w:eastAsia="zh-CN"/>
              </w:rPr>
              <w:t>，共</w:t>
            </w:r>
            <w:r>
              <w:rPr>
                <w:rFonts w:hint="eastAsia" w:ascii="仿宋_GB2312" w:hAnsi="仿宋_GB2312" w:eastAsia="仿宋_GB2312" w:cs="仿宋_GB2312"/>
                <w:color w:val="auto"/>
                <w:sz w:val="28"/>
                <w:szCs w:val="28"/>
                <w:highlight w:val="none"/>
                <w:lang w:val="en-US" w:eastAsia="zh-CN"/>
              </w:rPr>
              <w:t>30分</w:t>
            </w:r>
            <w:r>
              <w:rPr>
                <w:rFonts w:hint="eastAsia" w:ascii="仿宋_GB2312" w:hAnsi="仿宋_GB2312" w:eastAsia="仿宋_GB2312" w:cs="仿宋_GB2312"/>
                <w:color w:val="auto"/>
                <w:sz w:val="28"/>
                <w:szCs w:val="28"/>
                <w:highlight w:val="none"/>
                <w:lang w:val="zh-TW" w:eastAsia="zh-TW"/>
              </w:rPr>
              <w:t>。</w:t>
            </w:r>
          </w:p>
          <w:p w14:paraId="37F63784">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备注：1.以最小数字项为一项</w:t>
            </w:r>
          </w:p>
          <w:p w14:paraId="6BDB5BD1">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2.磋商小组根据磋商响应文件和要求提供的相关证明材料对磋商文件的响应情况，对照判断所响应产品是否满足磋商文件的要求，供应商可提供技术参数满足或优于磋商文件要求的产品。若未要求提供证明文件的以技术规格偏离表中响应情况为准。</w:t>
            </w:r>
          </w:p>
        </w:tc>
        <w:tc>
          <w:tcPr>
            <w:tcW w:w="896" w:type="dxa"/>
            <w:tcBorders>
              <w:top w:val="single" w:color="auto" w:sz="4" w:space="0"/>
              <w:left w:val="nil"/>
              <w:bottom w:val="single" w:color="auto" w:sz="4" w:space="0"/>
              <w:right w:val="single" w:color="auto" w:sz="4" w:space="0"/>
            </w:tcBorders>
            <w:noWrap w:val="0"/>
            <w:vAlign w:val="center"/>
          </w:tcPr>
          <w:p w14:paraId="12056910">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36分</w:t>
            </w:r>
          </w:p>
        </w:tc>
      </w:tr>
      <w:tr w14:paraId="2EBD8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1349" w:type="dxa"/>
            <w:vMerge w:val="continue"/>
            <w:tcBorders>
              <w:left w:val="single" w:color="auto" w:sz="4" w:space="0"/>
              <w:right w:val="single" w:color="auto" w:sz="4" w:space="0"/>
            </w:tcBorders>
            <w:noWrap w:val="0"/>
            <w:vAlign w:val="center"/>
          </w:tcPr>
          <w:p w14:paraId="3DF1B8A1">
            <w:pPr>
              <w:widowControl w:val="0"/>
              <w:wordWrap w:val="0"/>
              <w:topLinePunct/>
              <w:jc w:val="center"/>
              <w:rPr>
                <w:rFonts w:hint="eastAsia" w:ascii="仿宋" w:hAnsi="仿宋" w:eastAsia="仿宋"/>
                <w:b/>
                <w:sz w:val="28"/>
                <w:szCs w:val="28"/>
                <w:lang w:val="en-US" w:eastAsia="zh-CN"/>
              </w:rPr>
            </w:pPr>
          </w:p>
        </w:tc>
        <w:tc>
          <w:tcPr>
            <w:tcW w:w="1572" w:type="dxa"/>
            <w:tcBorders>
              <w:top w:val="single" w:color="auto" w:sz="4" w:space="0"/>
              <w:left w:val="nil"/>
              <w:bottom w:val="single" w:color="auto" w:sz="4" w:space="0"/>
              <w:right w:val="single" w:color="auto" w:sz="4" w:space="0"/>
            </w:tcBorders>
            <w:noWrap w:val="0"/>
            <w:vAlign w:val="center"/>
          </w:tcPr>
          <w:p w14:paraId="37CD03EA">
            <w:pPr>
              <w:widowControl w:val="0"/>
              <w:wordWrap w:val="0"/>
              <w:topLinePunct/>
              <w:jc w:val="center"/>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供货方案</w:t>
            </w:r>
          </w:p>
          <w:p w14:paraId="13714AAA">
            <w:pPr>
              <w:widowControl w:val="0"/>
              <w:wordWrap w:val="0"/>
              <w:topLinePunct/>
              <w:jc w:val="center"/>
              <w:rPr>
                <w:rFonts w:ascii="仿宋" w:hAnsi="仿宋" w:eastAsia="仿宋"/>
                <w:b/>
                <w:sz w:val="28"/>
                <w:szCs w:val="28"/>
              </w:rPr>
            </w:pPr>
            <w:r>
              <w:rPr>
                <w:rFonts w:hint="eastAsia" w:ascii="仿宋_GB2312" w:hAnsi="仿宋_GB2312" w:eastAsia="仿宋_GB2312" w:cs="仿宋_GB2312"/>
                <w:b/>
                <w:bCs/>
                <w:color w:val="auto"/>
                <w:sz w:val="28"/>
                <w:szCs w:val="28"/>
                <w:lang w:val="en-US" w:eastAsia="zh-CN"/>
              </w:rPr>
              <w:t>（8分）</w:t>
            </w:r>
          </w:p>
        </w:tc>
        <w:tc>
          <w:tcPr>
            <w:tcW w:w="5807" w:type="dxa"/>
            <w:tcBorders>
              <w:top w:val="single" w:color="auto" w:sz="4" w:space="0"/>
              <w:left w:val="nil"/>
              <w:bottom w:val="single" w:color="auto" w:sz="4" w:space="0"/>
              <w:right w:val="single" w:color="auto" w:sz="4" w:space="0"/>
            </w:tcBorders>
            <w:noWrap w:val="0"/>
            <w:vAlign w:val="center"/>
          </w:tcPr>
          <w:p w14:paraId="71870E34">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供应商针对本项目制定供货方案，包含但不限于①产品采购及包装②产品运输及装卸③产品到货验收④产品安装调试。</w:t>
            </w:r>
          </w:p>
          <w:p w14:paraId="734F74A9">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供应商对每项内容论述详细,完全贴合项目采购需求的得8分;供应商对每项内容虽阐述但未贴合采购需求进行论述,或内容未包括具体细节的得5分;供应商提供的内容不完整存在明显缺陷的得2分;未提供相关内容的得0分。</w:t>
            </w:r>
          </w:p>
        </w:tc>
        <w:tc>
          <w:tcPr>
            <w:tcW w:w="896" w:type="dxa"/>
            <w:tcBorders>
              <w:top w:val="single" w:color="auto" w:sz="4" w:space="0"/>
              <w:left w:val="nil"/>
              <w:bottom w:val="single" w:color="auto" w:sz="4" w:space="0"/>
              <w:right w:val="single" w:color="auto" w:sz="4" w:space="0"/>
            </w:tcBorders>
            <w:noWrap w:val="0"/>
            <w:vAlign w:val="center"/>
          </w:tcPr>
          <w:p w14:paraId="738EE60A">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8分</w:t>
            </w:r>
          </w:p>
        </w:tc>
      </w:tr>
      <w:tr w14:paraId="0960D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1349" w:type="dxa"/>
            <w:vMerge w:val="continue"/>
            <w:tcBorders>
              <w:left w:val="single" w:color="auto" w:sz="4" w:space="0"/>
              <w:right w:val="single" w:color="auto" w:sz="4" w:space="0"/>
            </w:tcBorders>
            <w:noWrap w:val="0"/>
            <w:vAlign w:val="center"/>
          </w:tcPr>
          <w:p w14:paraId="18A45A90">
            <w:pPr>
              <w:widowControl w:val="0"/>
              <w:wordWrap w:val="0"/>
              <w:topLinePunct/>
              <w:jc w:val="center"/>
              <w:rPr>
                <w:rFonts w:hint="eastAsia" w:ascii="仿宋" w:hAnsi="仿宋" w:eastAsia="仿宋"/>
                <w:b/>
                <w:sz w:val="28"/>
                <w:szCs w:val="28"/>
                <w:lang w:val="en-US" w:eastAsia="zh-CN"/>
              </w:rPr>
            </w:pPr>
          </w:p>
        </w:tc>
        <w:tc>
          <w:tcPr>
            <w:tcW w:w="1572" w:type="dxa"/>
            <w:tcBorders>
              <w:top w:val="single" w:color="auto" w:sz="4" w:space="0"/>
              <w:left w:val="nil"/>
              <w:bottom w:val="single" w:color="auto" w:sz="4" w:space="0"/>
              <w:right w:val="single" w:color="auto" w:sz="4" w:space="0"/>
            </w:tcBorders>
            <w:noWrap w:val="0"/>
            <w:vAlign w:val="center"/>
          </w:tcPr>
          <w:p w14:paraId="695B9303">
            <w:pPr>
              <w:widowControl w:val="0"/>
              <w:wordWrap w:val="0"/>
              <w:topLinePunct/>
              <w:jc w:val="center"/>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质量管理方案</w:t>
            </w:r>
          </w:p>
          <w:p w14:paraId="7F8AE45D">
            <w:pPr>
              <w:widowControl w:val="0"/>
              <w:wordWrap w:val="0"/>
              <w:topLinePunct/>
              <w:jc w:val="center"/>
              <w:rPr>
                <w:rFonts w:ascii="仿宋" w:hAnsi="仿宋" w:eastAsia="仿宋"/>
                <w:b/>
                <w:sz w:val="28"/>
                <w:szCs w:val="28"/>
              </w:rPr>
            </w:pPr>
            <w:r>
              <w:rPr>
                <w:rFonts w:hint="eastAsia" w:ascii="仿宋" w:hAnsi="仿宋" w:eastAsia="仿宋"/>
                <w:b/>
                <w:bCs/>
                <w:sz w:val="28"/>
                <w:szCs w:val="28"/>
                <w:lang w:val="en-US" w:eastAsia="zh-CN"/>
              </w:rPr>
              <w:t>（9分）</w:t>
            </w:r>
          </w:p>
        </w:tc>
        <w:tc>
          <w:tcPr>
            <w:tcW w:w="5807" w:type="dxa"/>
            <w:tcBorders>
              <w:top w:val="single" w:color="auto" w:sz="4" w:space="0"/>
              <w:left w:val="nil"/>
              <w:bottom w:val="single" w:color="auto" w:sz="4" w:space="0"/>
              <w:right w:val="single" w:color="auto" w:sz="4" w:space="0"/>
            </w:tcBorders>
            <w:noWrap w:val="0"/>
            <w:vAlign w:val="center"/>
          </w:tcPr>
          <w:p w14:paraId="206AD5B8">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供应商针对本项目制定质量管理方案，包含但不限于①原材料及工艺质量控制②成品质量控制③质量检验制度。</w:t>
            </w:r>
          </w:p>
          <w:p w14:paraId="05E92467">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供应商对每项内容论述详细,完全贴合项目采购需求的得9分;供应商对每项内容虽阐述但未贴合采购需求进行论述,或内容未包括具体细节的得6分;供应商提供的内容不完整存在明显缺陷的得3分;未提供相关内容的得0分。</w:t>
            </w:r>
          </w:p>
        </w:tc>
        <w:tc>
          <w:tcPr>
            <w:tcW w:w="896" w:type="dxa"/>
            <w:tcBorders>
              <w:top w:val="single" w:color="auto" w:sz="4" w:space="0"/>
              <w:left w:val="nil"/>
              <w:bottom w:val="single" w:color="auto" w:sz="4" w:space="0"/>
              <w:right w:val="single" w:color="auto" w:sz="4" w:space="0"/>
            </w:tcBorders>
            <w:noWrap w:val="0"/>
            <w:vAlign w:val="center"/>
          </w:tcPr>
          <w:p w14:paraId="057F7617">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9分</w:t>
            </w:r>
          </w:p>
        </w:tc>
      </w:tr>
      <w:tr w14:paraId="33AC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1349" w:type="dxa"/>
            <w:vMerge w:val="continue"/>
            <w:tcBorders>
              <w:left w:val="single" w:color="auto" w:sz="4" w:space="0"/>
              <w:bottom w:val="single" w:color="auto" w:sz="4" w:space="0"/>
              <w:right w:val="single" w:color="auto" w:sz="4" w:space="0"/>
            </w:tcBorders>
            <w:noWrap w:val="0"/>
            <w:vAlign w:val="center"/>
          </w:tcPr>
          <w:p w14:paraId="64149272">
            <w:pPr>
              <w:widowControl w:val="0"/>
              <w:wordWrap w:val="0"/>
              <w:topLinePunct/>
              <w:jc w:val="center"/>
              <w:rPr>
                <w:rFonts w:hint="eastAsia" w:ascii="仿宋" w:hAnsi="仿宋" w:eastAsia="仿宋"/>
                <w:b/>
                <w:sz w:val="28"/>
                <w:szCs w:val="28"/>
                <w:lang w:val="en-US" w:eastAsia="zh-CN"/>
              </w:rPr>
            </w:pPr>
          </w:p>
        </w:tc>
        <w:tc>
          <w:tcPr>
            <w:tcW w:w="1572" w:type="dxa"/>
            <w:tcBorders>
              <w:top w:val="single" w:color="auto" w:sz="4" w:space="0"/>
              <w:left w:val="nil"/>
              <w:bottom w:val="single" w:color="auto" w:sz="4" w:space="0"/>
              <w:right w:val="single" w:color="auto" w:sz="4" w:space="0"/>
            </w:tcBorders>
            <w:noWrap w:val="0"/>
            <w:vAlign w:val="center"/>
          </w:tcPr>
          <w:p w14:paraId="5D98FD7E">
            <w:pPr>
              <w:widowControl w:val="0"/>
              <w:wordWrap w:val="0"/>
              <w:topLinePunct/>
              <w:jc w:val="center"/>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进度保障措施</w:t>
            </w:r>
          </w:p>
          <w:p w14:paraId="5CB4EDA0">
            <w:pPr>
              <w:widowControl w:val="0"/>
              <w:wordWrap w:val="0"/>
              <w:topLinePunct/>
              <w:jc w:val="center"/>
              <w:rPr>
                <w:rFonts w:ascii="仿宋" w:hAnsi="仿宋" w:eastAsia="仿宋"/>
                <w:b/>
                <w:sz w:val="28"/>
                <w:szCs w:val="28"/>
              </w:rPr>
            </w:pPr>
            <w:r>
              <w:rPr>
                <w:rFonts w:hint="eastAsia" w:ascii="仿宋" w:hAnsi="仿宋" w:eastAsia="仿宋"/>
                <w:b/>
                <w:bCs/>
                <w:sz w:val="28"/>
                <w:szCs w:val="28"/>
                <w:lang w:val="en-US" w:eastAsia="zh-CN"/>
              </w:rPr>
              <w:t>（5分）</w:t>
            </w:r>
          </w:p>
        </w:tc>
        <w:tc>
          <w:tcPr>
            <w:tcW w:w="5807" w:type="dxa"/>
            <w:tcBorders>
              <w:top w:val="single" w:color="auto" w:sz="4" w:space="0"/>
              <w:left w:val="nil"/>
              <w:bottom w:val="single" w:color="auto" w:sz="4" w:space="0"/>
              <w:right w:val="single" w:color="auto" w:sz="4" w:space="0"/>
            </w:tcBorders>
            <w:noWrap w:val="0"/>
            <w:vAlign w:val="center"/>
          </w:tcPr>
          <w:p w14:paraId="4A303303">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供应商针对本项目制定进度保障措施，包含但不限于①供货进度保障②安装进度保障。</w:t>
            </w:r>
          </w:p>
          <w:p w14:paraId="28B27C44">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供应商对每项内容论述详细,完全贴合项目采购需求的得5分;供应商对每项内容虽阐述但未贴合采购需求进行论述,或内容未包括具体细节的得3分;供应商提供的内容不完整存在明显缺陷的得1分;未提供相关内容的得0分。</w:t>
            </w:r>
          </w:p>
        </w:tc>
        <w:tc>
          <w:tcPr>
            <w:tcW w:w="896" w:type="dxa"/>
            <w:tcBorders>
              <w:top w:val="single" w:color="auto" w:sz="4" w:space="0"/>
              <w:left w:val="nil"/>
              <w:bottom w:val="single" w:color="auto" w:sz="4" w:space="0"/>
              <w:right w:val="single" w:color="auto" w:sz="4" w:space="0"/>
            </w:tcBorders>
            <w:noWrap w:val="0"/>
            <w:vAlign w:val="center"/>
          </w:tcPr>
          <w:p w14:paraId="51AE13C8">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5分</w:t>
            </w:r>
          </w:p>
        </w:tc>
      </w:tr>
      <w:tr w14:paraId="23928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1349" w:type="dxa"/>
            <w:vMerge w:val="restart"/>
            <w:tcBorders>
              <w:top w:val="single" w:color="auto" w:sz="4" w:space="0"/>
              <w:left w:val="single" w:color="auto" w:sz="4" w:space="0"/>
              <w:right w:val="single" w:color="auto" w:sz="4" w:space="0"/>
            </w:tcBorders>
            <w:noWrap w:val="0"/>
            <w:vAlign w:val="center"/>
          </w:tcPr>
          <w:p w14:paraId="1E77A83F">
            <w:pPr>
              <w:widowControl w:val="0"/>
              <w:wordWrap w:val="0"/>
              <w:topLinePunct/>
              <w:jc w:val="center"/>
              <w:rPr>
                <w:rFonts w:hint="eastAsia" w:ascii="仿宋" w:hAnsi="仿宋" w:eastAsia="仿宋"/>
                <w:b/>
                <w:sz w:val="28"/>
                <w:szCs w:val="28"/>
                <w:lang w:val="en-US" w:eastAsia="zh-CN"/>
              </w:rPr>
            </w:pPr>
            <w:r>
              <w:rPr>
                <w:rFonts w:hint="eastAsia" w:ascii="仿宋" w:hAnsi="仿宋" w:eastAsia="仿宋"/>
                <w:b/>
                <w:sz w:val="28"/>
                <w:szCs w:val="28"/>
                <w:lang w:val="en-US" w:eastAsia="zh-CN"/>
              </w:rPr>
              <w:t>综合部分（22分）</w:t>
            </w:r>
          </w:p>
        </w:tc>
        <w:tc>
          <w:tcPr>
            <w:tcW w:w="1572" w:type="dxa"/>
            <w:tcBorders>
              <w:top w:val="single" w:color="auto" w:sz="4" w:space="0"/>
              <w:left w:val="nil"/>
              <w:bottom w:val="single" w:color="auto" w:sz="4" w:space="0"/>
              <w:right w:val="single" w:color="auto" w:sz="4" w:space="0"/>
            </w:tcBorders>
            <w:noWrap w:val="0"/>
            <w:vAlign w:val="center"/>
          </w:tcPr>
          <w:p w14:paraId="45A85199">
            <w:pPr>
              <w:widowControl w:val="0"/>
              <w:wordWrap w:val="0"/>
              <w:topLinePunct/>
              <w:jc w:val="center"/>
              <w:rPr>
                <w:rFonts w:hint="eastAsia" w:ascii="仿宋" w:hAnsi="仿宋" w:eastAsia="仿宋"/>
                <w:b/>
                <w:bCs/>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环保</w:t>
            </w:r>
            <w:r>
              <w:rPr>
                <w:rFonts w:hint="default" w:ascii="仿宋" w:hAnsi="仿宋" w:eastAsia="仿宋"/>
                <w:b/>
                <w:bCs/>
                <w:sz w:val="28"/>
                <w:szCs w:val="28"/>
                <w:highlight w:val="none"/>
                <w:lang w:val="en-US" w:eastAsia="zh-CN"/>
              </w:rPr>
              <w:t>产品</w:t>
            </w:r>
            <w:r>
              <w:rPr>
                <w:rFonts w:hint="eastAsia" w:ascii="仿宋" w:hAnsi="仿宋" w:eastAsia="仿宋"/>
                <w:b/>
                <w:bCs/>
                <w:sz w:val="28"/>
                <w:szCs w:val="28"/>
                <w:highlight w:val="none"/>
                <w:lang w:val="en-US" w:eastAsia="zh-CN"/>
              </w:rPr>
              <w:t>（4分）</w:t>
            </w:r>
          </w:p>
        </w:tc>
        <w:tc>
          <w:tcPr>
            <w:tcW w:w="5807" w:type="dxa"/>
            <w:tcBorders>
              <w:top w:val="single" w:color="auto" w:sz="4" w:space="0"/>
              <w:left w:val="nil"/>
              <w:bottom w:val="single" w:color="auto" w:sz="4" w:space="0"/>
              <w:right w:val="single" w:color="auto" w:sz="4" w:space="0"/>
            </w:tcBorders>
            <w:noWrap w:val="0"/>
            <w:vAlign w:val="center"/>
          </w:tcPr>
          <w:p w14:paraId="698AE641">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响应产品具有环保产品认证的每有一项得1分，满分4分。（注：响应文件中附该产品经国家确定的认证机构出具的、处于有效期之内的环保产品认证证书的扫描件或相关证明的扫描件，否则不得分。）</w:t>
            </w:r>
          </w:p>
        </w:tc>
        <w:tc>
          <w:tcPr>
            <w:tcW w:w="896" w:type="dxa"/>
            <w:tcBorders>
              <w:top w:val="single" w:color="auto" w:sz="4" w:space="0"/>
              <w:left w:val="nil"/>
              <w:bottom w:val="single" w:color="auto" w:sz="4" w:space="0"/>
              <w:right w:val="single" w:color="auto" w:sz="4" w:space="0"/>
            </w:tcBorders>
            <w:noWrap w:val="0"/>
            <w:vAlign w:val="center"/>
          </w:tcPr>
          <w:p w14:paraId="2DA0B15B">
            <w:pPr>
              <w:widowControl w:val="0"/>
              <w:wordWrap w:val="0"/>
              <w:topLinePunct/>
              <w:jc w:val="center"/>
              <w:rPr>
                <w:rFonts w:hint="default" w:ascii="仿宋" w:hAnsi="仿宋" w:eastAsia="仿宋"/>
                <w:b/>
                <w:sz w:val="28"/>
                <w:szCs w:val="28"/>
                <w:highlight w:val="none"/>
                <w:lang w:val="en-US" w:eastAsia="zh-CN"/>
              </w:rPr>
            </w:pPr>
            <w:r>
              <w:rPr>
                <w:rFonts w:hint="eastAsia" w:ascii="仿宋" w:hAnsi="仿宋" w:eastAsia="仿宋"/>
                <w:b/>
                <w:bCs/>
                <w:sz w:val="28"/>
                <w:szCs w:val="28"/>
                <w:highlight w:val="none"/>
                <w:lang w:val="en-US" w:eastAsia="zh-CN"/>
              </w:rPr>
              <w:t>4</w:t>
            </w:r>
            <w:r>
              <w:rPr>
                <w:rFonts w:hint="eastAsia" w:ascii="仿宋" w:hAnsi="仿宋" w:eastAsia="仿宋"/>
                <w:b/>
                <w:sz w:val="28"/>
                <w:szCs w:val="28"/>
                <w:highlight w:val="none"/>
                <w:lang w:val="en-US" w:eastAsia="zh-CN"/>
              </w:rPr>
              <w:t>分</w:t>
            </w:r>
          </w:p>
        </w:tc>
      </w:tr>
      <w:tr w14:paraId="40F50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1349" w:type="dxa"/>
            <w:vMerge w:val="continue"/>
            <w:tcBorders>
              <w:left w:val="single" w:color="auto" w:sz="4" w:space="0"/>
              <w:right w:val="single" w:color="auto" w:sz="4" w:space="0"/>
            </w:tcBorders>
            <w:noWrap w:val="0"/>
            <w:vAlign w:val="top"/>
          </w:tcPr>
          <w:p w14:paraId="5D5D67B8">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仿宋" w:hAnsi="仿宋" w:eastAsia="仿宋"/>
                <w:b/>
                <w:bCs/>
                <w:sz w:val="28"/>
                <w:szCs w:val="28"/>
                <w:lang w:eastAsia="zh-CN"/>
              </w:rPr>
            </w:pPr>
          </w:p>
        </w:tc>
        <w:tc>
          <w:tcPr>
            <w:tcW w:w="1572" w:type="dxa"/>
            <w:noWrap w:val="0"/>
            <w:vAlign w:val="center"/>
          </w:tcPr>
          <w:p w14:paraId="5EABA002">
            <w:pPr>
              <w:widowControl w:val="0"/>
              <w:wordWrap w:val="0"/>
              <w:topLinePunct/>
              <w:jc w:val="center"/>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企业业绩</w:t>
            </w:r>
          </w:p>
          <w:p w14:paraId="7B3C7C19">
            <w:pPr>
              <w:widowControl w:val="0"/>
              <w:wordWrap w:val="0"/>
              <w:topLinePunct/>
              <w:jc w:val="center"/>
              <w:rPr>
                <w:rFonts w:hint="eastAsia" w:ascii="仿宋" w:hAnsi="仿宋" w:eastAsia="仿宋"/>
                <w:b/>
                <w:bCs/>
                <w:sz w:val="28"/>
                <w:szCs w:val="28"/>
                <w:lang w:val="zh-TW" w:eastAsia="zh-TW"/>
              </w:rPr>
            </w:pPr>
            <w:r>
              <w:rPr>
                <w:rFonts w:hint="eastAsia" w:ascii="仿宋" w:hAnsi="仿宋" w:eastAsia="仿宋"/>
                <w:b/>
                <w:bCs/>
                <w:sz w:val="28"/>
                <w:szCs w:val="28"/>
                <w:lang w:val="en-US" w:eastAsia="zh-CN"/>
              </w:rPr>
              <w:t>（6分）</w:t>
            </w:r>
          </w:p>
        </w:tc>
        <w:tc>
          <w:tcPr>
            <w:tcW w:w="5807" w:type="dxa"/>
            <w:noWrap w:val="0"/>
            <w:vAlign w:val="top"/>
          </w:tcPr>
          <w:p w14:paraId="29379B5C">
            <w:pPr>
              <w:widowControl w:val="0"/>
              <w:wordWrap w:val="0"/>
              <w:topLinePunct/>
              <w:spacing w:line="560" w:lineRule="exact"/>
              <w:ind w:firstLine="560" w:firstLineChars="0"/>
              <w:jc w:val="left"/>
              <w:outlineLvl w:val="9"/>
              <w:rPr>
                <w:rFonts w:ascii="仿宋_GB2312" w:hAnsi="仿宋_GB2312" w:eastAsia="仿宋_GB2312" w:cs="仿宋_GB2312"/>
                <w:b w:val="0"/>
                <w:color w:val="auto"/>
                <w:sz w:val="28"/>
                <w:szCs w:val="28"/>
                <w:lang w:val="en-US" w:eastAsia="zh-CN"/>
              </w:rPr>
            </w:pPr>
            <w:r>
              <w:rPr>
                <w:rFonts w:hint="eastAsia" w:ascii="仿宋_GB2312" w:hAnsi="仿宋_GB2312" w:eastAsia="仿宋_GB2312" w:cs="仿宋_GB2312"/>
                <w:color w:val="auto"/>
                <w:sz w:val="28"/>
                <w:szCs w:val="28"/>
                <w:lang w:val="en-US" w:eastAsia="zh-CN"/>
              </w:rPr>
              <w:t>供应商具有2023年1月1日（以合同签订时间为准）以来类似业绩的，每提供一份的得2分，最多得6分。（注：投标文件中附合同扫描件，否则不得分。）</w:t>
            </w:r>
          </w:p>
        </w:tc>
        <w:tc>
          <w:tcPr>
            <w:tcW w:w="0" w:type="auto"/>
            <w:noWrap w:val="0"/>
            <w:vAlign w:val="center"/>
          </w:tcPr>
          <w:p w14:paraId="4D1021BE">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6分</w:t>
            </w:r>
          </w:p>
        </w:tc>
      </w:tr>
      <w:tr w14:paraId="6CBB2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1349" w:type="dxa"/>
            <w:vMerge w:val="continue"/>
            <w:tcBorders>
              <w:left w:val="single" w:color="auto" w:sz="4" w:space="0"/>
              <w:right w:val="single" w:color="auto" w:sz="4" w:space="0"/>
            </w:tcBorders>
            <w:noWrap w:val="0"/>
            <w:vAlign w:val="top"/>
          </w:tcPr>
          <w:p w14:paraId="6AC9770B">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仿宋" w:hAnsi="仿宋" w:eastAsia="仿宋"/>
                <w:b/>
                <w:bCs/>
                <w:sz w:val="28"/>
                <w:szCs w:val="28"/>
                <w:lang w:eastAsia="zh-CN"/>
              </w:rPr>
            </w:pPr>
          </w:p>
        </w:tc>
        <w:tc>
          <w:tcPr>
            <w:tcW w:w="1572" w:type="dxa"/>
            <w:noWrap w:val="0"/>
            <w:vAlign w:val="center"/>
          </w:tcPr>
          <w:p w14:paraId="487B5B56">
            <w:pPr>
              <w:widowControl w:val="0"/>
              <w:wordWrap w:val="0"/>
              <w:topLinePunct/>
              <w:jc w:val="center"/>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售后服务方案</w:t>
            </w:r>
          </w:p>
          <w:p w14:paraId="5B5315AC">
            <w:pPr>
              <w:widowControl w:val="0"/>
              <w:wordWrap w:val="0"/>
              <w:topLinePunct/>
              <w:jc w:val="center"/>
              <w:rPr>
                <w:rFonts w:hint="eastAsia" w:ascii="仿宋" w:hAnsi="仿宋" w:eastAsia="仿宋"/>
                <w:b/>
                <w:bCs/>
                <w:sz w:val="28"/>
                <w:szCs w:val="28"/>
                <w:lang w:val="zh-TW" w:eastAsia="zh-TW"/>
              </w:rPr>
            </w:pPr>
            <w:r>
              <w:rPr>
                <w:rFonts w:hint="eastAsia" w:ascii="仿宋" w:hAnsi="仿宋" w:eastAsia="仿宋"/>
                <w:b/>
                <w:bCs/>
                <w:sz w:val="28"/>
                <w:szCs w:val="28"/>
                <w:lang w:val="en-US" w:eastAsia="zh-CN"/>
              </w:rPr>
              <w:t>（9分）</w:t>
            </w:r>
          </w:p>
        </w:tc>
        <w:tc>
          <w:tcPr>
            <w:tcW w:w="5807" w:type="dxa"/>
            <w:noWrap w:val="0"/>
            <w:vAlign w:val="top"/>
          </w:tcPr>
          <w:p w14:paraId="70FB9C4E">
            <w:pPr>
              <w:widowControl w:val="0"/>
              <w:wordWrap w:val="0"/>
              <w:topLinePunct/>
              <w:spacing w:line="560" w:lineRule="exact"/>
              <w:ind w:firstLine="560" w:firstLineChars="0"/>
              <w:jc w:val="left"/>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供应商针对本项目提供售后服务方案，包含但不限于①售后服务响应及解决时限承诺②售后人员安排③质保期内所有备品备件免费供应。</w:t>
            </w:r>
          </w:p>
          <w:p w14:paraId="2DCBFFD5">
            <w:pPr>
              <w:widowControl w:val="0"/>
              <w:wordWrap w:val="0"/>
              <w:topLinePunct/>
              <w:spacing w:line="560" w:lineRule="exact"/>
              <w:ind w:firstLine="560" w:firstLineChars="0"/>
              <w:jc w:val="left"/>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highlight w:val="none"/>
                <w:lang w:val="en-US" w:eastAsia="zh-CN"/>
              </w:rPr>
              <w:t>供应商对每项内容论述详细,完全贴合项目采购需求的得9分;供应商对每项内容虽阐述但未贴合采购需求进行论述,或内容未包括具体细节的得5分;供应商提供的内容不完整存在明显缺陷的得1分;未提供相关内容的得0分。</w:t>
            </w:r>
          </w:p>
        </w:tc>
        <w:tc>
          <w:tcPr>
            <w:tcW w:w="0" w:type="auto"/>
            <w:noWrap w:val="0"/>
            <w:vAlign w:val="center"/>
          </w:tcPr>
          <w:p w14:paraId="2F82E112">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9分</w:t>
            </w:r>
          </w:p>
        </w:tc>
      </w:tr>
      <w:tr w14:paraId="26184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1349" w:type="dxa"/>
            <w:vMerge w:val="continue"/>
            <w:tcBorders>
              <w:left w:val="single" w:color="auto" w:sz="4" w:space="0"/>
              <w:right w:val="single" w:color="auto" w:sz="4" w:space="0"/>
            </w:tcBorders>
            <w:noWrap w:val="0"/>
            <w:vAlign w:val="top"/>
          </w:tcPr>
          <w:p w14:paraId="305C0CCF">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仿宋" w:hAnsi="仿宋" w:eastAsia="仿宋"/>
                <w:b/>
                <w:bCs/>
                <w:sz w:val="28"/>
                <w:szCs w:val="28"/>
                <w:lang w:eastAsia="zh-CN"/>
              </w:rPr>
            </w:pPr>
          </w:p>
        </w:tc>
        <w:tc>
          <w:tcPr>
            <w:tcW w:w="1572" w:type="dxa"/>
            <w:noWrap w:val="0"/>
            <w:vAlign w:val="center"/>
          </w:tcPr>
          <w:p w14:paraId="2C20E116">
            <w:pPr>
              <w:widowControl w:val="0"/>
              <w:wordWrap w:val="0"/>
              <w:topLinePunct/>
              <w:jc w:val="center"/>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质保期</w:t>
            </w:r>
          </w:p>
          <w:p w14:paraId="1B0424BB">
            <w:pPr>
              <w:widowControl w:val="0"/>
              <w:wordWrap w:val="0"/>
              <w:topLinePunct/>
              <w:jc w:val="center"/>
              <w:rPr>
                <w:rFonts w:hint="eastAsia" w:ascii="仿宋" w:hAnsi="仿宋" w:eastAsia="仿宋"/>
                <w:b/>
                <w:bCs/>
                <w:sz w:val="28"/>
                <w:szCs w:val="28"/>
                <w:lang w:val="zh-TW" w:eastAsia="zh-TW"/>
              </w:rPr>
            </w:pPr>
            <w:r>
              <w:rPr>
                <w:rFonts w:hint="eastAsia" w:ascii="仿宋" w:hAnsi="仿宋" w:eastAsia="仿宋"/>
                <w:b/>
                <w:bCs/>
                <w:sz w:val="28"/>
                <w:szCs w:val="28"/>
                <w:lang w:val="en-US" w:eastAsia="zh-CN"/>
              </w:rPr>
              <w:t>（3分）</w:t>
            </w:r>
          </w:p>
        </w:tc>
        <w:tc>
          <w:tcPr>
            <w:tcW w:w="5807" w:type="dxa"/>
            <w:noWrap w:val="0"/>
            <w:vAlign w:val="top"/>
          </w:tcPr>
          <w:p w14:paraId="761B9D41">
            <w:pPr>
              <w:widowControl w:val="0"/>
              <w:wordWrap w:val="0"/>
              <w:topLinePunct/>
              <w:spacing w:line="560" w:lineRule="exact"/>
              <w:ind w:firstLine="560"/>
              <w:jc w:val="left"/>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质保期限在有效年限的基础上每增加1年得1分，本项最高得3分。</w:t>
            </w:r>
          </w:p>
          <w:p w14:paraId="7D812C48">
            <w:pPr>
              <w:widowControl w:val="0"/>
              <w:wordWrap w:val="0"/>
              <w:topLinePunct/>
              <w:spacing w:line="560" w:lineRule="exact"/>
              <w:ind w:firstLine="560"/>
              <w:jc w:val="left"/>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需提供相应承诺书，未提供不得分。</w:t>
            </w:r>
          </w:p>
        </w:tc>
        <w:tc>
          <w:tcPr>
            <w:tcW w:w="0" w:type="auto"/>
            <w:noWrap w:val="0"/>
            <w:vAlign w:val="center"/>
          </w:tcPr>
          <w:p w14:paraId="2D279333">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3分</w:t>
            </w:r>
          </w:p>
        </w:tc>
      </w:tr>
      <w:tr w14:paraId="233CE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624" w:type="dxa"/>
            <w:gridSpan w:val="4"/>
            <w:tcBorders>
              <w:left w:val="single" w:color="auto" w:sz="4" w:space="0"/>
            </w:tcBorders>
            <w:noWrap w:val="0"/>
            <w:vAlign w:val="top"/>
          </w:tcPr>
          <w:p w14:paraId="207152AE">
            <w:pPr>
              <w:widowControl w:val="0"/>
              <w:pBdr>
                <w:top w:val="none" w:color="auto" w:sz="0" w:space="0"/>
                <w:left w:val="none" w:color="auto" w:sz="0" w:space="0"/>
                <w:bottom w:val="none" w:color="auto" w:sz="0" w:space="0"/>
                <w:right w:val="none" w:color="auto" w:sz="0" w:space="0"/>
                <w:between w:val="none" w:color="auto" w:sz="0" w:space="0"/>
              </w:pBdr>
              <w:spacing w:before="120" w:line="360" w:lineRule="auto"/>
              <w:jc w:val="both"/>
              <w:rPr>
                <w:rFonts w:hint="eastAsia" w:ascii="仿宋" w:hAnsi="仿宋" w:eastAsia="仿宋" w:cs="仿宋"/>
                <w:b/>
                <w:bCs/>
                <w:strike/>
                <w:dstrike w:val="0"/>
                <w:kern w:val="0"/>
                <w:sz w:val="28"/>
                <w:szCs w:val="28"/>
                <w:highlight w:val="yellow"/>
                <w:lang w:eastAsia="zh-CN"/>
              </w:rPr>
            </w:pPr>
            <w:r>
              <w:rPr>
                <w:rFonts w:hint="eastAsia" w:ascii="仿宋_GB2312" w:hAnsi="仿宋_GB2312" w:eastAsia="仿宋_GB2312" w:cs="仿宋_GB2312"/>
                <w:color w:val="auto"/>
                <w:kern w:val="2"/>
                <w:sz w:val="28"/>
                <w:szCs w:val="28"/>
                <w:highlight w:val="none"/>
                <w:lang w:val="zh-TW" w:eastAsia="zh-CN" w:bidi="ar-SA"/>
              </w:rPr>
              <w:t>注：供应商提供的文件、资料须真实、有效，如有虚假自行承担全部法律责任。</w:t>
            </w:r>
          </w:p>
        </w:tc>
      </w:tr>
    </w:tbl>
    <w:p w14:paraId="23B97806">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变更为</w:t>
      </w:r>
    </w:p>
    <w:p w14:paraId="4BECAC4F">
      <w:pPr>
        <w:keepNext w:val="0"/>
        <w:keepLines w:val="0"/>
        <w:pageBreakBefore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32"/>
          <w:szCs w:val="32"/>
          <w:highlight w:val="none"/>
          <w:lang w:val="zh-TW" w:eastAsia="zh-CN"/>
        </w:rPr>
        <w:t>第六章 “磋商方法和标准”</w:t>
      </w:r>
      <w:r>
        <w:rPr>
          <w:rFonts w:hint="eastAsia" w:ascii="仿宋_GB2312" w:hAnsi="仿宋_GB2312" w:eastAsia="仿宋_GB2312" w:cs="仿宋_GB2312"/>
          <w:b w:val="0"/>
          <w:bCs w:val="0"/>
          <w:color w:val="auto"/>
          <w:sz w:val="32"/>
          <w:szCs w:val="32"/>
          <w:highlight w:val="none"/>
          <w:lang w:val="en-US" w:eastAsia="zh-CN"/>
        </w:rPr>
        <w:t>-“二、 评标标准（满分100分）”</w:t>
      </w:r>
    </w:p>
    <w:tbl>
      <w:tblPr>
        <w:tblStyle w:val="5"/>
        <w:tblW w:w="96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9"/>
        <w:gridCol w:w="1572"/>
        <w:gridCol w:w="5807"/>
        <w:gridCol w:w="896"/>
      </w:tblGrid>
      <w:tr w14:paraId="0BBA7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1349" w:type="dxa"/>
            <w:tcBorders>
              <w:top w:val="single" w:color="auto" w:sz="4" w:space="0"/>
              <w:left w:val="single" w:color="auto" w:sz="4" w:space="0"/>
              <w:bottom w:val="single" w:color="auto" w:sz="4" w:space="0"/>
              <w:right w:val="single" w:color="auto" w:sz="4" w:space="0"/>
            </w:tcBorders>
            <w:noWrap w:val="0"/>
            <w:vAlign w:val="center"/>
          </w:tcPr>
          <w:p w14:paraId="6A932250">
            <w:pPr>
              <w:widowControl w:val="0"/>
              <w:wordWrap w:val="0"/>
              <w:topLinePunct/>
              <w:jc w:val="center"/>
              <w:rPr>
                <w:rFonts w:ascii="Times New Roman" w:hAnsi="Times New Roman" w:eastAsia="仿宋"/>
                <w:b/>
                <w:bCs/>
                <w:sz w:val="28"/>
                <w:szCs w:val="28"/>
              </w:rPr>
            </w:pPr>
            <w:r>
              <w:rPr>
                <w:rFonts w:ascii="仿宋" w:hAnsi="仿宋" w:eastAsia="仿宋"/>
                <w:b/>
                <w:sz w:val="28"/>
                <w:szCs w:val="28"/>
              </w:rPr>
              <w:t>评分内容</w:t>
            </w:r>
          </w:p>
        </w:tc>
        <w:tc>
          <w:tcPr>
            <w:tcW w:w="1572" w:type="dxa"/>
            <w:tcBorders>
              <w:top w:val="single" w:color="auto" w:sz="4" w:space="0"/>
              <w:left w:val="nil"/>
              <w:bottom w:val="single" w:color="auto" w:sz="4" w:space="0"/>
              <w:right w:val="single" w:color="auto" w:sz="4" w:space="0"/>
            </w:tcBorders>
            <w:noWrap w:val="0"/>
            <w:vAlign w:val="center"/>
          </w:tcPr>
          <w:p w14:paraId="150CD85C">
            <w:pPr>
              <w:widowControl w:val="0"/>
              <w:wordWrap w:val="0"/>
              <w:topLinePunct/>
              <w:jc w:val="center"/>
              <w:rPr>
                <w:rFonts w:ascii="Times New Roman" w:hAnsi="Times New Roman" w:eastAsia="仿宋"/>
                <w:b/>
                <w:bCs/>
                <w:sz w:val="28"/>
                <w:szCs w:val="28"/>
              </w:rPr>
            </w:pPr>
            <w:r>
              <w:rPr>
                <w:rFonts w:ascii="仿宋" w:hAnsi="仿宋" w:eastAsia="仿宋"/>
                <w:b/>
                <w:sz w:val="28"/>
                <w:szCs w:val="28"/>
              </w:rPr>
              <w:t>评分因素</w:t>
            </w:r>
          </w:p>
        </w:tc>
        <w:tc>
          <w:tcPr>
            <w:tcW w:w="5807" w:type="dxa"/>
            <w:tcBorders>
              <w:top w:val="single" w:color="auto" w:sz="4" w:space="0"/>
              <w:left w:val="nil"/>
              <w:bottom w:val="single" w:color="auto" w:sz="4" w:space="0"/>
              <w:right w:val="single" w:color="auto" w:sz="4" w:space="0"/>
            </w:tcBorders>
            <w:noWrap w:val="0"/>
            <w:vAlign w:val="center"/>
          </w:tcPr>
          <w:p w14:paraId="6DFF823A">
            <w:pPr>
              <w:widowControl w:val="0"/>
              <w:wordWrap w:val="0"/>
              <w:topLinePunct/>
              <w:jc w:val="center"/>
              <w:rPr>
                <w:rFonts w:ascii="Times New Roman" w:hAnsi="Times New Roman" w:eastAsia="仿宋"/>
                <w:b/>
                <w:bCs/>
                <w:sz w:val="28"/>
                <w:szCs w:val="28"/>
              </w:rPr>
            </w:pPr>
            <w:r>
              <w:rPr>
                <w:rFonts w:ascii="仿宋" w:hAnsi="仿宋" w:eastAsia="仿宋"/>
                <w:b/>
                <w:sz w:val="28"/>
                <w:szCs w:val="28"/>
              </w:rPr>
              <w:t>评分标准</w:t>
            </w:r>
          </w:p>
        </w:tc>
        <w:tc>
          <w:tcPr>
            <w:tcW w:w="896" w:type="dxa"/>
            <w:tcBorders>
              <w:top w:val="single" w:color="auto" w:sz="4" w:space="0"/>
              <w:left w:val="nil"/>
              <w:bottom w:val="single" w:color="auto" w:sz="4" w:space="0"/>
              <w:right w:val="single" w:color="auto" w:sz="4" w:space="0"/>
            </w:tcBorders>
            <w:noWrap w:val="0"/>
            <w:vAlign w:val="center"/>
          </w:tcPr>
          <w:p w14:paraId="0B4A4636">
            <w:pPr>
              <w:widowControl w:val="0"/>
              <w:wordWrap w:val="0"/>
              <w:topLinePunct/>
              <w:jc w:val="center"/>
              <w:rPr>
                <w:rFonts w:ascii="Times New Roman" w:hAnsi="Times New Roman" w:eastAsia="仿宋"/>
                <w:b/>
                <w:bCs/>
                <w:sz w:val="28"/>
                <w:szCs w:val="28"/>
              </w:rPr>
            </w:pPr>
            <w:r>
              <w:rPr>
                <w:rFonts w:ascii="仿宋" w:hAnsi="仿宋" w:eastAsia="仿宋"/>
                <w:b/>
                <w:sz w:val="28"/>
                <w:szCs w:val="28"/>
              </w:rPr>
              <w:t>分值</w:t>
            </w:r>
          </w:p>
        </w:tc>
      </w:tr>
      <w:tr w14:paraId="7E5B5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1349" w:type="dxa"/>
            <w:tcBorders>
              <w:top w:val="single" w:color="auto" w:sz="4" w:space="0"/>
              <w:left w:val="single" w:color="auto" w:sz="4" w:space="0"/>
              <w:bottom w:val="single" w:color="auto" w:sz="4" w:space="0"/>
              <w:right w:val="single" w:color="auto" w:sz="4" w:space="0"/>
            </w:tcBorders>
            <w:noWrap w:val="0"/>
            <w:vAlign w:val="center"/>
          </w:tcPr>
          <w:p w14:paraId="09721D48">
            <w:pPr>
              <w:widowControl w:val="0"/>
              <w:wordWrap w:val="0"/>
              <w:topLinePunct/>
              <w:jc w:val="center"/>
              <w:rPr>
                <w:rFonts w:hint="eastAsia" w:ascii="仿宋" w:hAnsi="仿宋" w:eastAsia="仿宋"/>
                <w:b/>
                <w:sz w:val="28"/>
                <w:szCs w:val="28"/>
                <w:lang w:val="en-US" w:eastAsia="zh-CN"/>
              </w:rPr>
            </w:pPr>
            <w:r>
              <w:rPr>
                <w:rFonts w:hint="eastAsia" w:ascii="仿宋" w:hAnsi="仿宋" w:eastAsia="仿宋"/>
                <w:b/>
                <w:sz w:val="28"/>
                <w:szCs w:val="28"/>
                <w:lang w:val="en-US" w:eastAsia="zh-CN"/>
              </w:rPr>
              <w:t>磋商响应报价</w:t>
            </w:r>
          </w:p>
          <w:p w14:paraId="7B226079">
            <w:pPr>
              <w:widowControl w:val="0"/>
              <w:wordWrap w:val="0"/>
              <w:topLinePunct/>
              <w:jc w:val="center"/>
              <w:rPr>
                <w:rFonts w:hint="eastAsia" w:ascii="仿宋" w:hAnsi="仿宋" w:eastAsia="仿宋"/>
                <w:b/>
                <w:sz w:val="28"/>
                <w:szCs w:val="28"/>
                <w:lang w:val="en-US" w:eastAsia="zh-CN"/>
              </w:rPr>
            </w:pPr>
            <w:r>
              <w:rPr>
                <w:rFonts w:hint="eastAsia" w:ascii="仿宋" w:hAnsi="仿宋" w:eastAsia="仿宋"/>
                <w:b/>
                <w:sz w:val="28"/>
                <w:szCs w:val="28"/>
                <w:lang w:val="en-US" w:eastAsia="zh-CN"/>
              </w:rPr>
              <w:t>（30分）</w:t>
            </w:r>
          </w:p>
        </w:tc>
        <w:tc>
          <w:tcPr>
            <w:tcW w:w="1572" w:type="dxa"/>
            <w:tcBorders>
              <w:top w:val="single" w:color="auto" w:sz="4" w:space="0"/>
              <w:left w:val="nil"/>
              <w:bottom w:val="single" w:color="auto" w:sz="4" w:space="0"/>
              <w:right w:val="single" w:color="auto" w:sz="4" w:space="0"/>
            </w:tcBorders>
            <w:noWrap w:val="0"/>
            <w:vAlign w:val="center"/>
          </w:tcPr>
          <w:p w14:paraId="7158E27E">
            <w:pPr>
              <w:widowControl w:val="0"/>
              <w:wordWrap w:val="0"/>
              <w:topLinePunct/>
              <w:jc w:val="center"/>
              <w:rPr>
                <w:rFonts w:hint="eastAsia" w:ascii="仿宋" w:hAnsi="仿宋" w:eastAsia="仿宋"/>
                <w:b/>
                <w:sz w:val="28"/>
                <w:szCs w:val="28"/>
                <w:lang w:val="en-US" w:eastAsia="zh-CN"/>
              </w:rPr>
            </w:pPr>
            <w:r>
              <w:rPr>
                <w:rFonts w:hint="eastAsia" w:ascii="仿宋" w:hAnsi="仿宋" w:eastAsia="仿宋"/>
                <w:b/>
                <w:sz w:val="28"/>
                <w:szCs w:val="28"/>
                <w:lang w:val="en-US" w:eastAsia="zh-CN"/>
              </w:rPr>
              <w:t>响应报价</w:t>
            </w:r>
          </w:p>
        </w:tc>
        <w:tc>
          <w:tcPr>
            <w:tcW w:w="5807" w:type="dxa"/>
            <w:tcBorders>
              <w:top w:val="single" w:color="auto" w:sz="4" w:space="0"/>
              <w:left w:val="nil"/>
              <w:bottom w:val="single" w:color="auto" w:sz="4" w:space="0"/>
              <w:right w:val="single" w:color="auto" w:sz="4" w:space="0"/>
            </w:tcBorders>
            <w:noWrap w:val="0"/>
            <w:vAlign w:val="center"/>
          </w:tcPr>
          <w:p w14:paraId="48E03DA0">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价格分统一采用低价优先法计算，即满足磋商文件要求且最后报价最低的供应商的价格为磋商基准价，其价格分为满分。</w:t>
            </w:r>
          </w:p>
          <w:p w14:paraId="2A50F2C6">
            <w:pPr>
              <w:keepNext w:val="0"/>
              <w:keepLines w:val="0"/>
              <w:pageBreakBefore w:val="0"/>
              <w:widowControl w:val="0"/>
              <w:kinsoku/>
              <w:wordWrap w:val="0"/>
              <w:overflowPunct/>
              <w:topLinePunct/>
              <w:bidi w:val="0"/>
              <w:snapToGrid/>
              <w:spacing w:line="560" w:lineRule="exact"/>
              <w:ind w:firstLine="560"/>
              <w:textAlignment w:val="auto"/>
              <w:outlineLvl w:val="9"/>
              <w:rPr>
                <w:rFonts w:hint="default" w:ascii="仿宋_GB2312" w:hAnsi="仿宋_GB2312" w:eastAsia="仿宋_GB2312" w:cs="仿宋_GB2312"/>
                <w:color w:val="auto"/>
                <w:sz w:val="28"/>
                <w:szCs w:val="28"/>
                <w:highlight w:val="none"/>
                <w:lang w:val="en-US"/>
              </w:rPr>
            </w:pPr>
            <w:r>
              <w:rPr>
                <w:rFonts w:hint="eastAsia" w:ascii="仿宋_GB2312" w:hAnsi="仿宋_GB2312" w:eastAsia="仿宋_GB2312" w:cs="仿宋_GB2312"/>
                <w:color w:val="auto"/>
                <w:sz w:val="28"/>
                <w:szCs w:val="28"/>
                <w:highlight w:val="none"/>
              </w:rPr>
              <w:t>其他供应商的价格分统一按照下列公式计算：磋商报价得分=（磋商基准价/最后磋商报价）×</w:t>
            </w:r>
            <w:r>
              <w:rPr>
                <w:rFonts w:hint="eastAsia" w:ascii="仿宋_GB2312" w:hAnsi="仿宋_GB2312" w:eastAsia="仿宋_GB2312" w:cs="仿宋_GB2312"/>
                <w:color w:val="auto"/>
                <w:sz w:val="28"/>
                <w:szCs w:val="28"/>
                <w:highlight w:val="none"/>
                <w:lang w:val="en-US" w:eastAsia="zh-CN"/>
              </w:rPr>
              <w:t>30</w:t>
            </w:r>
          </w:p>
        </w:tc>
        <w:tc>
          <w:tcPr>
            <w:tcW w:w="896" w:type="dxa"/>
            <w:tcBorders>
              <w:top w:val="single" w:color="auto" w:sz="4" w:space="0"/>
              <w:left w:val="nil"/>
              <w:bottom w:val="single" w:color="auto" w:sz="4" w:space="0"/>
              <w:right w:val="single" w:color="auto" w:sz="4" w:space="0"/>
            </w:tcBorders>
            <w:noWrap w:val="0"/>
            <w:vAlign w:val="center"/>
          </w:tcPr>
          <w:p w14:paraId="3D095D57">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30分</w:t>
            </w:r>
          </w:p>
        </w:tc>
      </w:tr>
      <w:tr w14:paraId="13C74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1349" w:type="dxa"/>
            <w:vMerge w:val="restart"/>
            <w:tcBorders>
              <w:top w:val="single" w:color="auto" w:sz="4" w:space="0"/>
              <w:left w:val="single" w:color="auto" w:sz="4" w:space="0"/>
              <w:right w:val="single" w:color="auto" w:sz="4" w:space="0"/>
            </w:tcBorders>
            <w:noWrap w:val="0"/>
            <w:vAlign w:val="center"/>
          </w:tcPr>
          <w:p w14:paraId="424D5058">
            <w:pPr>
              <w:widowControl w:val="0"/>
              <w:wordWrap w:val="0"/>
              <w:topLinePunct/>
              <w:jc w:val="center"/>
              <w:rPr>
                <w:rFonts w:hint="eastAsia" w:ascii="仿宋" w:hAnsi="仿宋" w:eastAsia="仿宋"/>
                <w:b/>
                <w:sz w:val="28"/>
                <w:szCs w:val="28"/>
                <w:lang w:val="en-US" w:eastAsia="zh-CN"/>
              </w:rPr>
            </w:pPr>
            <w:r>
              <w:rPr>
                <w:rFonts w:hint="eastAsia" w:ascii="仿宋" w:hAnsi="仿宋" w:eastAsia="仿宋"/>
                <w:b/>
                <w:sz w:val="28"/>
                <w:szCs w:val="28"/>
                <w:lang w:val="en-US" w:eastAsia="zh-CN"/>
              </w:rPr>
              <w:t>技术部分</w:t>
            </w:r>
          </w:p>
          <w:p w14:paraId="756EF40A">
            <w:pPr>
              <w:widowControl w:val="0"/>
              <w:wordWrap w:val="0"/>
              <w:topLinePunct/>
              <w:jc w:val="center"/>
              <w:rPr>
                <w:rFonts w:hint="eastAsia" w:ascii="仿宋" w:hAnsi="仿宋" w:eastAsia="仿宋"/>
                <w:b/>
                <w:sz w:val="28"/>
                <w:szCs w:val="28"/>
                <w:lang w:val="en-US" w:eastAsia="zh-CN"/>
              </w:rPr>
            </w:pPr>
            <w:r>
              <w:rPr>
                <w:rFonts w:hint="eastAsia" w:ascii="仿宋" w:hAnsi="仿宋" w:eastAsia="仿宋"/>
                <w:b/>
                <w:sz w:val="28"/>
                <w:szCs w:val="28"/>
                <w:lang w:val="en-US" w:eastAsia="zh-CN"/>
              </w:rPr>
              <w:t>（57分）</w:t>
            </w:r>
          </w:p>
        </w:tc>
        <w:tc>
          <w:tcPr>
            <w:tcW w:w="1572" w:type="dxa"/>
            <w:tcBorders>
              <w:top w:val="single" w:color="auto" w:sz="4" w:space="0"/>
              <w:left w:val="nil"/>
              <w:bottom w:val="single" w:color="auto" w:sz="4" w:space="0"/>
              <w:right w:val="single" w:color="auto" w:sz="4" w:space="0"/>
            </w:tcBorders>
            <w:noWrap w:val="0"/>
            <w:vAlign w:val="center"/>
          </w:tcPr>
          <w:p w14:paraId="5058CABB">
            <w:pPr>
              <w:widowControl w:val="0"/>
              <w:wordWrap w:val="0"/>
              <w:topLinePunct/>
              <w:jc w:val="center"/>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技术指标要求</w:t>
            </w:r>
          </w:p>
          <w:p w14:paraId="38838637">
            <w:pPr>
              <w:widowControl w:val="0"/>
              <w:wordWrap w:val="0"/>
              <w:topLinePunct/>
              <w:jc w:val="center"/>
              <w:rPr>
                <w:rFonts w:ascii="仿宋" w:hAnsi="仿宋" w:eastAsia="仿宋"/>
                <w:b/>
                <w:sz w:val="28"/>
                <w:szCs w:val="28"/>
              </w:rPr>
            </w:pPr>
            <w:r>
              <w:rPr>
                <w:rFonts w:hint="eastAsia" w:ascii="仿宋_GB2312" w:hAnsi="仿宋_GB2312" w:eastAsia="仿宋_GB2312" w:cs="仿宋_GB2312"/>
                <w:b/>
                <w:bCs/>
                <w:color w:val="auto"/>
                <w:sz w:val="28"/>
                <w:szCs w:val="28"/>
                <w:lang w:val="en-US" w:eastAsia="zh-CN"/>
              </w:rPr>
              <w:t>（30分）</w:t>
            </w:r>
          </w:p>
        </w:tc>
        <w:tc>
          <w:tcPr>
            <w:tcW w:w="5807" w:type="dxa"/>
            <w:tcBorders>
              <w:top w:val="single" w:color="auto" w:sz="4" w:space="0"/>
              <w:left w:val="nil"/>
              <w:bottom w:val="single" w:color="auto" w:sz="4" w:space="0"/>
              <w:right w:val="single" w:color="auto" w:sz="4" w:space="0"/>
            </w:tcBorders>
            <w:noWrap w:val="0"/>
            <w:vAlign w:val="center"/>
          </w:tcPr>
          <w:p w14:paraId="21D26B4D">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根据</w:t>
            </w:r>
            <w:r>
              <w:rPr>
                <w:rFonts w:hint="eastAsia" w:ascii="仿宋_GB2312" w:hAnsi="仿宋_GB2312" w:eastAsia="仿宋_GB2312" w:cs="仿宋_GB2312"/>
                <w:color w:val="auto"/>
                <w:sz w:val="28"/>
                <w:szCs w:val="28"/>
                <w:highlight w:val="none"/>
              </w:rPr>
              <w:t>磋商文件</w:t>
            </w:r>
            <w:r>
              <w:rPr>
                <w:rFonts w:hint="eastAsia" w:ascii="仿宋_GB2312" w:hAnsi="仿宋_GB2312" w:eastAsia="仿宋_GB2312" w:cs="仿宋_GB2312"/>
                <w:color w:val="auto"/>
                <w:sz w:val="28"/>
                <w:szCs w:val="28"/>
                <w:highlight w:val="none"/>
                <w:lang w:val="en-US" w:eastAsia="zh-CN"/>
              </w:rPr>
              <w:t>文件要求的产品技术参数及要求：</w:t>
            </w:r>
          </w:p>
          <w:p w14:paraId="0FED7CA7">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zh-TW" w:eastAsia="zh-TW"/>
              </w:rPr>
              <w:t>技术参数及功能要求</w:t>
            </w:r>
            <w:r>
              <w:rPr>
                <w:rFonts w:hint="eastAsia" w:ascii="仿宋_GB2312" w:hAnsi="仿宋_GB2312" w:eastAsia="仿宋_GB2312" w:cs="仿宋_GB2312"/>
                <w:color w:val="auto"/>
                <w:sz w:val="28"/>
                <w:szCs w:val="28"/>
                <w:highlight w:val="none"/>
                <w:lang w:val="en-US" w:eastAsia="zh-CN"/>
              </w:rPr>
              <w:t>，</w:t>
            </w:r>
            <w:r>
              <w:rPr>
                <w:rFonts w:hint="eastAsia" w:ascii="仿宋_GB2312" w:hAnsi="仿宋_GB2312" w:eastAsia="仿宋_GB2312" w:cs="仿宋_GB2312"/>
                <w:color w:val="auto"/>
                <w:sz w:val="28"/>
                <w:szCs w:val="28"/>
                <w:highlight w:val="none"/>
                <w:lang w:val="zh-TW" w:eastAsia="zh-CN"/>
              </w:rPr>
              <w:t>一共</w:t>
            </w:r>
            <w:r>
              <w:rPr>
                <w:rFonts w:hint="eastAsia" w:ascii="仿宋_GB2312" w:hAnsi="仿宋_GB2312" w:eastAsia="仿宋_GB2312" w:cs="仿宋_GB2312"/>
                <w:color w:val="auto"/>
                <w:sz w:val="28"/>
                <w:szCs w:val="28"/>
                <w:highlight w:val="none"/>
                <w:lang w:val="en-US" w:eastAsia="zh-CN"/>
              </w:rPr>
              <w:t>150项，</w:t>
            </w:r>
            <w:r>
              <w:rPr>
                <w:rFonts w:hint="eastAsia" w:ascii="仿宋_GB2312" w:hAnsi="仿宋_GB2312" w:eastAsia="仿宋_GB2312" w:cs="仿宋_GB2312"/>
                <w:color w:val="auto"/>
                <w:sz w:val="28"/>
                <w:szCs w:val="28"/>
                <w:highlight w:val="none"/>
                <w:lang w:val="zh-TW" w:eastAsia="zh-TW"/>
              </w:rPr>
              <w:t>每有</w:t>
            </w:r>
            <w:r>
              <w:rPr>
                <w:rFonts w:hint="eastAsia" w:ascii="仿宋_GB2312" w:hAnsi="仿宋_GB2312" w:eastAsia="仿宋_GB2312" w:cs="仿宋_GB2312"/>
                <w:color w:val="auto"/>
                <w:sz w:val="28"/>
                <w:szCs w:val="28"/>
                <w:highlight w:val="none"/>
                <w:lang w:val="en-US" w:eastAsia="zh-CN"/>
              </w:rPr>
              <w:t>1</w:t>
            </w:r>
            <w:r>
              <w:rPr>
                <w:rFonts w:hint="eastAsia" w:ascii="仿宋_GB2312" w:hAnsi="仿宋_GB2312" w:eastAsia="仿宋_GB2312" w:cs="仿宋_GB2312"/>
                <w:color w:val="auto"/>
                <w:sz w:val="28"/>
                <w:szCs w:val="28"/>
                <w:highlight w:val="none"/>
                <w:lang w:val="zh-TW" w:eastAsia="zh-TW"/>
              </w:rPr>
              <w:t>条不满足扣</w:t>
            </w:r>
            <w:r>
              <w:rPr>
                <w:rFonts w:hint="eastAsia" w:ascii="仿宋_GB2312" w:hAnsi="仿宋_GB2312" w:eastAsia="仿宋_GB2312" w:cs="仿宋_GB2312"/>
                <w:color w:val="auto"/>
                <w:sz w:val="28"/>
                <w:szCs w:val="28"/>
                <w:highlight w:val="none"/>
                <w:lang w:val="en-US" w:eastAsia="zh-CN"/>
              </w:rPr>
              <w:t>0.2</w:t>
            </w:r>
            <w:r>
              <w:rPr>
                <w:rFonts w:hint="eastAsia" w:ascii="仿宋_GB2312" w:hAnsi="仿宋_GB2312" w:eastAsia="仿宋_GB2312" w:cs="仿宋_GB2312"/>
                <w:color w:val="auto"/>
                <w:sz w:val="28"/>
                <w:szCs w:val="28"/>
                <w:highlight w:val="none"/>
                <w:lang w:val="zh-TW" w:eastAsia="zh-TW"/>
              </w:rPr>
              <w:t>分</w:t>
            </w:r>
            <w:r>
              <w:rPr>
                <w:rFonts w:hint="eastAsia" w:ascii="仿宋_GB2312" w:hAnsi="仿宋_GB2312" w:eastAsia="仿宋_GB2312" w:cs="仿宋_GB2312"/>
                <w:color w:val="auto"/>
                <w:sz w:val="28"/>
                <w:szCs w:val="28"/>
                <w:highlight w:val="none"/>
                <w:lang w:val="zh-TW" w:eastAsia="zh-CN"/>
              </w:rPr>
              <w:t>，共</w:t>
            </w:r>
            <w:r>
              <w:rPr>
                <w:rFonts w:hint="eastAsia" w:ascii="仿宋_GB2312" w:hAnsi="仿宋_GB2312" w:eastAsia="仿宋_GB2312" w:cs="仿宋_GB2312"/>
                <w:color w:val="auto"/>
                <w:sz w:val="28"/>
                <w:szCs w:val="28"/>
                <w:highlight w:val="none"/>
                <w:lang w:val="en-US" w:eastAsia="zh-CN"/>
              </w:rPr>
              <w:t>30分</w:t>
            </w:r>
            <w:r>
              <w:rPr>
                <w:rFonts w:hint="eastAsia" w:ascii="仿宋_GB2312" w:hAnsi="仿宋_GB2312" w:eastAsia="仿宋_GB2312" w:cs="仿宋_GB2312"/>
                <w:color w:val="auto"/>
                <w:sz w:val="28"/>
                <w:szCs w:val="28"/>
                <w:highlight w:val="none"/>
                <w:lang w:val="zh-TW" w:eastAsia="zh-TW"/>
              </w:rPr>
              <w:t>。</w:t>
            </w:r>
          </w:p>
          <w:p w14:paraId="7CDEE4F4">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备注：1.以最小数字项为一项</w:t>
            </w:r>
          </w:p>
          <w:p w14:paraId="1B3465BF">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2.磋商小组根据磋商响应文件和要求提供的相关证明材料对磋商文件的响应情况，对照判断所响应产品是否满足磋商文件的要求，供应商可提供技术参数满足或优于磋商文件要求的产品。若未要求提供证明文件的以技术规格偏离表中响应情况为准。</w:t>
            </w:r>
          </w:p>
        </w:tc>
        <w:tc>
          <w:tcPr>
            <w:tcW w:w="896" w:type="dxa"/>
            <w:tcBorders>
              <w:top w:val="single" w:color="auto" w:sz="4" w:space="0"/>
              <w:left w:val="nil"/>
              <w:bottom w:val="single" w:color="auto" w:sz="4" w:space="0"/>
              <w:right w:val="single" w:color="auto" w:sz="4" w:space="0"/>
            </w:tcBorders>
            <w:noWrap w:val="0"/>
            <w:vAlign w:val="center"/>
          </w:tcPr>
          <w:p w14:paraId="3AE8A64C">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30分</w:t>
            </w:r>
          </w:p>
        </w:tc>
      </w:tr>
      <w:tr w14:paraId="19DDF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1349" w:type="dxa"/>
            <w:vMerge w:val="continue"/>
            <w:tcBorders>
              <w:left w:val="single" w:color="auto" w:sz="4" w:space="0"/>
              <w:right w:val="single" w:color="auto" w:sz="4" w:space="0"/>
            </w:tcBorders>
            <w:noWrap w:val="0"/>
            <w:vAlign w:val="center"/>
          </w:tcPr>
          <w:p w14:paraId="1CA35C08">
            <w:pPr>
              <w:widowControl w:val="0"/>
              <w:wordWrap w:val="0"/>
              <w:topLinePunct/>
              <w:jc w:val="center"/>
              <w:rPr>
                <w:rFonts w:hint="eastAsia" w:ascii="仿宋" w:hAnsi="仿宋" w:eastAsia="仿宋"/>
                <w:b/>
                <w:sz w:val="28"/>
                <w:szCs w:val="28"/>
                <w:lang w:val="en-US" w:eastAsia="zh-CN"/>
              </w:rPr>
            </w:pPr>
          </w:p>
        </w:tc>
        <w:tc>
          <w:tcPr>
            <w:tcW w:w="1572" w:type="dxa"/>
            <w:tcBorders>
              <w:top w:val="single" w:color="auto" w:sz="4" w:space="0"/>
              <w:left w:val="nil"/>
              <w:bottom w:val="single" w:color="auto" w:sz="4" w:space="0"/>
              <w:right w:val="single" w:color="auto" w:sz="4" w:space="0"/>
            </w:tcBorders>
            <w:noWrap w:val="0"/>
            <w:vAlign w:val="center"/>
          </w:tcPr>
          <w:p w14:paraId="5BC8ECFA">
            <w:pPr>
              <w:widowControl w:val="0"/>
              <w:wordWrap w:val="0"/>
              <w:topLinePunct/>
              <w:jc w:val="center"/>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供货方案</w:t>
            </w:r>
          </w:p>
          <w:p w14:paraId="31D747DB">
            <w:pPr>
              <w:widowControl w:val="0"/>
              <w:wordWrap w:val="0"/>
              <w:topLinePunct/>
              <w:jc w:val="center"/>
              <w:rPr>
                <w:rFonts w:ascii="仿宋" w:hAnsi="仿宋" w:eastAsia="仿宋"/>
                <w:b/>
                <w:sz w:val="28"/>
                <w:szCs w:val="28"/>
              </w:rPr>
            </w:pPr>
            <w:r>
              <w:rPr>
                <w:rFonts w:hint="eastAsia" w:ascii="仿宋_GB2312" w:hAnsi="仿宋_GB2312" w:eastAsia="仿宋_GB2312" w:cs="仿宋_GB2312"/>
                <w:b/>
                <w:bCs/>
                <w:color w:val="auto"/>
                <w:sz w:val="28"/>
                <w:szCs w:val="28"/>
                <w:lang w:val="en-US" w:eastAsia="zh-CN"/>
              </w:rPr>
              <w:t>（6分）</w:t>
            </w:r>
          </w:p>
        </w:tc>
        <w:tc>
          <w:tcPr>
            <w:tcW w:w="5807" w:type="dxa"/>
            <w:tcBorders>
              <w:top w:val="single" w:color="auto" w:sz="4" w:space="0"/>
              <w:left w:val="nil"/>
              <w:bottom w:val="single" w:color="auto" w:sz="4" w:space="0"/>
              <w:right w:val="single" w:color="auto" w:sz="4" w:space="0"/>
            </w:tcBorders>
            <w:noWrap w:val="0"/>
            <w:vAlign w:val="center"/>
          </w:tcPr>
          <w:p w14:paraId="1CCC3C08">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供应商针对本项目制定供货方案，包含但不限于①产品采购及包装②产品运输及装卸③产品到货验收④产品安装调试。</w:t>
            </w:r>
          </w:p>
          <w:p w14:paraId="54DCAD16">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供应商对每项内容论述详细,完全贴合项目采购需求的得6分;供应商对每项内容虽阐述但未贴合采购需求进行论述,或内容未包括具体细节的得3分;供应商提供的内容不完整存在明显缺陷的得1分;未提供相关内容的得0分。</w:t>
            </w:r>
          </w:p>
        </w:tc>
        <w:tc>
          <w:tcPr>
            <w:tcW w:w="896" w:type="dxa"/>
            <w:tcBorders>
              <w:top w:val="single" w:color="auto" w:sz="4" w:space="0"/>
              <w:left w:val="nil"/>
              <w:bottom w:val="single" w:color="auto" w:sz="4" w:space="0"/>
              <w:right w:val="single" w:color="auto" w:sz="4" w:space="0"/>
            </w:tcBorders>
            <w:noWrap w:val="0"/>
            <w:vAlign w:val="center"/>
          </w:tcPr>
          <w:p w14:paraId="42796719">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6分</w:t>
            </w:r>
          </w:p>
        </w:tc>
      </w:tr>
      <w:tr w14:paraId="04AE7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0" w:hRule="atLeast"/>
          <w:jc w:val="center"/>
        </w:trPr>
        <w:tc>
          <w:tcPr>
            <w:tcW w:w="1349" w:type="dxa"/>
            <w:vMerge w:val="continue"/>
            <w:tcBorders>
              <w:left w:val="single" w:color="auto" w:sz="4" w:space="0"/>
              <w:right w:val="single" w:color="auto" w:sz="4" w:space="0"/>
            </w:tcBorders>
            <w:noWrap w:val="0"/>
            <w:vAlign w:val="center"/>
          </w:tcPr>
          <w:p w14:paraId="5DE32208">
            <w:pPr>
              <w:widowControl w:val="0"/>
              <w:wordWrap w:val="0"/>
              <w:topLinePunct/>
              <w:jc w:val="center"/>
              <w:rPr>
                <w:rFonts w:hint="eastAsia" w:ascii="仿宋" w:hAnsi="仿宋" w:eastAsia="仿宋"/>
                <w:b/>
                <w:sz w:val="28"/>
                <w:szCs w:val="28"/>
                <w:lang w:val="en-US" w:eastAsia="zh-CN"/>
              </w:rPr>
            </w:pPr>
          </w:p>
        </w:tc>
        <w:tc>
          <w:tcPr>
            <w:tcW w:w="1572" w:type="dxa"/>
            <w:tcBorders>
              <w:top w:val="single" w:color="auto" w:sz="4" w:space="0"/>
              <w:left w:val="nil"/>
              <w:bottom w:val="single" w:color="auto" w:sz="4" w:space="0"/>
              <w:right w:val="single" w:color="auto" w:sz="4" w:space="0"/>
            </w:tcBorders>
            <w:noWrap w:val="0"/>
            <w:vAlign w:val="center"/>
          </w:tcPr>
          <w:p w14:paraId="54BCE720">
            <w:pPr>
              <w:widowControl w:val="0"/>
              <w:wordWrap w:val="0"/>
              <w:topLinePunct/>
              <w:jc w:val="center"/>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质量管理方案</w:t>
            </w:r>
          </w:p>
          <w:p w14:paraId="14EB9DA5">
            <w:pPr>
              <w:widowControl w:val="0"/>
              <w:wordWrap w:val="0"/>
              <w:topLinePunct/>
              <w:jc w:val="center"/>
              <w:rPr>
                <w:rFonts w:ascii="仿宋" w:hAnsi="仿宋" w:eastAsia="仿宋"/>
                <w:b/>
                <w:sz w:val="28"/>
                <w:szCs w:val="28"/>
              </w:rPr>
            </w:pPr>
            <w:r>
              <w:rPr>
                <w:rFonts w:hint="eastAsia" w:ascii="仿宋" w:hAnsi="仿宋" w:eastAsia="仿宋"/>
                <w:b/>
                <w:bCs/>
                <w:sz w:val="28"/>
                <w:szCs w:val="28"/>
                <w:lang w:val="en-US" w:eastAsia="zh-CN"/>
              </w:rPr>
              <w:t>（6分）</w:t>
            </w:r>
          </w:p>
        </w:tc>
        <w:tc>
          <w:tcPr>
            <w:tcW w:w="5807" w:type="dxa"/>
            <w:tcBorders>
              <w:top w:val="single" w:color="auto" w:sz="4" w:space="0"/>
              <w:left w:val="nil"/>
              <w:bottom w:val="single" w:color="auto" w:sz="4" w:space="0"/>
              <w:right w:val="single" w:color="auto" w:sz="4" w:space="0"/>
            </w:tcBorders>
            <w:noWrap w:val="0"/>
            <w:vAlign w:val="center"/>
          </w:tcPr>
          <w:p w14:paraId="05344F31">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供应商针对本项目制定质量管理方案，包含但不限于①原材料及工艺质量控制②成品质量控制③质量检验制度。</w:t>
            </w:r>
          </w:p>
          <w:p w14:paraId="24F1DE1B">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供应商对每项内容论述详细,完全贴合项目采购需求的得6分;供应商对每项内容虽阐述但未贴合采购需求进行论述,或内容未包括具体细节的得3分;供应商提供的内容不完整存在明显缺陷的得1分;未提供相关内容的得0分。</w:t>
            </w:r>
          </w:p>
        </w:tc>
        <w:tc>
          <w:tcPr>
            <w:tcW w:w="896" w:type="dxa"/>
            <w:tcBorders>
              <w:top w:val="single" w:color="auto" w:sz="4" w:space="0"/>
              <w:left w:val="nil"/>
              <w:bottom w:val="single" w:color="auto" w:sz="4" w:space="0"/>
              <w:right w:val="single" w:color="auto" w:sz="4" w:space="0"/>
            </w:tcBorders>
            <w:noWrap w:val="0"/>
            <w:vAlign w:val="center"/>
          </w:tcPr>
          <w:p w14:paraId="491FD3F7">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6分</w:t>
            </w:r>
          </w:p>
        </w:tc>
      </w:tr>
      <w:tr w14:paraId="0DF8C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1349" w:type="dxa"/>
            <w:vMerge w:val="continue"/>
            <w:tcBorders>
              <w:left w:val="single" w:color="auto" w:sz="4" w:space="0"/>
              <w:bottom w:val="single" w:color="auto" w:sz="4" w:space="0"/>
              <w:right w:val="single" w:color="auto" w:sz="4" w:space="0"/>
            </w:tcBorders>
            <w:noWrap w:val="0"/>
            <w:vAlign w:val="center"/>
          </w:tcPr>
          <w:p w14:paraId="05BCD801">
            <w:pPr>
              <w:widowControl w:val="0"/>
              <w:wordWrap w:val="0"/>
              <w:topLinePunct/>
              <w:jc w:val="center"/>
              <w:rPr>
                <w:rFonts w:hint="eastAsia" w:ascii="仿宋" w:hAnsi="仿宋" w:eastAsia="仿宋"/>
                <w:b/>
                <w:sz w:val="28"/>
                <w:szCs w:val="28"/>
                <w:lang w:val="en-US" w:eastAsia="zh-CN"/>
              </w:rPr>
            </w:pPr>
          </w:p>
        </w:tc>
        <w:tc>
          <w:tcPr>
            <w:tcW w:w="1572" w:type="dxa"/>
            <w:tcBorders>
              <w:top w:val="single" w:color="auto" w:sz="4" w:space="0"/>
              <w:left w:val="nil"/>
              <w:bottom w:val="single" w:color="auto" w:sz="4" w:space="0"/>
              <w:right w:val="single" w:color="auto" w:sz="4" w:space="0"/>
            </w:tcBorders>
            <w:noWrap w:val="0"/>
            <w:vAlign w:val="center"/>
          </w:tcPr>
          <w:p w14:paraId="1661A50E">
            <w:pPr>
              <w:widowControl w:val="0"/>
              <w:wordWrap w:val="0"/>
              <w:topLinePunct/>
              <w:jc w:val="center"/>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进度保障措施</w:t>
            </w:r>
          </w:p>
          <w:p w14:paraId="449BA37F">
            <w:pPr>
              <w:widowControl w:val="0"/>
              <w:wordWrap w:val="0"/>
              <w:topLinePunct/>
              <w:jc w:val="center"/>
              <w:rPr>
                <w:rFonts w:ascii="仿宋" w:hAnsi="仿宋" w:eastAsia="仿宋"/>
                <w:b/>
                <w:sz w:val="28"/>
                <w:szCs w:val="28"/>
              </w:rPr>
            </w:pPr>
            <w:r>
              <w:rPr>
                <w:rFonts w:hint="eastAsia" w:ascii="仿宋" w:hAnsi="仿宋" w:eastAsia="仿宋"/>
                <w:b/>
                <w:bCs/>
                <w:sz w:val="28"/>
                <w:szCs w:val="28"/>
                <w:lang w:val="en-US" w:eastAsia="zh-CN"/>
              </w:rPr>
              <w:t>（6分）</w:t>
            </w:r>
          </w:p>
        </w:tc>
        <w:tc>
          <w:tcPr>
            <w:tcW w:w="5807" w:type="dxa"/>
            <w:tcBorders>
              <w:top w:val="single" w:color="auto" w:sz="4" w:space="0"/>
              <w:left w:val="nil"/>
              <w:bottom w:val="single" w:color="auto" w:sz="4" w:space="0"/>
              <w:right w:val="single" w:color="auto" w:sz="4" w:space="0"/>
            </w:tcBorders>
            <w:noWrap w:val="0"/>
            <w:vAlign w:val="center"/>
          </w:tcPr>
          <w:p w14:paraId="174060E2">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供应商针对本项目制定进度保障措施，包含但不限于①供货进度保障②安装进度保障。</w:t>
            </w:r>
          </w:p>
          <w:p w14:paraId="49EEBBDB">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供应商对每项内容论述详细,完全贴合项目采购需求的得6分;供应商对每项内容虽阐述但未贴合采购需求进行论述,或内容未包括具体细节的得3分;供应商提供的内容不完整存在明显缺陷的得1分;未提供相关内容的得0分。</w:t>
            </w:r>
          </w:p>
        </w:tc>
        <w:tc>
          <w:tcPr>
            <w:tcW w:w="896" w:type="dxa"/>
            <w:tcBorders>
              <w:top w:val="single" w:color="auto" w:sz="4" w:space="0"/>
              <w:left w:val="nil"/>
              <w:bottom w:val="single" w:color="auto" w:sz="4" w:space="0"/>
              <w:right w:val="single" w:color="auto" w:sz="4" w:space="0"/>
            </w:tcBorders>
            <w:noWrap w:val="0"/>
            <w:vAlign w:val="center"/>
          </w:tcPr>
          <w:p w14:paraId="664D4EFE">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6分</w:t>
            </w:r>
          </w:p>
        </w:tc>
      </w:tr>
      <w:tr w14:paraId="7297A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1349" w:type="dxa"/>
            <w:vMerge w:val="restart"/>
            <w:tcBorders>
              <w:top w:val="single" w:color="auto" w:sz="4" w:space="0"/>
              <w:left w:val="single" w:color="auto" w:sz="4" w:space="0"/>
              <w:right w:val="single" w:color="auto" w:sz="4" w:space="0"/>
            </w:tcBorders>
            <w:noWrap w:val="0"/>
            <w:vAlign w:val="center"/>
          </w:tcPr>
          <w:p w14:paraId="4C8A3E3F">
            <w:pPr>
              <w:widowControl w:val="0"/>
              <w:wordWrap w:val="0"/>
              <w:topLinePunct/>
              <w:jc w:val="center"/>
              <w:rPr>
                <w:rFonts w:hint="eastAsia" w:ascii="仿宋" w:hAnsi="仿宋" w:eastAsia="仿宋"/>
                <w:b/>
                <w:sz w:val="28"/>
                <w:szCs w:val="28"/>
                <w:lang w:val="en-US" w:eastAsia="zh-CN"/>
              </w:rPr>
            </w:pPr>
            <w:r>
              <w:rPr>
                <w:rFonts w:hint="eastAsia" w:ascii="仿宋" w:hAnsi="仿宋" w:eastAsia="仿宋"/>
                <w:b/>
                <w:sz w:val="28"/>
                <w:szCs w:val="28"/>
                <w:lang w:val="en-US" w:eastAsia="zh-CN"/>
              </w:rPr>
              <w:t>综合部分（22分）</w:t>
            </w:r>
          </w:p>
        </w:tc>
        <w:tc>
          <w:tcPr>
            <w:tcW w:w="1572" w:type="dxa"/>
            <w:tcBorders>
              <w:top w:val="single" w:color="auto" w:sz="4" w:space="0"/>
              <w:left w:val="nil"/>
              <w:bottom w:val="single" w:color="auto" w:sz="4" w:space="0"/>
              <w:right w:val="single" w:color="auto" w:sz="4" w:space="0"/>
            </w:tcBorders>
            <w:noWrap w:val="0"/>
            <w:vAlign w:val="center"/>
          </w:tcPr>
          <w:p w14:paraId="69D1D574">
            <w:pPr>
              <w:widowControl w:val="0"/>
              <w:wordWrap w:val="0"/>
              <w:topLinePunct/>
              <w:jc w:val="center"/>
              <w:rPr>
                <w:rFonts w:hint="eastAsia" w:ascii="仿宋" w:hAnsi="仿宋" w:eastAsia="仿宋"/>
                <w:b/>
                <w:bCs/>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环保</w:t>
            </w:r>
            <w:r>
              <w:rPr>
                <w:rFonts w:hint="default" w:ascii="仿宋" w:hAnsi="仿宋" w:eastAsia="仿宋"/>
                <w:b/>
                <w:bCs/>
                <w:sz w:val="28"/>
                <w:szCs w:val="28"/>
                <w:highlight w:val="none"/>
                <w:lang w:val="en-US" w:eastAsia="zh-CN"/>
              </w:rPr>
              <w:t>产品</w:t>
            </w:r>
            <w:r>
              <w:rPr>
                <w:rFonts w:hint="eastAsia" w:ascii="仿宋" w:hAnsi="仿宋" w:eastAsia="仿宋"/>
                <w:b/>
                <w:bCs/>
                <w:sz w:val="28"/>
                <w:szCs w:val="28"/>
                <w:highlight w:val="none"/>
                <w:lang w:val="en-US" w:eastAsia="zh-CN"/>
              </w:rPr>
              <w:t>（4分）</w:t>
            </w:r>
          </w:p>
        </w:tc>
        <w:tc>
          <w:tcPr>
            <w:tcW w:w="5807" w:type="dxa"/>
            <w:tcBorders>
              <w:top w:val="single" w:color="auto" w:sz="4" w:space="0"/>
              <w:left w:val="nil"/>
              <w:bottom w:val="single" w:color="auto" w:sz="4" w:space="0"/>
              <w:right w:val="single" w:color="auto" w:sz="4" w:space="0"/>
            </w:tcBorders>
            <w:noWrap w:val="0"/>
            <w:vAlign w:val="center"/>
          </w:tcPr>
          <w:p w14:paraId="44D88793">
            <w:pPr>
              <w:keepNext w:val="0"/>
              <w:keepLines w:val="0"/>
              <w:pageBreakBefore w:val="0"/>
              <w:widowControl w:val="0"/>
              <w:kinsoku/>
              <w:wordWrap w:val="0"/>
              <w:overflowPunct/>
              <w:topLinePunct/>
              <w:bidi w:val="0"/>
              <w:snapToGrid/>
              <w:spacing w:line="560" w:lineRule="exact"/>
              <w:ind w:firstLine="560"/>
              <w:textAlignment w:val="auto"/>
              <w:outlineLvl w:val="9"/>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响应产品具有环保产品认证的每有一项得1分，满分4分。（注：响应文件中附该产品经国家确定的认证机构出具的、处于有效期之内的环保产品认证证书的扫描件或相关证明的扫描件，否则不得分。）</w:t>
            </w:r>
          </w:p>
        </w:tc>
        <w:tc>
          <w:tcPr>
            <w:tcW w:w="896" w:type="dxa"/>
            <w:tcBorders>
              <w:top w:val="single" w:color="auto" w:sz="4" w:space="0"/>
              <w:left w:val="nil"/>
              <w:bottom w:val="single" w:color="auto" w:sz="4" w:space="0"/>
              <w:right w:val="single" w:color="auto" w:sz="4" w:space="0"/>
            </w:tcBorders>
            <w:noWrap w:val="0"/>
            <w:vAlign w:val="center"/>
          </w:tcPr>
          <w:p w14:paraId="16A48D81">
            <w:pPr>
              <w:widowControl w:val="0"/>
              <w:wordWrap w:val="0"/>
              <w:topLinePunct/>
              <w:jc w:val="center"/>
              <w:rPr>
                <w:rFonts w:hint="default" w:ascii="仿宋" w:hAnsi="仿宋" w:eastAsia="仿宋"/>
                <w:b/>
                <w:sz w:val="28"/>
                <w:szCs w:val="28"/>
                <w:highlight w:val="none"/>
                <w:lang w:val="en-US" w:eastAsia="zh-CN"/>
              </w:rPr>
            </w:pPr>
            <w:r>
              <w:rPr>
                <w:rFonts w:hint="eastAsia" w:ascii="仿宋" w:hAnsi="仿宋" w:eastAsia="仿宋"/>
                <w:b/>
                <w:bCs/>
                <w:sz w:val="28"/>
                <w:szCs w:val="28"/>
                <w:highlight w:val="none"/>
                <w:lang w:val="en-US" w:eastAsia="zh-CN"/>
              </w:rPr>
              <w:t>4</w:t>
            </w:r>
            <w:r>
              <w:rPr>
                <w:rFonts w:hint="eastAsia" w:ascii="仿宋" w:hAnsi="仿宋" w:eastAsia="仿宋"/>
                <w:b/>
                <w:sz w:val="28"/>
                <w:szCs w:val="28"/>
                <w:highlight w:val="none"/>
                <w:lang w:val="en-US" w:eastAsia="zh-CN"/>
              </w:rPr>
              <w:t>分</w:t>
            </w:r>
          </w:p>
        </w:tc>
      </w:tr>
      <w:tr w14:paraId="5687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1349" w:type="dxa"/>
            <w:vMerge w:val="continue"/>
            <w:tcBorders>
              <w:left w:val="single" w:color="auto" w:sz="4" w:space="0"/>
              <w:right w:val="single" w:color="auto" w:sz="4" w:space="0"/>
            </w:tcBorders>
            <w:noWrap w:val="0"/>
            <w:vAlign w:val="top"/>
          </w:tcPr>
          <w:p w14:paraId="2E88866E">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仿宋" w:hAnsi="仿宋" w:eastAsia="仿宋"/>
                <w:b/>
                <w:bCs/>
                <w:sz w:val="28"/>
                <w:szCs w:val="28"/>
                <w:lang w:eastAsia="zh-CN"/>
              </w:rPr>
            </w:pPr>
          </w:p>
        </w:tc>
        <w:tc>
          <w:tcPr>
            <w:tcW w:w="1572" w:type="dxa"/>
            <w:noWrap w:val="0"/>
            <w:vAlign w:val="center"/>
          </w:tcPr>
          <w:p w14:paraId="40320C6C">
            <w:pPr>
              <w:widowControl w:val="0"/>
              <w:wordWrap w:val="0"/>
              <w:topLinePunct/>
              <w:jc w:val="center"/>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企业业绩</w:t>
            </w:r>
          </w:p>
          <w:p w14:paraId="20567DB8">
            <w:pPr>
              <w:widowControl w:val="0"/>
              <w:wordWrap w:val="0"/>
              <w:topLinePunct/>
              <w:jc w:val="center"/>
              <w:rPr>
                <w:rFonts w:hint="eastAsia" w:ascii="仿宋" w:hAnsi="仿宋" w:eastAsia="仿宋"/>
                <w:b/>
                <w:bCs/>
                <w:sz w:val="28"/>
                <w:szCs w:val="28"/>
                <w:lang w:val="zh-TW" w:eastAsia="zh-TW"/>
              </w:rPr>
            </w:pPr>
            <w:r>
              <w:rPr>
                <w:rFonts w:hint="eastAsia" w:ascii="仿宋" w:hAnsi="仿宋" w:eastAsia="仿宋"/>
                <w:b/>
                <w:bCs/>
                <w:sz w:val="28"/>
                <w:szCs w:val="28"/>
                <w:lang w:val="en-US" w:eastAsia="zh-CN"/>
              </w:rPr>
              <w:t>（6分）</w:t>
            </w:r>
          </w:p>
        </w:tc>
        <w:tc>
          <w:tcPr>
            <w:tcW w:w="5807" w:type="dxa"/>
            <w:noWrap w:val="0"/>
            <w:vAlign w:val="top"/>
          </w:tcPr>
          <w:p w14:paraId="44C5407F">
            <w:pPr>
              <w:widowControl w:val="0"/>
              <w:wordWrap w:val="0"/>
              <w:topLinePunct/>
              <w:spacing w:line="560" w:lineRule="exact"/>
              <w:ind w:firstLine="560" w:firstLineChars="0"/>
              <w:jc w:val="left"/>
              <w:outlineLvl w:val="9"/>
              <w:rPr>
                <w:rFonts w:ascii="仿宋_GB2312" w:hAnsi="仿宋_GB2312" w:eastAsia="仿宋_GB2312" w:cs="仿宋_GB2312"/>
                <w:b w:val="0"/>
                <w:color w:val="auto"/>
                <w:sz w:val="28"/>
                <w:szCs w:val="28"/>
                <w:lang w:val="en-US" w:eastAsia="zh-CN"/>
              </w:rPr>
            </w:pPr>
            <w:r>
              <w:rPr>
                <w:rFonts w:hint="eastAsia" w:ascii="仿宋_GB2312" w:hAnsi="仿宋_GB2312" w:eastAsia="仿宋_GB2312" w:cs="仿宋_GB2312"/>
                <w:color w:val="auto"/>
                <w:sz w:val="28"/>
                <w:szCs w:val="28"/>
                <w:lang w:val="en-US" w:eastAsia="zh-CN"/>
              </w:rPr>
              <w:t>供应商具有2023年1月1日（以合同签订时间为准）以来类似业绩的，每提供一份的得2分，最多得6分。（注：投标文件中附合同扫描件，否则不得分。）</w:t>
            </w:r>
          </w:p>
        </w:tc>
        <w:tc>
          <w:tcPr>
            <w:tcW w:w="0" w:type="auto"/>
            <w:noWrap w:val="0"/>
            <w:vAlign w:val="center"/>
          </w:tcPr>
          <w:p w14:paraId="5EE6C98F">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6分</w:t>
            </w:r>
          </w:p>
        </w:tc>
      </w:tr>
      <w:tr w14:paraId="53812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1349" w:type="dxa"/>
            <w:vMerge w:val="continue"/>
            <w:tcBorders>
              <w:left w:val="single" w:color="auto" w:sz="4" w:space="0"/>
              <w:right w:val="single" w:color="auto" w:sz="4" w:space="0"/>
            </w:tcBorders>
            <w:noWrap w:val="0"/>
            <w:vAlign w:val="top"/>
          </w:tcPr>
          <w:p w14:paraId="50B5DDB5">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仿宋" w:hAnsi="仿宋" w:eastAsia="仿宋"/>
                <w:b/>
                <w:bCs/>
                <w:sz w:val="28"/>
                <w:szCs w:val="28"/>
                <w:lang w:eastAsia="zh-CN"/>
              </w:rPr>
            </w:pPr>
          </w:p>
        </w:tc>
        <w:tc>
          <w:tcPr>
            <w:tcW w:w="1572" w:type="dxa"/>
            <w:noWrap w:val="0"/>
            <w:vAlign w:val="center"/>
          </w:tcPr>
          <w:p w14:paraId="0C89E0B0">
            <w:pPr>
              <w:widowControl w:val="0"/>
              <w:wordWrap w:val="0"/>
              <w:topLinePunct/>
              <w:jc w:val="center"/>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售后服务方案</w:t>
            </w:r>
          </w:p>
          <w:p w14:paraId="2F0C8799">
            <w:pPr>
              <w:widowControl w:val="0"/>
              <w:wordWrap w:val="0"/>
              <w:topLinePunct/>
              <w:jc w:val="center"/>
              <w:rPr>
                <w:rFonts w:hint="eastAsia" w:ascii="仿宋" w:hAnsi="仿宋" w:eastAsia="仿宋"/>
                <w:b/>
                <w:bCs/>
                <w:sz w:val="28"/>
                <w:szCs w:val="28"/>
                <w:lang w:val="zh-TW" w:eastAsia="zh-TW"/>
              </w:rPr>
            </w:pPr>
            <w:r>
              <w:rPr>
                <w:rFonts w:hint="eastAsia" w:ascii="仿宋" w:hAnsi="仿宋" w:eastAsia="仿宋"/>
                <w:b/>
                <w:bCs/>
                <w:sz w:val="28"/>
                <w:szCs w:val="28"/>
                <w:lang w:val="en-US" w:eastAsia="zh-CN"/>
              </w:rPr>
              <w:t>（9分）</w:t>
            </w:r>
          </w:p>
        </w:tc>
        <w:tc>
          <w:tcPr>
            <w:tcW w:w="5807" w:type="dxa"/>
            <w:noWrap w:val="0"/>
            <w:vAlign w:val="top"/>
          </w:tcPr>
          <w:p w14:paraId="3F2DD912">
            <w:pPr>
              <w:widowControl w:val="0"/>
              <w:wordWrap w:val="0"/>
              <w:topLinePunct/>
              <w:spacing w:line="560" w:lineRule="exact"/>
              <w:ind w:firstLine="560" w:firstLineChars="0"/>
              <w:jc w:val="left"/>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供应商针对本项目提供售后服务方案，包含但不限于①售后服务响应及解决时限承诺②售后人员安排③质保期内所有备品备件免费供应。</w:t>
            </w:r>
          </w:p>
          <w:p w14:paraId="715E91A7">
            <w:pPr>
              <w:widowControl w:val="0"/>
              <w:wordWrap w:val="0"/>
              <w:topLinePunct/>
              <w:spacing w:line="560" w:lineRule="exact"/>
              <w:ind w:firstLine="560" w:firstLineChars="0"/>
              <w:jc w:val="left"/>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highlight w:val="none"/>
                <w:lang w:val="en-US" w:eastAsia="zh-CN"/>
              </w:rPr>
              <w:t>供应商对每项内容论述详细,完全贴合项目采购需求的得9分;供应商对每项内容虽阐述但未贴合采购需求进行论述,或内容未包括具体细节的得6分;供应商提供的内容不完整存在明显缺陷的得3分;未提供相关内容的得0分。</w:t>
            </w:r>
          </w:p>
        </w:tc>
        <w:tc>
          <w:tcPr>
            <w:tcW w:w="0" w:type="auto"/>
            <w:noWrap w:val="0"/>
            <w:vAlign w:val="center"/>
          </w:tcPr>
          <w:p w14:paraId="55039D8D">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9分</w:t>
            </w:r>
          </w:p>
        </w:tc>
      </w:tr>
      <w:tr w14:paraId="5FB39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1349" w:type="dxa"/>
            <w:vMerge w:val="continue"/>
            <w:tcBorders>
              <w:left w:val="single" w:color="auto" w:sz="4" w:space="0"/>
              <w:right w:val="single" w:color="auto" w:sz="4" w:space="0"/>
            </w:tcBorders>
            <w:noWrap w:val="0"/>
            <w:vAlign w:val="top"/>
          </w:tcPr>
          <w:p w14:paraId="19F56952">
            <w:pPr>
              <w:keepNext w:val="0"/>
              <w:keepLines w:val="0"/>
              <w:pageBreakBefore w:val="0"/>
              <w:widowControl w:val="0"/>
              <w:kinsoku/>
              <w:wordWrap w:val="0"/>
              <w:overflowPunct/>
              <w:topLinePunct/>
              <w:autoSpaceDE/>
              <w:autoSpaceDN/>
              <w:bidi w:val="0"/>
              <w:adjustRightInd/>
              <w:snapToGrid/>
              <w:spacing w:line="400" w:lineRule="exact"/>
              <w:jc w:val="center"/>
              <w:textAlignment w:val="auto"/>
              <w:rPr>
                <w:rFonts w:hint="eastAsia" w:ascii="仿宋" w:hAnsi="仿宋" w:eastAsia="仿宋"/>
                <w:b/>
                <w:bCs/>
                <w:sz w:val="28"/>
                <w:szCs w:val="28"/>
                <w:lang w:eastAsia="zh-CN"/>
              </w:rPr>
            </w:pPr>
          </w:p>
        </w:tc>
        <w:tc>
          <w:tcPr>
            <w:tcW w:w="1572" w:type="dxa"/>
            <w:noWrap w:val="0"/>
            <w:vAlign w:val="center"/>
          </w:tcPr>
          <w:p w14:paraId="188C7EB8">
            <w:pPr>
              <w:widowControl w:val="0"/>
              <w:wordWrap w:val="0"/>
              <w:topLinePunct/>
              <w:jc w:val="center"/>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质保期</w:t>
            </w:r>
          </w:p>
          <w:p w14:paraId="306E25E3">
            <w:pPr>
              <w:widowControl w:val="0"/>
              <w:wordWrap w:val="0"/>
              <w:topLinePunct/>
              <w:jc w:val="center"/>
              <w:rPr>
                <w:rFonts w:hint="eastAsia" w:ascii="仿宋" w:hAnsi="仿宋" w:eastAsia="仿宋"/>
                <w:b/>
                <w:bCs/>
                <w:sz w:val="28"/>
                <w:szCs w:val="28"/>
                <w:lang w:val="zh-TW" w:eastAsia="zh-TW"/>
              </w:rPr>
            </w:pPr>
            <w:r>
              <w:rPr>
                <w:rFonts w:hint="eastAsia" w:ascii="仿宋" w:hAnsi="仿宋" w:eastAsia="仿宋"/>
                <w:b/>
                <w:bCs/>
                <w:sz w:val="28"/>
                <w:szCs w:val="28"/>
                <w:lang w:val="en-US" w:eastAsia="zh-CN"/>
              </w:rPr>
              <w:t>（3分）</w:t>
            </w:r>
          </w:p>
        </w:tc>
        <w:tc>
          <w:tcPr>
            <w:tcW w:w="5807" w:type="dxa"/>
            <w:noWrap w:val="0"/>
            <w:vAlign w:val="top"/>
          </w:tcPr>
          <w:p w14:paraId="6077F707">
            <w:pPr>
              <w:widowControl w:val="0"/>
              <w:wordWrap w:val="0"/>
              <w:topLinePunct/>
              <w:spacing w:line="560" w:lineRule="exact"/>
              <w:ind w:firstLine="560"/>
              <w:jc w:val="left"/>
              <w:outlineLvl w:val="9"/>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 xml:space="preserve">质保期限在有效年限的基础上每增加1年得1分，本项最高得3分。  </w:t>
            </w:r>
          </w:p>
          <w:p w14:paraId="3F17B54F">
            <w:pPr>
              <w:widowControl w:val="0"/>
              <w:wordWrap w:val="0"/>
              <w:topLinePunct/>
              <w:spacing w:line="560" w:lineRule="exact"/>
              <w:ind w:firstLine="560"/>
              <w:jc w:val="left"/>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需提供相应承诺书，未提供不得分。</w:t>
            </w:r>
          </w:p>
        </w:tc>
        <w:tc>
          <w:tcPr>
            <w:tcW w:w="0" w:type="auto"/>
            <w:noWrap w:val="0"/>
            <w:vAlign w:val="center"/>
          </w:tcPr>
          <w:p w14:paraId="5F129225">
            <w:pPr>
              <w:widowControl w:val="0"/>
              <w:wordWrap w:val="0"/>
              <w:topLinePun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3分</w:t>
            </w:r>
          </w:p>
        </w:tc>
      </w:tr>
      <w:tr w14:paraId="7FAE8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624" w:type="dxa"/>
            <w:gridSpan w:val="4"/>
            <w:tcBorders>
              <w:left w:val="single" w:color="auto" w:sz="4" w:space="0"/>
            </w:tcBorders>
            <w:noWrap w:val="0"/>
            <w:vAlign w:val="top"/>
          </w:tcPr>
          <w:p w14:paraId="433C1C14">
            <w:pPr>
              <w:widowControl w:val="0"/>
              <w:pBdr>
                <w:top w:val="none" w:color="auto" w:sz="0" w:space="0"/>
                <w:left w:val="none" w:color="auto" w:sz="0" w:space="0"/>
                <w:bottom w:val="none" w:color="auto" w:sz="0" w:space="0"/>
                <w:right w:val="none" w:color="auto" w:sz="0" w:space="0"/>
                <w:between w:val="none" w:color="auto" w:sz="0" w:space="0"/>
              </w:pBdr>
              <w:spacing w:before="120" w:line="360" w:lineRule="auto"/>
              <w:jc w:val="both"/>
              <w:rPr>
                <w:rFonts w:hint="eastAsia" w:ascii="仿宋" w:hAnsi="仿宋" w:eastAsia="仿宋" w:cs="仿宋"/>
                <w:b/>
                <w:bCs/>
                <w:strike/>
                <w:dstrike w:val="0"/>
                <w:kern w:val="0"/>
                <w:sz w:val="28"/>
                <w:szCs w:val="28"/>
                <w:highlight w:val="yellow"/>
                <w:lang w:eastAsia="zh-CN"/>
              </w:rPr>
            </w:pPr>
            <w:r>
              <w:rPr>
                <w:rFonts w:hint="eastAsia" w:ascii="仿宋_GB2312" w:hAnsi="仿宋_GB2312" w:eastAsia="仿宋_GB2312" w:cs="仿宋_GB2312"/>
                <w:color w:val="auto"/>
                <w:kern w:val="2"/>
                <w:sz w:val="28"/>
                <w:szCs w:val="28"/>
                <w:highlight w:val="none"/>
                <w:lang w:val="zh-TW" w:eastAsia="zh-CN" w:bidi="ar-SA"/>
              </w:rPr>
              <w:t>注：供应商提供的文件、资料须真实、有效，如有虚假自行承担全部法律责任。</w:t>
            </w:r>
          </w:p>
        </w:tc>
      </w:tr>
    </w:tbl>
    <w:p w14:paraId="1648BC1B">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6、更正日期：2026年10月14日10时28分</w:t>
      </w:r>
    </w:p>
    <w:p w14:paraId="53EC3DA7">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三、其他补充事宜</w:t>
      </w:r>
    </w:p>
    <w:p w14:paraId="6503AC0F">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各相关供应商务必及时登录河南省公共资源交易平台下载澄清文件。</w:t>
      </w:r>
    </w:p>
    <w:p w14:paraId="708BE785">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四、凡对本次公告内容提出询问，请按以下方式联系</w:t>
      </w:r>
    </w:p>
    <w:p w14:paraId="062C88CB">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1. 采购人信息</w:t>
      </w:r>
    </w:p>
    <w:p w14:paraId="478A25C4">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名称：郑州伊斯兰教经学院</w:t>
      </w:r>
    </w:p>
    <w:p w14:paraId="7A48B031">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地址：郑州市金水区博颂路9号</w:t>
      </w:r>
    </w:p>
    <w:p w14:paraId="27B41C52">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联系人：师老师</w:t>
      </w:r>
    </w:p>
    <w:p w14:paraId="118E3591">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联系方式：0371-63217295</w:t>
      </w:r>
    </w:p>
    <w:p w14:paraId="493FB855">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2.采购代理机构信息（如有）</w:t>
      </w:r>
    </w:p>
    <w:p w14:paraId="652A1F3C">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名称：河南省公共资源交易中心</w:t>
      </w:r>
    </w:p>
    <w:p w14:paraId="33264B0D">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地址：郑州市经二路12号</w:t>
      </w:r>
    </w:p>
    <w:p w14:paraId="73231D11">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联系人：路老师 翟老师 陈老师</w:t>
      </w:r>
    </w:p>
    <w:p w14:paraId="70ACC753">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联系方式：0371-65915562</w:t>
      </w:r>
    </w:p>
    <w:p w14:paraId="7444EAFA">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3.项目联系方式</w:t>
      </w:r>
    </w:p>
    <w:p w14:paraId="4F496292">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项目联系人：师自营</w:t>
      </w:r>
    </w:p>
    <w:p w14:paraId="0AFBEB11">
      <w:pPr>
        <w:keepNext w:val="0"/>
        <w:keepLines w:val="0"/>
        <w:pageBreakBefore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联系方式：0371-63217295</w:t>
      </w:r>
    </w:p>
    <w:p w14:paraId="08B06FAE">
      <w:pPr>
        <w:keepNext w:val="0"/>
        <w:keepLines w:val="0"/>
        <w:pageBreakBefore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sz w:val="32"/>
          <w:szCs w:val="32"/>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Unicode MS">
    <w:altName w:val="DejaVu Sans"/>
    <w:panose1 w:val="020B0604020202020204"/>
    <w:charset w:val="00"/>
    <w:family w:val="swiss"/>
    <w:pitch w:val="default"/>
    <w:sig w:usb0="00000000" w:usb1="00000000" w:usb2="0000003F" w:usb3="00000000" w:csb0="603F01FF" w:csb1="FFFF0000"/>
  </w:font>
  <w:font w:name="Cambria">
    <w:altName w:val="FreeSerif"/>
    <w:panose1 w:val="02040503050406030204"/>
    <w:charset w:val="00"/>
    <w:family w:val="roman"/>
    <w:pitch w:val="default"/>
    <w:sig w:usb0="00000000" w:usb1="00000000" w:usb2="00000000" w:usb3="00000000" w:csb0="2000019F" w:csb1="00000000"/>
  </w:font>
  <w:font w:name="FreeSerif">
    <w:panose1 w:val="02020603050405020304"/>
    <w:charset w:val="00"/>
    <w:family w:val="auto"/>
    <w:pitch w:val="default"/>
    <w:sig w:usb0="E59FAFFF" w:usb1="C200FDFF" w:usb2="43501B29" w:usb3="04000043" w:csb0="600101FF" w:csb1="FFFF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黑体_GBK">
    <w:panose1 w:val="02000000000000000000"/>
    <w:charset w:val="86"/>
    <w:family w:val="auto"/>
    <w:pitch w:val="default"/>
    <w:sig w:usb0="A00002BF" w:usb1="38CF7CFA" w:usb2="00082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汉仪书宋二S">
    <w:altName w:val="方正书宋_GBK"/>
    <w:panose1 w:val="00020600040101010101"/>
    <w:charset w:val="86"/>
    <w:family w:val="auto"/>
    <w:pitch w:val="default"/>
    <w:sig w:usb0="00000000" w:usb1="00000000" w:usb2="00000016" w:usb3="00000000" w:csb0="00040000" w:csb1="00000000"/>
  </w:font>
  <w:font w:name="sans-serif">
    <w:altName w:val="C059"/>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方正宋体S-超大字符集(SIP)">
    <w:panose1 w:val="03000509000000000000"/>
    <w:charset w:val="86"/>
    <w:family w:val="auto"/>
    <w:pitch w:val="default"/>
    <w:sig w:usb0="00000003" w:usb1="0A0E0800" w:usb2="00000006" w:usb3="00000000" w:csb0="00040001" w:csb1="00000000"/>
  </w:font>
  <w:font w:name="仿宋">
    <w:altName w:val="方正仿宋_GBK"/>
    <w:panose1 w:val="02010609060101010101"/>
    <w:charset w:val="00"/>
    <w:family w:val="auto"/>
    <w:pitch w:val="default"/>
    <w:sig w:usb0="00000000" w:usb1="00000000" w:usb2="00000016" w:usb3="00000000" w:csb0="00040001" w:csb1="00000000"/>
  </w:font>
  <w:font w:name="仿宋_GB2312">
    <w:altName w:val="方正仿宋_GBK"/>
    <w:panose1 w:val="02010609030101010101"/>
    <w:charset w:val="00"/>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7FD95B"/>
    <w:rsid w:val="2EC851B9"/>
    <w:rsid w:val="4E260563"/>
    <w:rsid w:val="54707097"/>
    <w:rsid w:val="75F63B09"/>
    <w:rsid w:val="CC706E44"/>
    <w:rsid w:val="DDFFAAD6"/>
    <w:rsid w:val="FDE79F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hint="eastAsia" w:ascii="Arial Unicode MS" w:hAnsi="Arial Unicode MS" w:eastAsia="Arial Unicode MS" w:cs="Arial Unicode MS"/>
      <w:color w:val="000000"/>
      <w:kern w:val="2"/>
      <w:sz w:val="21"/>
      <w:szCs w:val="21"/>
      <w:lang w:val="zh-TW" w:eastAsia="zh-TW"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Cambria" w:hAnsi="Cambria" w:eastAsia="宋体" w:cs="Times New Roman"/>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table of figures"/>
    <w:basedOn w:val="1"/>
    <w:next w:val="1"/>
    <w:qFormat/>
    <w:uiPriority w:val="0"/>
    <w:pPr>
      <w:ind w:left="200" w:leftChars="200" w:hanging="200" w:hangingChars="200"/>
    </w:pPr>
    <w:rPr>
      <w:rFonts w:ascii="Times New Roman" w:hAnsi="Times New Roman"/>
    </w:rPr>
  </w:style>
  <w:style w:type="paragraph" w:customStyle="1" w:styleId="7">
    <w:name w:val="Default"/>
    <w:next w:val="4"/>
    <w:qFormat/>
    <w:uiPriority w:val="0"/>
    <w:pPr>
      <w:widowControl w:val="0"/>
      <w:autoSpaceDE w:val="0"/>
      <w:autoSpaceDN w:val="0"/>
      <w:adjustRightInd w:val="0"/>
    </w:pPr>
    <w:rPr>
      <w:rFonts w:ascii="Arial" w:hAnsi="Arial" w:eastAsia="宋体" w:cs="Arial"/>
      <w:color w:val="000000"/>
      <w:kern w:val="0"/>
      <w:sz w:val="24"/>
      <w:szCs w:val="24"/>
      <w:lang w:val="en-US" w:eastAsia="zh-CN" w:bidi="ar-SA"/>
    </w:rPr>
  </w:style>
  <w:style w:type="paragraph" w:customStyle="1" w:styleId="8">
    <w:name w:val="Table Text"/>
    <w:basedOn w:val="1"/>
    <w:semiHidden/>
    <w:qFormat/>
    <w:uiPriority w:val="0"/>
    <w:rPr>
      <w:rFonts w:ascii="仿宋_GB2312" w:hAnsi="仿宋_GB2312" w:eastAsia="仿宋_GB2312" w:cs="仿宋_GB2312"/>
      <w:sz w:val="28"/>
      <w:szCs w:val="28"/>
      <w:lang w:val="en-US"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2324</Words>
  <Characters>2549</Characters>
  <Lines>0</Lines>
  <Paragraphs>0</Paragraphs>
  <TotalTime>0</TotalTime>
  <ScaleCrop>false</ScaleCrop>
  <LinksUpToDate>false</LinksUpToDate>
  <CharactersWithSpaces>2576</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admin</dc:creator>
  <cp:lastModifiedBy>user</cp:lastModifiedBy>
  <dcterms:modified xsi:type="dcterms:W3CDTF">2026-10-14T10:34:30Z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KSOTemplateDocerSaveRecord">
    <vt:lpwstr>eyJoZGlkIjoiNjA4ODdjMjAwN2Y3YmM4MjFmMzEzOTc3NjJkMDhmN2YiLCJ1c2VySWQiOiIzNDY1NzM4MjQifQ==</vt:lpwstr>
  </property>
  <property fmtid="{D5CDD505-2E9C-101B-9397-08002B2CF9AE}" pid="4" name="ICV">
    <vt:lpwstr>59B1015C5C19FDE636EACE6A570A56E8_43</vt:lpwstr>
  </property>
</Properties>
</file>